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26A3A6C0" w:rsidR="009303D9" w:rsidRDefault="008C1302" w:rsidP="006347CF">
      <w:pPr>
        <w:pStyle w:val="papertitle"/>
        <w:spacing w:before="5pt" w:beforeAutospacing="1" w:after="5pt" w:afterAutospacing="1"/>
      </w:pPr>
      <w:r>
        <w:t xml:space="preserve">Improving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B50DFA" w:rsidRDefault="008C1302" w:rsidP="008C1302">
      <w:pPr>
        <w:pStyle w:val="Author"/>
        <w:spacing w:before="5pt" w:beforeAutospacing="1"/>
        <w:rPr>
          <w:sz w:val="18"/>
          <w:szCs w:val="18"/>
          <w:lang w:val="pt-BR"/>
        </w:rPr>
      </w:pPr>
      <w:r w:rsidRPr="00B50DFA">
        <w:rPr>
          <w:sz w:val="18"/>
          <w:szCs w:val="18"/>
          <w:lang w:val="pt-BR"/>
        </w:rPr>
        <w:br/>
      </w:r>
      <w:r w:rsidR="006347CF" w:rsidRPr="00B50DFA">
        <w:rPr>
          <w:sz w:val="18"/>
          <w:szCs w:val="18"/>
          <w:lang w:val="pt-BR"/>
        </w:rPr>
        <w:br/>
      </w:r>
      <w:r w:rsidR="006347CF" w:rsidRPr="00B50DFA">
        <w:rPr>
          <w:sz w:val="18"/>
          <w:szCs w:val="18"/>
          <w:lang w:val="pt-BR"/>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3F9713D5"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EB796A">
            <w:rPr>
              <w:noProof/>
              <w:lang w:val="en-CA"/>
            </w:rPr>
            <w:t xml:space="preserve"> </w:t>
          </w:r>
          <w:r w:rsidR="00EB796A" w:rsidRPr="00EB796A">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4D861682"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00D004B9">
        <w:rPr>
          <w:i w:val="0"/>
          <w:iCs w:val="0"/>
          <w:noProof/>
        </w:rPr>
        <w:t>1</w:t>
      </w:r>
      <w:r w:rsidRPr="001224DE">
        <w:rPr>
          <w:i w:val="0"/>
          <w:iCs w:val="0"/>
        </w:rPr>
        <w:fldChar w:fldCharType="end"/>
      </w:r>
      <w:r w:rsidRPr="001224DE">
        <w:rPr>
          <w:i w:val="0"/>
          <w:iCs w:val="0"/>
        </w:rPr>
        <w:t>: comparisons of dimensions between LLMs and SMs</w:t>
      </w:r>
    </w:p>
    <w:p w14:paraId="6994A0EF" w14:textId="71E850C9"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EB796A">
            <w:rPr>
              <w:noProof/>
              <w:lang w:val="en-CA"/>
            </w:rPr>
            <w:t xml:space="preserve"> </w:t>
          </w:r>
          <w:r w:rsidR="00EB796A" w:rsidRPr="00EB796A">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2F6B0A19"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EB796A" w:rsidRPr="00EB796A">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421E0C7C"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w:instrText>
          </w:r>
          <w:r w:rsidR="00000000">
            <w:rPr>
              <w:lang w:val="en-CA"/>
            </w:rPr>
            <w:instrText xml:space="preserve"> en-CA </w:instrText>
          </w:r>
          <w:r>
            <w:fldChar w:fldCharType="separate"/>
          </w:r>
          <w:r w:rsidR="00EB796A">
            <w:rPr>
              <w:noProof/>
              <w:lang w:val="en-CA"/>
            </w:rPr>
            <w:t xml:space="preserve"> </w:t>
          </w:r>
          <w:r w:rsidR="00EB796A" w:rsidRPr="00EB796A">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w:instrText>
          </w:r>
          <w:r w:rsidR="00000000">
            <w:rPr>
              <w:lang w:val="en-CA"/>
            </w:rPr>
            <w:instrText xml:space="preserve"> en-CA </w:instrText>
          </w:r>
          <w:r>
            <w:fldChar w:fldCharType="separate"/>
          </w:r>
          <w:r w:rsidR="00EB796A" w:rsidRPr="00EB796A">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p>
    <w:p w14:paraId="3142A82B" w14:textId="2A8CAD38"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this reinforces the motivation to explore whether small LLMs, aided by retrieval, can still perform competitively in targeted applications</w:t>
      </w:r>
      <w:r>
        <w:t xml:space="preserve"> </w:t>
      </w:r>
      <w:sdt>
        <w:sdtPr>
          <w:id w:val="-790593809"/>
          <w:citation/>
        </w:sdtPr>
        <w:sdtContent>
          <w:r>
            <w:fldChar w:fldCharType="begin"/>
          </w:r>
          <w:r>
            <w:rPr>
              <w:lang w:val="en-CA"/>
            </w:rPr>
            <w:instrText xml:space="preserve"> CITATION Sma24 \l</w:instrText>
          </w:r>
          <w:r w:rsidR="00000000">
            <w:rPr>
              <w:lang w:val="en-CA"/>
            </w:rPr>
            <w:instrText xml:space="preserve"> en-CA </w:instrText>
          </w:r>
          <w:r>
            <w:fldChar w:fldCharType="separate"/>
          </w:r>
          <w:r w:rsidR="00EB796A" w:rsidRPr="00EB796A">
            <w:rPr>
              <w:noProof/>
              <w:lang w:val="en-CA"/>
            </w:rPr>
            <w:t>[6]</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6D4978FB"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w:instrText>
          </w:r>
          <w:r w:rsidR="00000000">
            <w:rPr>
              <w:lang w:val="en-CA"/>
            </w:rPr>
            <w:instrText xml:space="preserve"> en-CA </w:instrText>
          </w:r>
          <w:r>
            <w:fldChar w:fldCharType="separate"/>
          </w:r>
          <w:r w:rsidR="00EB796A" w:rsidRPr="00EB796A">
            <w:rPr>
              <w:noProof/>
              <w:lang w:val="en-CA"/>
            </w:rPr>
            <w:t>[7]</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11C3C35B"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w:instrText>
          </w:r>
          <w:r w:rsidR="00000000">
            <w:rPr>
              <w:lang w:val="en-CA"/>
            </w:rPr>
            <w:instrText xml:space="preserve"> en-CA </w:instrText>
          </w:r>
          <w:r>
            <w:fldChar w:fldCharType="separate"/>
          </w:r>
          <w:r w:rsidRPr="00EB796A">
            <w:rPr>
              <w:noProof/>
              <w:lang w:val="en-CA"/>
            </w:rPr>
            <w:t>[8]</w:t>
          </w:r>
          <w:r>
            <w:fldChar w:fldCharType="end"/>
          </w:r>
        </w:sdtContent>
      </w:sdt>
      <w:r>
        <w:t xml:space="preserve">. The dataset has two files train and test both using the </w:t>
      </w:r>
      <w:r w:rsidRPr="00EB796A">
        <w:rPr>
          <w:i/>
          <w:iCs/>
        </w:rPr>
        <w:t>parquet</w:t>
      </w:r>
      <w:r>
        <w:t xml:space="preserve"> file format where each line in the files present a question and an answer. We converted the </w:t>
      </w:r>
      <w:r>
        <w:rPr>
          <w:i/>
          <w:iCs/>
        </w:rPr>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689B8374"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t xml:space="preserve">Table </w:t>
      </w:r>
      <w:r>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auto"/>
        <w:jc w:val="center"/>
        <w:tblLook w:firstRow="1" w:lastRow="0" w:firstColumn="1" w:lastColumn="0" w:noHBand="0" w:noVBand="1"/>
      </w:tblPr>
      <w:tblGrid>
        <w:gridCol w:w="1860"/>
        <w:gridCol w:w="1254"/>
      </w:tblGrid>
      <w:tr w:rsidR="00D004B9" w:rsidRPr="00E601A1" w14:paraId="1606098B" w14:textId="77777777" w:rsidTr="00D004B9">
        <w:trPr>
          <w:trHeight w:hRule="exact" w:val="227"/>
          <w:jc w:val="center"/>
        </w:trPr>
        <w:tc>
          <w:tcPr>
            <w:tcW w:w="93pt" w:type="dxa"/>
            <w:noWrap/>
            <w:hideMark/>
          </w:tcPr>
          <w:p w14:paraId="7D2F0D07" w14:textId="77777777" w:rsidR="00D004B9" w:rsidRPr="00E601A1" w:rsidRDefault="00D004B9" w:rsidP="00D004B9">
            <w:pPr>
              <w:pStyle w:val="tablecolhead"/>
            </w:pPr>
            <w:r w:rsidRPr="00E601A1">
              <w:t>Model</w:t>
            </w:r>
          </w:p>
        </w:tc>
        <w:tc>
          <w:tcPr>
            <w:tcW w:w="62.70pt" w:type="dxa"/>
            <w:noWrap/>
            <w:hideMark/>
          </w:tcPr>
          <w:p w14:paraId="1113C287" w14:textId="40A2FA59" w:rsidR="00D004B9" w:rsidRPr="00E601A1" w:rsidRDefault="00D004B9" w:rsidP="00E601A1">
            <w:pPr>
              <w:pStyle w:val="tablecolhead"/>
            </w:pPr>
            <w:r>
              <w:t>Average Score</w:t>
            </w:r>
          </w:p>
        </w:tc>
      </w:tr>
      <w:tr w:rsidR="00D004B9" w:rsidRPr="00E601A1" w14:paraId="2B2B4CB9" w14:textId="77777777" w:rsidTr="00D004B9">
        <w:trPr>
          <w:trHeight w:hRule="exact" w:val="227"/>
          <w:jc w:val="center"/>
        </w:trPr>
        <w:tc>
          <w:tcPr>
            <w:tcW w:w="93pt" w:type="dxa"/>
            <w:noWrap/>
            <w:hideMark/>
          </w:tcPr>
          <w:p w14:paraId="00A8D79E" w14:textId="77777777" w:rsidR="00D004B9" w:rsidRPr="00E601A1" w:rsidRDefault="00D004B9" w:rsidP="00D004B9">
            <w:pPr>
              <w:pStyle w:val="tablecolhead"/>
            </w:pPr>
            <w:r w:rsidRPr="00E601A1">
              <w:t>deepseek-r1-1.5b</w:t>
            </w:r>
          </w:p>
        </w:tc>
        <w:tc>
          <w:tcPr>
            <w:tcW w:w="62.70pt" w:type="dxa"/>
            <w:noWrap/>
            <w:hideMark/>
          </w:tcPr>
          <w:p w14:paraId="68646BC3" w14:textId="77777777" w:rsidR="00D004B9" w:rsidRPr="00E601A1" w:rsidRDefault="00D004B9" w:rsidP="00E601A1">
            <w:pPr>
              <w:pStyle w:val="tablecolhead"/>
              <w:rPr>
                <w:b w:val="0"/>
                <w:bCs w:val="0"/>
              </w:rPr>
            </w:pPr>
            <w:r w:rsidRPr="00E601A1">
              <w:rPr>
                <w:b w:val="0"/>
                <w:bCs w:val="0"/>
              </w:rPr>
              <w:t>0.2163</w:t>
            </w:r>
          </w:p>
        </w:tc>
      </w:tr>
      <w:tr w:rsidR="00D004B9" w:rsidRPr="00E601A1" w14:paraId="78A8C791" w14:textId="77777777" w:rsidTr="00D004B9">
        <w:trPr>
          <w:trHeight w:hRule="exact" w:val="227"/>
          <w:jc w:val="center"/>
        </w:trPr>
        <w:tc>
          <w:tcPr>
            <w:tcW w:w="93pt" w:type="dxa"/>
            <w:noWrap/>
            <w:hideMark/>
          </w:tcPr>
          <w:p w14:paraId="372B17AB" w14:textId="77777777" w:rsidR="00D004B9" w:rsidRPr="00E601A1" w:rsidRDefault="00D004B9" w:rsidP="00D004B9">
            <w:pPr>
              <w:pStyle w:val="tablecolhead"/>
            </w:pPr>
            <w:r w:rsidRPr="00E601A1">
              <w:t>deepseek-r1-14b</w:t>
            </w:r>
          </w:p>
        </w:tc>
        <w:tc>
          <w:tcPr>
            <w:tcW w:w="62.70pt" w:type="dxa"/>
            <w:noWrap/>
            <w:hideMark/>
          </w:tcPr>
          <w:p w14:paraId="0B37D962" w14:textId="77777777" w:rsidR="00D004B9" w:rsidRPr="00E601A1" w:rsidRDefault="00D004B9" w:rsidP="00E601A1">
            <w:pPr>
              <w:pStyle w:val="tablecolhead"/>
              <w:rPr>
                <w:b w:val="0"/>
                <w:bCs w:val="0"/>
              </w:rPr>
            </w:pPr>
            <w:r w:rsidRPr="00E601A1">
              <w:rPr>
                <w:b w:val="0"/>
                <w:bCs w:val="0"/>
              </w:rPr>
              <w:t>0.6306</w:t>
            </w:r>
          </w:p>
        </w:tc>
      </w:tr>
      <w:tr w:rsidR="00D004B9" w:rsidRPr="00E601A1" w14:paraId="192E4739" w14:textId="77777777" w:rsidTr="00D004B9">
        <w:trPr>
          <w:trHeight w:hRule="exact" w:val="227"/>
          <w:jc w:val="center"/>
        </w:trPr>
        <w:tc>
          <w:tcPr>
            <w:tcW w:w="93pt" w:type="dxa"/>
            <w:noWrap/>
            <w:hideMark/>
          </w:tcPr>
          <w:p w14:paraId="7DFD105D" w14:textId="77777777" w:rsidR="00D004B9" w:rsidRPr="00E601A1" w:rsidRDefault="00D004B9" w:rsidP="00D004B9">
            <w:pPr>
              <w:pStyle w:val="tablecolhead"/>
            </w:pPr>
            <w:r w:rsidRPr="00E601A1">
              <w:t>gemma2-2b</w:t>
            </w:r>
          </w:p>
        </w:tc>
        <w:tc>
          <w:tcPr>
            <w:tcW w:w="62.70pt" w:type="dxa"/>
            <w:noWrap/>
            <w:hideMark/>
          </w:tcPr>
          <w:p w14:paraId="7069C860" w14:textId="77777777" w:rsidR="00D004B9" w:rsidRPr="00E601A1" w:rsidRDefault="00D004B9" w:rsidP="00E601A1">
            <w:pPr>
              <w:pStyle w:val="tablecolhead"/>
              <w:rPr>
                <w:b w:val="0"/>
                <w:bCs w:val="0"/>
              </w:rPr>
            </w:pPr>
            <w:r w:rsidRPr="00E601A1">
              <w:rPr>
                <w:b w:val="0"/>
                <w:bCs w:val="0"/>
              </w:rPr>
              <w:t>0.3531</w:t>
            </w:r>
          </w:p>
        </w:tc>
      </w:tr>
      <w:tr w:rsidR="00D004B9" w:rsidRPr="00E601A1" w14:paraId="14B08388" w14:textId="77777777" w:rsidTr="00D004B9">
        <w:trPr>
          <w:trHeight w:hRule="exact" w:val="227"/>
          <w:jc w:val="center"/>
        </w:trPr>
        <w:tc>
          <w:tcPr>
            <w:tcW w:w="93pt" w:type="dxa"/>
            <w:noWrap/>
            <w:hideMark/>
          </w:tcPr>
          <w:p w14:paraId="1F6F0404" w14:textId="77777777" w:rsidR="00D004B9" w:rsidRPr="00E601A1" w:rsidRDefault="00D004B9" w:rsidP="00D004B9">
            <w:pPr>
              <w:pStyle w:val="tablecolhead"/>
            </w:pPr>
            <w:r w:rsidRPr="00E601A1">
              <w:t>gemma3-12b</w:t>
            </w:r>
          </w:p>
        </w:tc>
        <w:tc>
          <w:tcPr>
            <w:tcW w:w="62.70pt" w:type="dxa"/>
            <w:noWrap/>
            <w:hideMark/>
          </w:tcPr>
          <w:p w14:paraId="00F9CAAC" w14:textId="77777777" w:rsidR="00D004B9" w:rsidRPr="00E601A1" w:rsidRDefault="00D004B9" w:rsidP="00E601A1">
            <w:pPr>
              <w:pStyle w:val="tablecolhead"/>
              <w:rPr>
                <w:b w:val="0"/>
                <w:bCs w:val="0"/>
              </w:rPr>
            </w:pPr>
            <w:r w:rsidRPr="00E601A1">
              <w:rPr>
                <w:b w:val="0"/>
                <w:bCs w:val="0"/>
              </w:rPr>
              <w:t>0.4939</w:t>
            </w:r>
          </w:p>
        </w:tc>
      </w:tr>
      <w:tr w:rsidR="00D004B9" w:rsidRPr="00E601A1" w14:paraId="4F6B5AA0" w14:textId="77777777" w:rsidTr="00D004B9">
        <w:trPr>
          <w:trHeight w:hRule="exact" w:val="227"/>
          <w:jc w:val="center"/>
        </w:trPr>
        <w:tc>
          <w:tcPr>
            <w:tcW w:w="93pt" w:type="dxa"/>
            <w:noWrap/>
            <w:hideMark/>
          </w:tcPr>
          <w:p w14:paraId="52B2B61C" w14:textId="77777777" w:rsidR="00D004B9" w:rsidRPr="00E601A1" w:rsidRDefault="00D004B9" w:rsidP="00D004B9">
            <w:pPr>
              <w:pStyle w:val="tablecolhead"/>
            </w:pPr>
            <w:r w:rsidRPr="00E601A1">
              <w:t>gemma3-1b</w:t>
            </w:r>
          </w:p>
        </w:tc>
        <w:tc>
          <w:tcPr>
            <w:tcW w:w="62.70pt" w:type="dxa"/>
            <w:noWrap/>
            <w:hideMark/>
          </w:tcPr>
          <w:p w14:paraId="2D012D1F" w14:textId="77777777" w:rsidR="00D004B9" w:rsidRPr="00E601A1" w:rsidRDefault="00D004B9" w:rsidP="00E601A1">
            <w:pPr>
              <w:pStyle w:val="tablecolhead"/>
              <w:rPr>
                <w:b w:val="0"/>
                <w:bCs w:val="0"/>
              </w:rPr>
            </w:pPr>
            <w:r w:rsidRPr="00E601A1">
              <w:rPr>
                <w:b w:val="0"/>
                <w:bCs w:val="0"/>
              </w:rPr>
              <w:t>0.2735</w:t>
            </w:r>
          </w:p>
        </w:tc>
      </w:tr>
      <w:tr w:rsidR="00D004B9" w:rsidRPr="00E601A1" w14:paraId="33D38343" w14:textId="77777777" w:rsidTr="00D004B9">
        <w:trPr>
          <w:trHeight w:hRule="exact" w:val="227"/>
          <w:jc w:val="center"/>
        </w:trPr>
        <w:tc>
          <w:tcPr>
            <w:tcW w:w="93pt" w:type="dxa"/>
            <w:noWrap/>
            <w:hideMark/>
          </w:tcPr>
          <w:p w14:paraId="0C14751E" w14:textId="77777777" w:rsidR="00D004B9" w:rsidRPr="00E601A1" w:rsidRDefault="00D004B9" w:rsidP="00D004B9">
            <w:pPr>
              <w:pStyle w:val="tablecolhead"/>
            </w:pPr>
            <w:r w:rsidRPr="00E601A1">
              <w:t>llama2-7b</w:t>
            </w:r>
          </w:p>
        </w:tc>
        <w:tc>
          <w:tcPr>
            <w:tcW w:w="62.70pt" w:type="dxa"/>
            <w:noWrap/>
            <w:hideMark/>
          </w:tcPr>
          <w:p w14:paraId="07DDAF42" w14:textId="77777777" w:rsidR="00D004B9" w:rsidRPr="00E601A1" w:rsidRDefault="00D004B9" w:rsidP="00E601A1">
            <w:pPr>
              <w:pStyle w:val="tablecolhead"/>
              <w:rPr>
                <w:b w:val="0"/>
                <w:bCs w:val="0"/>
              </w:rPr>
            </w:pPr>
            <w:r w:rsidRPr="00E601A1">
              <w:rPr>
                <w:b w:val="0"/>
                <w:bCs w:val="0"/>
              </w:rPr>
              <w:t>0.2408</w:t>
            </w:r>
          </w:p>
        </w:tc>
      </w:tr>
      <w:tr w:rsidR="00D004B9" w:rsidRPr="00E601A1" w14:paraId="51A24433" w14:textId="77777777" w:rsidTr="00D004B9">
        <w:trPr>
          <w:trHeight w:hRule="exact" w:val="227"/>
          <w:jc w:val="center"/>
        </w:trPr>
        <w:tc>
          <w:tcPr>
            <w:tcW w:w="93pt" w:type="dxa"/>
            <w:noWrap/>
            <w:hideMark/>
          </w:tcPr>
          <w:p w14:paraId="545F8152" w14:textId="77777777" w:rsidR="00D004B9" w:rsidRPr="00E601A1" w:rsidRDefault="00D004B9" w:rsidP="00D004B9">
            <w:pPr>
              <w:pStyle w:val="tablecolhead"/>
            </w:pPr>
            <w:r w:rsidRPr="00E601A1">
              <w:t>llama3.2-3b</w:t>
            </w:r>
          </w:p>
        </w:tc>
        <w:tc>
          <w:tcPr>
            <w:tcW w:w="62.70pt" w:type="dxa"/>
            <w:noWrap/>
            <w:hideMark/>
          </w:tcPr>
          <w:p w14:paraId="6EF11AC7" w14:textId="77777777" w:rsidR="00D004B9" w:rsidRPr="00E601A1" w:rsidRDefault="00D004B9" w:rsidP="00E601A1">
            <w:pPr>
              <w:pStyle w:val="tablecolhead"/>
              <w:rPr>
                <w:b w:val="0"/>
                <w:bCs w:val="0"/>
              </w:rPr>
            </w:pPr>
            <w:r w:rsidRPr="00E601A1">
              <w:rPr>
                <w:b w:val="0"/>
                <w:bCs w:val="0"/>
              </w:rPr>
              <w:t>0.3082</w:t>
            </w:r>
          </w:p>
        </w:tc>
      </w:tr>
      <w:tr w:rsidR="00D004B9" w:rsidRPr="00E601A1" w14:paraId="436EB53E" w14:textId="77777777" w:rsidTr="00D004B9">
        <w:trPr>
          <w:trHeight w:hRule="exact" w:val="227"/>
          <w:jc w:val="center"/>
        </w:trPr>
        <w:tc>
          <w:tcPr>
            <w:tcW w:w="93pt" w:type="dxa"/>
            <w:noWrap/>
            <w:hideMark/>
          </w:tcPr>
          <w:p w14:paraId="591F3D61" w14:textId="77777777" w:rsidR="00D004B9" w:rsidRPr="00E601A1" w:rsidRDefault="00D004B9" w:rsidP="00D004B9">
            <w:pPr>
              <w:pStyle w:val="tablecolhead"/>
            </w:pPr>
            <w:r w:rsidRPr="00E601A1">
              <w:t>qwen2.5-0.5b</w:t>
            </w:r>
          </w:p>
        </w:tc>
        <w:tc>
          <w:tcPr>
            <w:tcW w:w="62.70pt" w:type="dxa"/>
            <w:noWrap/>
            <w:hideMark/>
          </w:tcPr>
          <w:p w14:paraId="1E829ED0" w14:textId="77777777" w:rsidR="00D004B9" w:rsidRPr="00E601A1" w:rsidRDefault="00D004B9" w:rsidP="00E601A1">
            <w:pPr>
              <w:pStyle w:val="tablecolhead"/>
              <w:rPr>
                <w:b w:val="0"/>
                <w:bCs w:val="0"/>
              </w:rPr>
            </w:pPr>
            <w:r w:rsidRPr="00E601A1">
              <w:rPr>
                <w:b w:val="0"/>
                <w:bCs w:val="0"/>
              </w:rPr>
              <w:t>0.1184</w:t>
            </w:r>
          </w:p>
        </w:tc>
      </w:tr>
      <w:tr w:rsidR="00D004B9" w:rsidRPr="00E601A1" w14:paraId="210A9CD1" w14:textId="77777777" w:rsidTr="00D004B9">
        <w:trPr>
          <w:trHeight w:hRule="exact" w:val="227"/>
          <w:jc w:val="center"/>
        </w:trPr>
        <w:tc>
          <w:tcPr>
            <w:tcW w:w="93pt" w:type="dxa"/>
            <w:noWrap/>
            <w:hideMark/>
          </w:tcPr>
          <w:p w14:paraId="092BEAB0" w14:textId="77777777" w:rsidR="00D004B9" w:rsidRPr="00E601A1" w:rsidRDefault="00D004B9" w:rsidP="00D004B9">
            <w:pPr>
              <w:pStyle w:val="tablecolhead"/>
            </w:pPr>
            <w:r w:rsidRPr="00E601A1">
              <w:t>qwen2.5-1.5b</w:t>
            </w:r>
          </w:p>
        </w:tc>
        <w:tc>
          <w:tcPr>
            <w:tcW w:w="62.70pt" w:type="dxa"/>
            <w:noWrap/>
            <w:hideMark/>
          </w:tcPr>
          <w:p w14:paraId="74D70946" w14:textId="77777777" w:rsidR="00D004B9" w:rsidRPr="00E601A1" w:rsidRDefault="00D004B9" w:rsidP="00D004B9">
            <w:pPr>
              <w:pStyle w:val="tablecolhead"/>
              <w:keepNext/>
              <w:rPr>
                <w:b w:val="0"/>
                <w:bCs w:val="0"/>
              </w:rPr>
            </w:pPr>
            <w:r w:rsidRPr="00E601A1">
              <w:rPr>
                <w:b w:val="0"/>
                <w:bCs w:val="0"/>
              </w:rPr>
              <w:t>0.2612</w:t>
            </w:r>
          </w:p>
        </w:tc>
      </w:tr>
      <w:tr w:rsidR="00D004B9" w:rsidRPr="00E601A1" w14:paraId="49C620B5" w14:textId="77777777" w:rsidTr="00D004B9">
        <w:trPr>
          <w:trHeight w:hRule="exact" w:val="227"/>
          <w:jc w:val="center"/>
        </w:trPr>
        <w:tc>
          <w:tcPr>
            <w:tcW w:w="93pt" w:type="dxa"/>
            <w:noWrap/>
          </w:tcPr>
          <w:p w14:paraId="076DF5E6" w14:textId="6EE02BBB" w:rsidR="00D004B9" w:rsidRPr="00E601A1" w:rsidRDefault="00D004B9" w:rsidP="00D004B9">
            <w:pPr>
              <w:pStyle w:val="tablecolhead"/>
            </w:pPr>
            <w:r w:rsidRPr="00E601A1">
              <w:t>gpt-4o-mini</w:t>
            </w:r>
          </w:p>
        </w:tc>
        <w:tc>
          <w:tcPr>
            <w:tcW w:w="62.70pt" w:type="dxa"/>
            <w:noWrap/>
          </w:tcPr>
          <w:p w14:paraId="207F2BF5" w14:textId="337E38C3" w:rsidR="00D004B9" w:rsidRPr="00E601A1" w:rsidRDefault="00D004B9" w:rsidP="00D004B9">
            <w:pPr>
              <w:pStyle w:val="tablecolhead"/>
              <w:keepNext/>
              <w:rPr>
                <w:b w:val="0"/>
                <w:bCs w:val="0"/>
              </w:rPr>
            </w:pPr>
            <w:r w:rsidRPr="00E601A1">
              <w:rPr>
                <w:b w:val="0"/>
                <w:bCs w:val="0"/>
              </w:rPr>
              <w:t>0.5857</w:t>
            </w:r>
          </w:p>
        </w:tc>
      </w:tr>
    </w:tbl>
    <w:p w14:paraId="12AB0037" w14:textId="3D739F70" w:rsidR="00196ADE" w:rsidRDefault="00D004B9" w:rsidP="00D004B9">
      <w:pPr>
        <w:pStyle w:val="Caption"/>
      </w:pPr>
      <w:bookmarkStart w:id="0" w:name="_Ref195203070"/>
      <w:r>
        <w:t xml:space="preserve">Table </w:t>
      </w:r>
      <w:fldSimple w:instr=" SEQ Table \* ARABIC ">
        <w:r>
          <w:rPr>
            <w:noProof/>
          </w:rPr>
          <w:t>2</w:t>
        </w:r>
      </w:fldSimple>
      <w:bookmarkEnd w:id="0"/>
      <w:r w:rsidRPr="00E24579">
        <w:t xml:space="preserve">: </w:t>
      </w:r>
      <w:r>
        <w:t xml:space="preserve">results of </w:t>
      </w:r>
      <w:r w:rsidRPr="00E24579">
        <w:t>SMs</w:t>
      </w:r>
      <w:r>
        <w:rPr>
          <w:noProof/>
        </w:rPr>
        <w:t xml:space="preserve"> and LLMs</w:t>
      </w:r>
    </w:p>
    <w:p w14:paraId="650DE2F3" w14:textId="77777777" w:rsidR="000C5A5A" w:rsidRDefault="000C5A5A" w:rsidP="000C5A5A">
      <w:pPr>
        <w:pStyle w:val="Heading2"/>
      </w:pPr>
      <w:r>
        <w:t>Baseline evaluation</w:t>
      </w:r>
    </w:p>
    <w:p w14:paraId="60C85E44" w14:textId="77777777" w:rsidR="000C5A5A" w:rsidRPr="0056583B" w:rsidRDefault="000C5A5A" w:rsidP="000C5A5A">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rPr>
          <w:b/>
          <w:bCs/>
          <w:lang w:val="en-US"/>
        </w:rPr>
        <w:t>Error! Reference source not found.</w:t>
      </w:r>
      <w:r>
        <w:fldChar w:fldCharType="end"/>
      </w:r>
      <w:r>
        <w:t>. It’s noticeable that most SMs perform quite poorly with the exception of the DeepSeekR1-14B that performs even better than the LLM GPT-4o-mini, which indicates that SMs can indeed be competitive in some closed domain tasks even without the support of techniques like RAG.</w:t>
      </w:r>
    </w:p>
    <w:p w14:paraId="0CA65B6C" w14:textId="77777777" w:rsidR="000C5A5A" w:rsidRDefault="000C5A5A" w:rsidP="00E7596C">
      <w:pPr>
        <w:pStyle w:val="BodyText"/>
      </w:pPr>
    </w:p>
    <w:p w14:paraId="2CC923CC" w14:textId="056EF47F"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w:t>
      </w:r>
      <w:r w:rsidRPr="005B520E">
        <w:lastRenderedPageBreak/>
        <w:t>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lastRenderedPageBreak/>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DEC032B" w14:textId="77777777" w:rsidR="00105C81" w:rsidRDefault="00105C81" w:rsidP="001A3B3D">
      <w:r>
        <w:separator/>
      </w:r>
    </w:p>
  </w:endnote>
  <w:endnote w:type="continuationSeparator" w:id="0">
    <w:p w14:paraId="762D0D08" w14:textId="77777777" w:rsidR="00105C81" w:rsidRDefault="00105C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76D7B1" w14:textId="77777777" w:rsidR="00105C81" w:rsidRDefault="00105C81" w:rsidP="001A3B3D">
      <w:r>
        <w:separator/>
      </w:r>
    </w:p>
  </w:footnote>
  <w:footnote w:type="continuationSeparator" w:id="0">
    <w:p w14:paraId="596CAEFD" w14:textId="77777777" w:rsidR="00105C81" w:rsidRDefault="00105C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65152062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5A5A"/>
    <w:rsid w:val="00105C81"/>
    <w:rsid w:val="001224DE"/>
    <w:rsid w:val="0015079E"/>
    <w:rsid w:val="00156B74"/>
    <w:rsid w:val="00196ADE"/>
    <w:rsid w:val="001A2EFD"/>
    <w:rsid w:val="001A3B3D"/>
    <w:rsid w:val="001A42EA"/>
    <w:rsid w:val="001B67DC"/>
    <w:rsid w:val="001D7BCF"/>
    <w:rsid w:val="00202D05"/>
    <w:rsid w:val="002254A9"/>
    <w:rsid w:val="00233D97"/>
    <w:rsid w:val="00251D41"/>
    <w:rsid w:val="002850E3"/>
    <w:rsid w:val="002C1E4E"/>
    <w:rsid w:val="002D2912"/>
    <w:rsid w:val="00354FCF"/>
    <w:rsid w:val="003940CF"/>
    <w:rsid w:val="003A19E2"/>
    <w:rsid w:val="0042137C"/>
    <w:rsid w:val="00421EC6"/>
    <w:rsid w:val="004325FB"/>
    <w:rsid w:val="004432BA"/>
    <w:rsid w:val="0044407E"/>
    <w:rsid w:val="00470318"/>
    <w:rsid w:val="00476A87"/>
    <w:rsid w:val="004A3C22"/>
    <w:rsid w:val="004D72B5"/>
    <w:rsid w:val="0054052C"/>
    <w:rsid w:val="00547E73"/>
    <w:rsid w:val="00551B7F"/>
    <w:rsid w:val="0056583B"/>
    <w:rsid w:val="0056610F"/>
    <w:rsid w:val="00575BCA"/>
    <w:rsid w:val="005B0344"/>
    <w:rsid w:val="005B520E"/>
    <w:rsid w:val="005E2800"/>
    <w:rsid w:val="00600525"/>
    <w:rsid w:val="00605407"/>
    <w:rsid w:val="006347CF"/>
    <w:rsid w:val="00645D22"/>
    <w:rsid w:val="00651A08"/>
    <w:rsid w:val="00654204"/>
    <w:rsid w:val="00670434"/>
    <w:rsid w:val="006B6B66"/>
    <w:rsid w:val="006D335D"/>
    <w:rsid w:val="006E3FA5"/>
    <w:rsid w:val="006F6D3D"/>
    <w:rsid w:val="00704134"/>
    <w:rsid w:val="00715BEA"/>
    <w:rsid w:val="007257F3"/>
    <w:rsid w:val="00740EEA"/>
    <w:rsid w:val="00794804"/>
    <w:rsid w:val="007A4CB1"/>
    <w:rsid w:val="007A6ED1"/>
    <w:rsid w:val="007B33F1"/>
    <w:rsid w:val="007C0308"/>
    <w:rsid w:val="007C2FF2"/>
    <w:rsid w:val="007D6232"/>
    <w:rsid w:val="007F1F99"/>
    <w:rsid w:val="007F768F"/>
    <w:rsid w:val="0080791D"/>
    <w:rsid w:val="00873603"/>
    <w:rsid w:val="008A2C7D"/>
    <w:rsid w:val="008A4E1D"/>
    <w:rsid w:val="008C1302"/>
    <w:rsid w:val="008C4B23"/>
    <w:rsid w:val="008F6E2C"/>
    <w:rsid w:val="009303D9"/>
    <w:rsid w:val="00933C64"/>
    <w:rsid w:val="00972203"/>
    <w:rsid w:val="00987CF0"/>
    <w:rsid w:val="009A70A2"/>
    <w:rsid w:val="00A059B3"/>
    <w:rsid w:val="00A83751"/>
    <w:rsid w:val="00AE3409"/>
    <w:rsid w:val="00B11A60"/>
    <w:rsid w:val="00B2245B"/>
    <w:rsid w:val="00B22613"/>
    <w:rsid w:val="00B4367D"/>
    <w:rsid w:val="00B50DFA"/>
    <w:rsid w:val="00B6644C"/>
    <w:rsid w:val="00B97A31"/>
    <w:rsid w:val="00BA1025"/>
    <w:rsid w:val="00BA77C1"/>
    <w:rsid w:val="00BB656A"/>
    <w:rsid w:val="00BC3420"/>
    <w:rsid w:val="00BE7D3C"/>
    <w:rsid w:val="00BF5FF6"/>
    <w:rsid w:val="00C0207F"/>
    <w:rsid w:val="00C16117"/>
    <w:rsid w:val="00C3075A"/>
    <w:rsid w:val="00C30C4B"/>
    <w:rsid w:val="00C722F9"/>
    <w:rsid w:val="00C76FFC"/>
    <w:rsid w:val="00C919A4"/>
    <w:rsid w:val="00C97A72"/>
    <w:rsid w:val="00CA4392"/>
    <w:rsid w:val="00CC393F"/>
    <w:rsid w:val="00D004B9"/>
    <w:rsid w:val="00D13749"/>
    <w:rsid w:val="00D2176E"/>
    <w:rsid w:val="00D27CC0"/>
    <w:rsid w:val="00D632BE"/>
    <w:rsid w:val="00D64C06"/>
    <w:rsid w:val="00D72D06"/>
    <w:rsid w:val="00D7522C"/>
    <w:rsid w:val="00D7536F"/>
    <w:rsid w:val="00D76668"/>
    <w:rsid w:val="00DC4722"/>
    <w:rsid w:val="00DD5BFD"/>
    <w:rsid w:val="00E601A1"/>
    <w:rsid w:val="00E61E12"/>
    <w:rsid w:val="00E7596C"/>
    <w:rsid w:val="00E878F2"/>
    <w:rsid w:val="00EA2433"/>
    <w:rsid w:val="00EA269E"/>
    <w:rsid w:val="00EB796A"/>
    <w:rsid w:val="00EB7F8A"/>
    <w:rsid w:val="00ED0149"/>
    <w:rsid w:val="00EF7DE3"/>
    <w:rsid w:val="00F03103"/>
    <w:rsid w:val="00F12284"/>
    <w:rsid w:val="00F271DE"/>
    <w:rsid w:val="00F37CE2"/>
    <w:rsid w:val="00F627DA"/>
    <w:rsid w:val="00F7288F"/>
    <w:rsid w:val="00F847A6"/>
    <w:rsid w:val="00F9441B"/>
    <w:rsid w:val="00F96569"/>
    <w:rsid w:val="00FA4C32"/>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6</b:RefOrder>
  </b:Source>
  <b:Source>
    <b:Tag>Har</b:Tag>
    <b:SourceType>InternetSite</b:SourceType>
    <b:Guid>{3BDE2A1D-9DC5-2142-8AA6-39C3D75619C7}</b:Guid>
    <b:Title>Harry Potter Books dataset</b:Title>
    <b:URL>https://www.kaggle.com/datasets/shubhammaindola/harry-potter-books</b:URL>
    <b:RefOrder>7</b:RefOrder>
  </b:Source>
  <b:Source>
    <b:Tag>Har1</b:Tag>
    <b:SourceType>InternetSite</b:SourceType>
    <b:Guid>{859D0DA6-A6CB-D042-82A3-7E59C922ECE9}</b:Guid>
    <b:Title>Harry Potter Trivia Questions</b:Title>
    <b:URL>https://www.kaggle.com/datasets/thiagoh1/harry-potter-trivia-questions</b:URL>
    <b:RefOrder>8</b:RefOrder>
  </b:Source>
</b:Sources>
</file>

<file path=customXml/itemProps1.xml><?xml version="1.0" encoding="utf-8"?>
<ds:datastoreItem xmlns:ds="http://purl.oclc.org/ooxml/officeDocument/customXml" ds:itemID="{BCD37A76-E66C-ED41-8647-28944F73AF8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TotalTime>
  <Pages>5</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5</cp:revision>
  <dcterms:created xsi:type="dcterms:W3CDTF">2025-04-07T23:17:00Z</dcterms:created>
  <dcterms:modified xsi:type="dcterms:W3CDTF">2025-04-10T22:47:00Z</dcterms:modified>
</cp:coreProperties>
</file>