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41.png" ContentType="image/png"/>
  <Override PartName="/word/media/rId100.png" ContentType="image/png"/>
  <Override PartName="/word/media/rId32.png" ContentType="image/png"/>
  <Override PartName="/word/media/rId62.png" ContentType="image/png"/>
  <Override PartName="/word/media/rId53.png" ContentType="image/png"/>
  <Override PartName="/word/media/rId58.png" ContentType="image/png"/>
  <Override PartName="/word/media/rId78.png" ContentType="image/png"/>
  <Override PartName="/word/media/rId84.png" ContentType="image/png"/>
  <Override PartName="/word/media/rId72.png" ContentType="image/png"/>
  <Override PartName="/word/media/rId68.png" ContentType="image/png"/>
  <Override PartName="/word/media/rId47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de Valores Extremos do Fluxo de Raios X Solar observado pelo GOES-16</w:t>
      </w:r>
    </w:p>
    <w:p>
      <w:pPr>
        <w:pStyle w:val="Subtitle"/>
      </w:pPr>
      <w:r>
        <w:t xml:space="preserve">Máximos mensais, ajuste GEV e limites da extrapolação</w:t>
      </w:r>
    </w:p>
    <w:p>
      <w:pPr>
        <w:pStyle w:val="Date"/>
      </w:pPr>
      <w:r>
        <w:t xml:space="preserve">2026-10-28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O GOES-16 registra o fluxo de raios X proveniente do Sol. No canal XRS-B, aumentos abruptos podem acompanhar períodos de intensa atividade solar, como erupções solares. Aqui, o interesse está na</w:t>
      </w:r>
      <w:r>
        <w:t xml:space="preserve"> </w:t>
      </w:r>
      <w:r>
        <w:rPr>
          <w:b/>
          <w:bCs/>
        </w:rPr>
        <w:t xml:space="preserve">magnitude do fluxo observado</w:t>
      </w:r>
      <w:r>
        <w:t xml:space="preserve">: um máximo estatístico não é, por si só, uma erupção fisicamente identificada ou classificada.</w:t>
      </w:r>
    </w:p>
    <w:p>
      <w:pPr>
        <w:pStyle w:val="BodyText"/>
      </w:pPr>
      <w:r>
        <w:t xml:space="preserve">Valores muito elevados podem ficar pouco representados por uma descrição centrada apenas na média. Por isso, a pergunta deste trabalho é:</w:t>
      </w:r>
      <w:r>
        <w:t xml:space="preserve"> </w:t>
      </w:r>
      <w:r>
        <w:rPr>
          <w:b/>
          <w:bCs/>
        </w:rPr>
        <w:t xml:space="preserve">“Como se comportam os valores extremos do fluxo de raios X solar medidos pelo GOES-16 e até que ponto modelos estatísticos de valores extremos conseguem representar esses eventos?”</w:t>
      </w:r>
    </w:p>
    <w:p>
      <w:pPr>
        <w:pStyle w:val="BodyText"/>
      </w:pPr>
      <w:r>
        <w:t xml:space="preserve">O objetivo geral é caracterizar esses extremos e avaliar a capacidade dos modelos de descrevê-los. Os objetivos específicos são:</w:t>
      </w:r>
    </w:p>
    <w:p>
      <w:pPr>
        <w:pStyle w:val="Compact"/>
        <w:numPr>
          <w:ilvl w:val="0"/>
          <w:numId w:val="1001"/>
        </w:numPr>
      </w:pPr>
      <w:r>
        <w:t xml:space="preserve">descrever a distribuição e a evolução temporal do fluxo;</w:t>
      </w:r>
    </w:p>
    <w:p>
      <w:pPr>
        <w:pStyle w:val="Compact"/>
        <w:numPr>
          <w:ilvl w:val="0"/>
          <w:numId w:val="1001"/>
        </w:numPr>
      </w:pPr>
      <w:r>
        <w:t xml:space="preserve">comparar máximos diários, semanais e mensais e selecionar uma agregação de referência;</w:t>
      </w:r>
    </w:p>
    <w:p>
      <w:pPr>
        <w:pStyle w:val="Compact"/>
        <w:numPr>
          <w:ilvl w:val="0"/>
          <w:numId w:val="1001"/>
        </w:numPr>
      </w:pPr>
      <w:r>
        <w:t xml:space="preserve">ajustar a GEV, examinar seus diagnósticos e interpretar níveis de retorno com incerteza;</w:t>
      </w:r>
    </w:p>
    <w:p>
      <w:pPr>
        <w:pStyle w:val="Compact"/>
        <w:numPr>
          <w:ilvl w:val="0"/>
          <w:numId w:val="1001"/>
        </w:numPr>
      </w:pPr>
      <w:r>
        <w:t xml:space="preserve">avaliar a dependência, uma extensão temporal e a sensibilidade dos resultados aos maiores máximos.</w:t>
      </w:r>
    </w:p>
    <w:p>
      <w:pPr>
        <w:pStyle w:val="FirstParagraph"/>
      </w:pPr>
      <w:r>
        <w:t xml:space="preserve">A apresentação toma como inspiração a sequência descritiva do trabalho de Brito (s.d.): primeiro os dados, depois os modelos e seus resultados. A aplicação é adaptada ao fluxo solar, sem log-retornos, medidas de risco financeiro ou classificação física de flares. Os resultados serão avaliados por sua coerência com as observações, inclusive quando mostrarem limitações dos modelos.</w:t>
      </w:r>
    </w:p>
    <w:bookmarkEnd w:id="20"/>
    <w:bookmarkStart w:id="28" w:name="referencial-teórico"/>
    <w:p>
      <w:pPr>
        <w:pStyle w:val="Heading1"/>
      </w:pPr>
      <w:r>
        <w:t xml:space="preserve">2. Referencial teórico</w:t>
      </w:r>
    </w:p>
    <w:bookmarkStart w:id="21" w:name="teoria-de-valores-extremos"/>
    <w:p>
      <w:pPr>
        <w:pStyle w:val="Heading2"/>
      </w:pPr>
      <w:r>
        <w:t xml:space="preserve">2.1 Teoria de Valores Extremos</w:t>
      </w:r>
    </w:p>
    <w:p>
      <w:pPr>
        <w:pStyle w:val="FirstParagraph"/>
      </w:pPr>
      <w:r>
        <w:t xml:space="preserve">Valores extremos são observações muito afastadas da região habitual da distribuição. Uma série pode ter mediana baixa e, ocasionalmente, apresentar picos muitas vezes maiores. Média e desvio-padrão ajudam a resumir a série, mas não respondem diretamente à pergunta sobre a magnitude desses picos.</w:t>
      </w:r>
    </w:p>
    <w:p>
      <w:pPr>
        <w:pStyle w:val="BodyText"/>
      </w:pPr>
      <w:r>
        <w:t xml:space="preserve">A Teoria de Valores Extremos (TVE) estuda o comportamento de máximos, mínimos e excedências elevadas. Neste trabalho, o foco são</w:t>
      </w:r>
      <w:r>
        <w:t xml:space="preserve"> </w:t>
      </w:r>
      <w:r>
        <w:rPr>
          <w:b/>
          <w:bCs/>
        </w:rPr>
        <w:t xml:space="preserve">máximos por blocos</w:t>
      </w:r>
      <w:r>
        <w:t xml:space="preserve">. O resultado clássico de Fisher e Tippett (1928) estabelece as possíveis formas de limite não degenerado de máximos independentes, após normalização e sob condições de convergência. A GEV reúne essas formas em uma família. Isso motiva sua aplicação, mas não garante que blocos de tamanho finito de uma série dependente e heterogênea já sejam bem descritos por ela.</w:t>
      </w:r>
    </w:p>
    <w:bookmarkEnd w:id="21"/>
    <w:bookmarkStart w:id="22" w:name="máximos-em-blocos"/>
    <w:p>
      <w:pPr>
        <w:pStyle w:val="Heading2"/>
      </w:pPr>
      <w:r>
        <w:t xml:space="preserve">2.2 Máximos em blocos</w:t>
      </w:r>
    </w:p>
    <w:p>
      <w:pPr>
        <w:pStyle w:val="FirstParagraph"/>
      </w:pPr>
      <w:r>
        <w:t xml:space="preserve">O método divide a série em períodos e conserva o maior valor de cada período. Como exemplo apenas ilustrativo, se três dias contivessem os valores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t xml:space="preserve"> </w:t>
      </w:r>
      <w:r>
        <w:t xml:space="preserve">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, seus máximos seriam 8, 4 e 6. O mesmo princípio vale para semanas e meses.</w:t>
      </w:r>
    </w:p>
    <w:p>
      <w:pPr>
        <w:pStyle w:val="BodyText"/>
      </w:pPr>
      <w:r>
        <w:t xml:space="preserve">Blocos curtos geram mais máximos, mas podem dividir um episódio prolongado entre períodos vizinhos. Blocos maiores reduzem o número de observações e podem aumentar a incerteza. Por isso, serão comparados dias, semanas e meses de calendário, sem presumir que a agregação elimina a dependência.</w:t>
      </w:r>
    </w:p>
    <w:bookmarkEnd w:id="22"/>
    <w:bookmarkStart w:id="24" w:name="distribuição-gev"/>
    <w:p>
      <w:pPr>
        <w:pStyle w:val="Heading2"/>
      </w:pPr>
      <w:r>
        <w:t xml:space="preserve">2.3 Distribuição GEV</w:t>
      </w:r>
    </w:p>
    <w:p>
      <w:pPr>
        <w:pStyle w:val="FirstParagraph"/>
      </w:pPr>
      <w:r>
        <w:t xml:space="preserve">A função de distribuição da Generalizada de Valores Extremos é</w:t>
      </w:r>
    </w:p>
    <w:p>
      <w:pPr>
        <w:pStyle w:val="BodyText"/>
      </w:pPr>
      <w:bookmarkStart w:id="23" w:name="eq-gev"/>
      <m:oMathPara>
        <m:oMathParaPr>
          <m:jc m:val="center"/>
        </m:oMathParaPr>
        <m:oMath>
          <m:r>
            <m:t>G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ξ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ξ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num>
                        <m:den>
                          <m:r>
                            <m:t>σ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ξ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ξ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3"/>
    </w:p>
    <w:p>
      <w:pPr>
        <w:pStyle w:val="FirstParagraph"/>
      </w:pPr>
      <w:r>
        <w:t xml:space="preserve">Os três parâmetros descrevem aspectos diferentes: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Localização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desloca a distribuição para valores mais baixos ou altos; não é necessariamente sua média.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controla a dispersão; é positiva e não corresponde diretamente ao desvio-padrão.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Forma</w:t>
      </w:r>
      <w:r>
        <w:rPr>
          <w:b/>
          <w:bCs/>
        </w:rPr>
        <w:t xml:space="preserve"> </w:t>
      </w:r>
      <m:oMath>
        <m:r>
          <m:t>ξ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determina o comportamento da cauda superior. Forma positiva corresponde a cauda pesada (Fréchet); o limite em zero é Gumbel; forma negativa implica um limite superior no modelo (Weibull reversa).</w:t>
      </w:r>
    </w:p>
    <w:p>
      <w:pPr>
        <w:pStyle w:val="FirstParagraph"/>
      </w:pPr>
      <w:r>
        <w:t xml:space="preserve">Localização e escala têm a unidade do fluxo; a forma é adimensional. A interpretação de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deve considerar sua incerteza e os diagnósticos. Uma forma muito elevada pode produzir extrapolações pouco plausíveis, mesmo quando o algoritmo consegue estimar os parâmetros. Um limite ou momento matemático do modelo também não constitui automaticamente uma propriedade física da emissão solar.</w:t>
      </w:r>
    </w:p>
    <w:bookmarkEnd w:id="24"/>
    <w:bookmarkStart w:id="25" w:name="estacionariedade-e-dependência-temporal"/>
    <w:p>
      <w:pPr>
        <w:pStyle w:val="Heading2"/>
      </w:pPr>
      <w:r>
        <w:t xml:space="preserve">2.4 Estacionariedade e dependência temporal</w:t>
      </w:r>
    </w:p>
    <w:p>
      <w:pPr>
        <w:pStyle w:val="FirstParagraph"/>
      </w:pPr>
      <w:r>
        <w:t xml:space="preserve">Um modelo estacionário pressupõe que a distribuição dos máximos permaneça a mesma ao longo do tempo. Já a dependência significa que observar um valor fornece informação sobre outros valores próximos. Esses conceitos são distintos: a distribuição pode mudar ao longo dos anos e, simultaneamente, observações vizinhas podem ser semelhantes.</w:t>
      </w:r>
    </w:p>
    <w:p>
      <w:pPr>
        <w:pStyle w:val="BodyText"/>
      </w:pPr>
      <w:r>
        <w:t xml:space="preserve">Na série solar, convém investigar ambos antes de interpretar uma distribuição global. Autocorrelações e o diagnóstico de Ljung–Box (1978) ajudam a examinar a estrutura temporal, mas um resultado não significativo não prova independência. Uma tendência linear na localização é uma extensão simples do modelo estacionário, não uma descrição completa da atividade solar.</w:t>
      </w:r>
    </w:p>
    <w:p>
      <w:pPr>
        <w:pStyle w:val="BodyText"/>
      </w:pPr>
      <w:r>
        <w:t xml:space="preserve">A dependência também importa para a incerteza. Em um bootstrap usual, sortear observações isoladas destrói sua vizinhança temporal. O</w:t>
      </w:r>
      <w:r>
        <w:t xml:space="preserve"> </w:t>
      </w:r>
      <w:r>
        <w:rPr>
          <w:b/>
          <w:bCs/>
        </w:rPr>
        <w:t xml:space="preserve">bootstrap de blocos móveis</w:t>
      </w:r>
      <w:r>
        <w:t xml:space="preserve"> </w:t>
      </w:r>
      <w:r>
        <w:t xml:space="preserve">sorteia segmentos consecutivos, preservando parte dessa estrutura local. Seus intervalos continuam condicionais às hipóteses: ele não resolve, por si só, mudanças de distribuição de longo prazo.</w:t>
      </w:r>
    </w:p>
    <w:bookmarkEnd w:id="25"/>
    <w:bookmarkStart w:id="27" w:name="níveis-de-retorno"/>
    <w:p>
      <w:pPr>
        <w:pStyle w:val="Heading2"/>
      </w:pPr>
      <w:r>
        <w:t xml:space="preserve">2.5 Níveis de retorno</w:t>
      </w:r>
    </w:p>
    <w:p>
      <w:pPr>
        <w:pStyle w:val="FirstParagraph"/>
      </w:pPr>
      <w:r>
        <w:t xml:space="preserve">O nível de retorno responde a uma pergunta como:</w:t>
      </w:r>
      <w:r>
        <w:t xml:space="preserve"> </w:t>
      </w:r>
      <w:r>
        <w:t xml:space="preserve">“Qual magnitude de fluxo está associada, segundo o modelo, a um período de retorno de dez anos?”</w:t>
      </w:r>
      <w:r>
        <w:t xml:space="preserve">. Com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blocos por ano, define-se</w:t>
      </w:r>
    </w:p>
    <w:p>
      <w:pPr>
        <w:pStyle w:val="BodyText"/>
      </w:pPr>
      <w:bookmarkStart w:id="26" w:name="eq-retorno"/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t>T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</m:oMath>
      </m:oMathPara>
      <w:bookmarkEnd w:id="26"/>
    </w:p>
    <w:p>
      <w:pPr>
        <w:pStyle w:val="FirstParagraph"/>
      </w:pPr>
      <w:r>
        <w:t xml:space="preserve">Para máximos mensais,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12</m:t>
        </m:r>
      </m:oMath>
      <w:r>
        <w:t xml:space="preserve">: o nível de dez anos é um quantil com probabilidade de excedência de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rPr>
          <w:b/>
          <w:bCs/>
        </w:rPr>
        <w:t xml:space="preserve">por mês</w:t>
      </w:r>
      <w:r>
        <w:t xml:space="preserve">. Sob estabilidade e independência aproximadas, o tempo médio de espera seria de 120 blocos. Isso não significa que o evento ocorrerá exatamente a cada dez anos, nem que os meses sejam efetivamente independentes nesta base.</w:t>
      </w:r>
    </w:p>
    <w:p>
      <w:pPr>
        <w:pStyle w:val="BodyText"/>
      </w:pPr>
      <w:r>
        <w:t xml:space="preserve">Quanto maior o período, mais distante da região bem informada pelos dados fica o quantil. Se a cauda do modelo não representar bem a amostra, um intervalo calculado sob esse modelo não corrige essa falha. Assim, níveis de retorno precisam ser acompanhados de diagnósticos e de uma avaliação da estabilidade temporal.</w:t>
      </w:r>
    </w:p>
    <w:bookmarkEnd w:id="27"/>
    <w:bookmarkEnd w:id="28"/>
    <w:bookmarkStart w:id="29" w:name="dados-e-metodologia"/>
    <w:p>
      <w:pPr>
        <w:pStyle w:val="Heading1"/>
      </w:pPr>
      <w:r>
        <w:t xml:space="preserve">3. Dados e metodologia</w:t>
      </w:r>
    </w:p>
    <w:p>
      <w:pPr>
        <w:pStyle w:val="FirstParagraph"/>
      </w:pPr>
      <w:r>
        <w:t xml:space="preserve">A análise utiliza o arquivo GOES-16 fornecido para o projeto, com a variável</w:t>
      </w:r>
      <w:r>
        <w:t xml:space="preserve"> </w:t>
      </w:r>
      <w:r>
        <w:rPr>
          <w:rStyle w:val="VerbatimChar"/>
        </w:rPr>
        <w:t xml:space="preserve">xrsb_flux</w:t>
      </w:r>
      <w:r>
        <w:t xml:space="preserve">, do canal XRS-B (0,1–0,8 nm). O período efetivamente observado vai de</w:t>
      </w:r>
      <w:r>
        <w:t xml:space="preserve"> </w:t>
      </w:r>
      <w:r>
        <w:rPr>
          <w:b/>
          <w:bCs/>
        </w:rPr>
        <w:t xml:space="preserve">07/02/2017 a 07/04/2025</w:t>
      </w:r>
      <w:r>
        <w:t xml:space="preserve">, em UTC. Cada registro representa uma média de um minuto, com cadência mediana de 60 segundos e unidade W/m². Portanto, estudam-se máximos dessas médias, não picos instantâneos.</w:t>
      </w:r>
    </w:p>
    <w:p>
      <w:pPr>
        <w:pStyle w:val="BodyText"/>
      </w:pPr>
      <w:r>
        <w:t xml:space="preserve">O controle de qualidade segue os metadados do produto: conserva somente registros identificados como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, com tempo válido e fluxo finito, positivo e dentro da faixa declarada. Interpolados e demais condições de qualidade são rejeitados.</w:t>
      </w:r>
      <w:r>
        <w:t xml:space="preserve"> </w:t>
      </w:r>
      <w:r>
        <w:rPr>
          <w:b/>
          <w:bCs/>
        </w:rPr>
        <w:t xml:space="preserve">Nenhum valor é excluído apenas por ser elevado.</w:t>
      </w:r>
      <w:r>
        <w:t xml:space="preserve"> </w:t>
      </w:r>
      <w:r>
        <w:t xml:space="preserve">Registros rejeitados não são substituídos por picos imputados; a contabilidade detalhada está no</w:t>
      </w:r>
      <w:r>
        <w:t xml:space="preserve"> </w:t>
      </w:r>
      <w:hyperlink w:anchor="ap-controle">
        <w:r>
          <w:rPr>
            <w:rStyle w:val="Hyperlink"/>
          </w:rPr>
          <w:t xml:space="preserve">Apêndice: controle de qualidade</w:t>
        </w:r>
      </w:hyperlink>
      <w:r>
        <w:t xml:space="preserve">.</w:t>
      </w:r>
    </w:p>
    <w:p>
      <w:pPr>
        <w:pStyle w:val="BodyText"/>
      </w:pPr>
      <w:r>
        <w:t xml:space="preserve">Foram construídos máximos de dias UTC, semanas de segunda a domingo e meses de calendário. Um bloco é elegível quando contém pelo menos</w:t>
      </w:r>
      <w:r>
        <w:t xml:space="preserve"> </w:t>
      </w:r>
      <w:r>
        <w:rPr>
          <w:b/>
          <w:bCs/>
        </w:rPr>
        <w:t xml:space="preserve">90% dos minutos esperados no período civil completo</w:t>
      </w:r>
      <w:r>
        <w:t xml:space="preserve">. Essa regra também vale para blocos nas bordas da base; não se reduz o denominador para aprovar um mês parcial.</w:t>
      </w:r>
    </w:p>
    <w:p>
      <w:pPr>
        <w:pStyle w:val="BodyText"/>
      </w:pPr>
      <w:r>
        <w:t xml:space="preserve">A seleção compara disponibilidade de máximos, correlação de pares consecutivos e viabilidade do ajuste GEV. Exigem-se ao menos 50 máximos e um ajuste numericamente válido. Entre candidatos, prioriza-se a menor correlação absoluta; diferenças de até 0,02 favorecem a agregação maior. AIC entre amostras de blocos diferentes não é usado para escolher o calendário. A regra e seus resultados são apresentados na</w:t>
      </w:r>
      <w:r>
        <w:t xml:space="preserve"> </w:t>
      </w:r>
      <w:hyperlink w:anchor="sec-blocos">
        <w:r>
          <w:rPr>
            <w:rStyle w:val="Hyperlink"/>
          </w:rPr>
          <w:t xml:space="preserve">Seção 4.3</w:t>
        </w:r>
      </w:hyperlink>
      <w:r>
        <w:t xml:space="preserve">.</w:t>
      </w:r>
    </w:p>
    <w:p>
      <w:pPr>
        <w:pStyle w:val="BodyText"/>
      </w:pPr>
      <w:r>
        <w:t xml:space="preserve">A GEV é estimada por máxima verossimilhança com</w:t>
      </w:r>
      <w:r>
        <w:t xml:space="preserve"> </w:t>
      </w:r>
      <w:r>
        <w:rPr>
          <w:rStyle w:val="VerbatimChar"/>
        </w:rPr>
        <w:t xml:space="preserve">evd</w:t>
      </w:r>
      <w:r>
        <w:t xml:space="preserve">. A comparação temporal acrescenta localização linear,</w:t>
      </w:r>
      <w:r>
        <w:t xml:space="preserve"> </w:t>
      </w:r>
      <m:oMath>
        <m:r>
          <m:t>μ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t</m:t>
        </m:r>
      </m:oMath>
      <w:r>
        <w:t xml:space="preserve">, mantendo escala e forma constantes. Autocorrelações usam log10 apenas para diagnóstico e respeitam lacunas; a GEV é ajustada aos</w:t>
      </w:r>
      <w:r>
        <w:t xml:space="preserve"> </w:t>
      </w:r>
      <w:r>
        <w:rPr>
          <w:b/>
          <w:bCs/>
        </w:rPr>
        <w:t xml:space="preserve">fluxos na escala original</w:t>
      </w:r>
      <w:r>
        <w:t xml:space="preserve">, com simples reescalonamento numérico posteriormente desfeito.</w:t>
      </w:r>
    </w:p>
    <w:p>
      <w:pPr>
        <w:pStyle w:val="BodyText"/>
      </w:pPr>
      <w:r>
        <w:t xml:space="preserve">Os níveis de retorno de 1, 2, 5 e 10 anos recebem intervalos percentis de 95% por bootstrap circular de blocos móveis. Foram previstas 399 replicações e segmentos de 5 meses na grade de calendário, conservando as lacunas. O procedimento preserva parte da dependência local, mas não corrige a heterogeneidade de longo prazo.</w:t>
      </w:r>
    </w:p>
    <w:bookmarkEnd w:id="29"/>
    <w:bookmarkStart w:id="90" w:name="resultados"/>
    <w:p>
      <w:pPr>
        <w:pStyle w:val="Heading1"/>
      </w:pPr>
      <w:r>
        <w:t xml:space="preserve">4. Resultados</w:t>
      </w:r>
    </w:p>
    <w:bookmarkStart w:id="46" w:name="análise-descritiva-do-fluxo-solar"/>
    <w:p>
      <w:pPr>
        <w:pStyle w:val="Heading2"/>
      </w:pPr>
      <w:r>
        <w:t xml:space="preserve">4.1 Análise descritiva do fluxo solar</w:t>
      </w:r>
    </w:p>
    <w:bookmarkStart w:id="31" w:name="como-são-os-valores-observados"/>
    <w:p>
      <w:pPr>
        <w:pStyle w:val="Heading3"/>
      </w:pPr>
      <w:r>
        <w:t xml:space="preserve">4.1.1 Como são os valores observados?</w:t>
      </w:r>
    </w:p>
    <w:p>
      <w:pPr>
        <w:pStyle w:val="FirstParagraph"/>
      </w:pPr>
      <w:r>
        <w:t xml:space="preserve">A base contém</w:t>
      </w:r>
      <w:r>
        <w:t xml:space="preserve"> </w:t>
      </w:r>
      <w:r>
        <w:rPr>
          <w:b/>
          <w:bCs/>
        </w:rPr>
        <w:t xml:space="preserve">4.294.080 registros</w:t>
      </w:r>
      <w:r>
        <w:t xml:space="preserve">, dos quais</w:t>
      </w:r>
      <w:r>
        <w:t xml:space="preserve"> </w:t>
      </w:r>
      <w:r>
        <w:rPr>
          <w:b/>
          <w:bCs/>
        </w:rPr>
        <w:t xml:space="preserve">4.172.834 (97,18%)</w:t>
      </w:r>
      <w:r>
        <w:t xml:space="preserve"> </w:t>
      </w:r>
      <w:r>
        <w:t xml:space="preserve">satisfazem os critérios de qualidade. Foram removidos 121.246 registros; nesta base, a contabilidade atribui essas remoções a flags diferentes de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 </w:t>
      </w:r>
      <w:r>
        <w:t xml:space="preserve">(incluindo condições combinadas). Ausência temporal de aquisição e rejeição de qualidade podem ambas criar lacunas na série válida, mas não são a mesma quantidade.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descritiv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1: Resumo de todos os minutos válidos. CV = desvio-padrão/média; assimetria e curtose são momentos empíricos não corrigidos. Curtose Normal = 3.</w:t>
            </w:r>
          </w:p>
          <w:p>
            <w:pPr>
              <w:pStyle w:val="Compact"/>
              <w:jc w:val="center"/>
            </w:pPr>
            <w:r>
              <w:t xml:space="preserve">Resumo de todos os minutos válidos. CV = desvio-padrão/média; assimetria e curtose são momentos empíricos não corrigidos. Curtose Normal = 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Resumo de todos os minutos válidos. CV = desvio-padrão/média; assimetria e curtose são momentos empíricos não corrigidos. Curtose Normal = 3."/>
            </w:tblPr>
            <w:tblGrid>
              <w:gridCol w:w="4044"/>
              <w:gridCol w:w="1685"/>
              <w:gridCol w:w="21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Estatística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Valor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Observações válidas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4.172.834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contagem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Mínimo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1.000e-09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Primeiro quartil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1.402e-08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1.292e-07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Média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1.145e-06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Terceiro quartil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1.234e-06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Máximo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1.464e-03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Desvio-padrão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6.341e-06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Coeficiente de variação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5,54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Assimetria empírica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80,89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Curtose de Pearson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11.707,23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30"/>
          <w:p/>
        </w:tc>
      </w:tr>
    </w:tbl>
    <w:p>
      <w:pPr>
        <w:pStyle w:val="BodyText"/>
      </w:pPr>
      <w:r>
        <w:t xml:space="preserve">A média (1.145e-06 W/m²) é 8.9 vezes a mediana. O máximo (1.464e-03 W/m²) é cerca de</w:t>
      </w:r>
      <w:r>
        <w:t xml:space="preserve"> </w:t>
      </w:r>
      <w:r>
        <w:rPr>
          <w:b/>
          <w:bCs/>
        </w:rPr>
        <w:t xml:space="preserve">11.334 vezes a mediana</w:t>
      </w:r>
      <w:r>
        <w:t xml:space="preserve">. Isso mostra a diferença entre o fluxo típico e os picos mais elevados. O CV de 5.54 expressa grande dispersão relativa; a assimetria positiva e a curtose elevada reforçam a presença de poucos valores muito distantes do centro. Esses momentos descrevem a amostra, sem provar uma lei física de cauda.</w:t>
      </w:r>
    </w:p>
    <w:bookmarkEnd w:id="31"/>
    <w:bookmarkStart w:id="40" w:name="distribuição-e-série-histórica"/>
    <w:p>
      <w:pPr>
        <w:pStyle w:val="Heading3"/>
      </w:pPr>
      <w:r>
        <w:t xml:space="preserve">4.1.2 Distribuição e série histórica</w:t>
      </w:r>
    </w:p>
    <w:p>
      <w:pPr>
        <w:pStyle w:val="FirstParagraph"/>
      </w:pPr>
      <w:r>
        <w:t xml:space="preserve">A</w:t>
      </w:r>
      <w:r>
        <w:t xml:space="preserve"> </w:t>
      </w:r>
      <w:hyperlink w:anchor="fig-distribuicao-hist">
        <w:r>
          <w:rPr>
            <w:rStyle w:val="Hyperlink"/>
          </w:rPr>
          <w:t xml:space="preserve">Figura 1</w:t>
        </w:r>
      </w:hyperlink>
      <w:r>
        <w:t xml:space="preserve"> </w:t>
      </w:r>
      <w:r>
        <w:t xml:space="preserve">e a</w:t>
      </w:r>
      <w:r>
        <w:t xml:space="preserve"> </w:t>
      </w:r>
      <w:hyperlink w:anchor="fig-serie-fluxo">
        <w:r>
          <w:rPr>
            <w:rStyle w:val="Hyperlink"/>
          </w:rPr>
          <w:t xml:space="preserve">Figura 2</w:t>
        </w:r>
      </w:hyperlink>
      <w:r>
        <w:t xml:space="preserve"> </w:t>
      </w:r>
      <w:r>
        <w:t xml:space="preserve">adaptam a combinação de histograma e série histórica da Figura 2 de Brito (s.d.). O fluxo varia por várias ordens de magnitude, razão para a escala log10 de visualização. Não se calcula log-retorno, nem se muda a variável utilizada na modelagem.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distribuicao-hist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as/histograma_lo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1: Painel A — Distribuição do fluxo XRS-B com eixo log10. Histograma de até 20 mil minutos sorteados com semente fixa exclusivamente para visualização; estatísticas e ajustes usam todos os dados pertinentes.</w:t>
            </w:r>
          </w:p>
          <w:bookmarkEnd w:id="35"/>
        </w:tc>
      </w:tr>
    </w:tbl>
    <w:p>
      <w:pPr>
        <w:pStyle w:val="BodyText"/>
      </w:pPr>
      <w:r>
        <w:t xml:space="preserve">O eixo logarítmico separa magnitudes que ficariam comprimidas perto de zero em escala linear. A maior parte dos minutos está distante dos maiores fluxos; o resumo por uma única média ocultaria essa diferença. As frequências do histograma pertencem à amostra visual, não ao total de minutos da tabela.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serie-fluxo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uras/serie_fluxo_horaria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2: Painel B — Série histórica em escala log10. Para tornar legíveis milhões de minutos, cada hora é resumida por mediana e envelope mínimo–máximo; todos os minutos válidos contribuem, inclusive o maior pico. Horas vazias permanecem sem valor.</w:t>
            </w:r>
          </w:p>
          <w:bookmarkEnd w:id="39"/>
        </w:tc>
      </w:tr>
    </w:tbl>
    <w:p>
      <w:pPr>
        <w:pStyle w:val="BodyText"/>
      </w:pPr>
      <w:r>
        <w:t xml:space="preserve">Há diferenças no patamar do fluxo ao longo do período e picos breves acima da região habitual. O envelope conserva os extremos horários, ao contrário de mostrar apenas uma média ou de sortear pontos no tempo. Trata-se de um resumo gráfico horário de toda a janela observada, não de uma curva contínua reconstruída onde faltam dados.</w:t>
      </w:r>
    </w:p>
    <w:bookmarkEnd w:id="40"/>
    <w:bookmarkStart w:id="45" w:name="variação-entre-anos"/>
    <w:p>
      <w:pPr>
        <w:pStyle w:val="Heading3"/>
      </w:pPr>
      <w:r>
        <w:t xml:space="preserve">4.1.3 Variação entre anos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variacao-anu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figuras/boxplots_ano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3: Distribuição por ano com eixo log10, na mesma amostra visual do histograma. Os pontos além dos bigodes são observações, não valores descartados.</w:t>
            </w:r>
          </w:p>
          <w:bookmarkEnd w:id="44"/>
        </w:tc>
      </w:tr>
    </w:tbl>
    <w:p>
      <w:pPr>
        <w:pStyle w:val="BodyText"/>
      </w:pPr>
      <w:r>
        <w:t xml:space="preserve">As posições das caixas mudam ao longo dos anos, mostrando que a variação não se limita a alguns picos isolados. Nas estatísticas calculadas com todos os minutos válidos, a mediana anual foi menor em 2019 e maior em 2024, com razão de 467.1 entre elas. O maior fluxo anual ocorreu em 2017: um grande pico e um patamar habitual alto são aspectos diferentes. Os anos inicial e final têm janelas parciais e exigem cuidado na comparação.</w:t>
      </w:r>
    </w:p>
    <w:bookmarkEnd w:id="45"/>
    <w:bookmarkEnd w:id="46"/>
    <w:bookmarkStart w:id="51" w:name="distribuição-do-fluxo-referência-normal"/>
    <w:p>
      <w:pPr>
        <w:pStyle w:val="Heading2"/>
      </w:pPr>
      <w:r>
        <w:t xml:space="preserve">4.2 Distribuição do fluxo: referência Normal</w:t>
      </w:r>
    </w:p>
    <w:p>
      <w:pPr>
        <w:pStyle w:val="FirstParagraph"/>
      </w:pPr>
      <w:r>
        <w:t xml:space="preserve">A distribuição do fluxo é assimétrica e restrita a valores positivos. O QQ contra a Normal já produzido pelo projeto oferece uma referência descritiva: ele não é um novo ajuste de um modelo financeiro nem um teste que identifique automaticamente uma lei de cauda.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norm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guras/qq_normal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4: QQ do fluxo contra quantis Normais, na amostra visual determinística. O afastamento sistemático da reta mostra a inadequação dessa referência às caudas do fluxo.</w:t>
            </w:r>
          </w:p>
          <w:bookmarkEnd w:id="50"/>
        </w:tc>
      </w:tr>
    </w:tbl>
    <w:p>
      <w:pPr>
        <w:pStyle w:val="BodyText"/>
      </w:pPr>
      <w:r>
        <w:t xml:space="preserve">Os picos superiores se afastam fortemente da reta. Isso concorda com a assimetria e curtose empíricas, mas não prova por si só o domínio Fréchet da GEV. A questão seguinte é como definir uma amostra de máximos por blocos, adequada ao objetivo de estudar magnitudes elevadas.</w:t>
      </w:r>
    </w:p>
    <w:bookmarkEnd w:id="51"/>
    <w:bookmarkStart w:id="57" w:name="sec-blocos"/>
    <w:p>
      <w:pPr>
        <w:pStyle w:val="Heading2"/>
      </w:pPr>
      <w:r>
        <w:t xml:space="preserve">4.3 Dependência e escolha dos máximos em blocos</w:t>
      </w:r>
    </w:p>
    <w:p>
      <w:pPr>
        <w:pStyle w:val="FirstParagraph"/>
      </w:pPr>
      <w:r>
        <w:t xml:space="preserve">Os três calendários geram amostras de tamanhos distintos. O bloco mensal apresenta a menor correlação de pares consecutivos entre os candidatos avaliados, embora essa correlação continue alta.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bloc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2: Comparação dos blocos. Cada bloco elegível tem cobertura mínima de 90%; Retidos (%) é a fração de blocos elegíveis, não a cobertura de minutos. Correlação de log10 dos pares adjacentes válidos, sem colapsar lacunas.</w:t>
            </w:r>
          </w:p>
          <w:p>
            <w:pPr>
              <w:pStyle w:val="Compact"/>
              <w:jc w:val="center"/>
            </w:pPr>
            <w:r>
              <w:t xml:space="preserve">Comparação dos blocos. Cada bloco elegível tem cobertura mínima de 90%; Retidos (%) é a fração de blocos elegíveis, não a cobertura de minutos. Correlação de log10 dos pares adjacentes válidos, sem colapsar lacunas.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Comparação dos blocos. Cada bloco elegível tem cobertura mínima de 90%; Retidos (%) é a fração de blocos elegíveis, não a cobertura de minutos. Correlação de log10 dos pares adjacentes válidos, sem colapsar lacunas."/>
            </w:tblPr>
            <w:tblGrid>
              <w:gridCol w:w="1152"/>
              <w:gridCol w:w="1584"/>
              <w:gridCol w:w="1440"/>
              <w:gridCol w:w="1152"/>
              <w:gridCol w:w="1584"/>
              <w:gridCol w:w="100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Calendário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Elegíveis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Retidos (%)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Correlação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 GEV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Semanal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0.8159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3.044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A agregação mensal conserva</w:t>
      </w:r>
      <w:r>
        <w:t xml:space="preserve"> </w:t>
      </w:r>
      <w:r>
        <w:rPr>
          <w:b/>
          <w:bCs/>
        </w:rPr>
        <w:t xml:space="preserve">94 de 99 meses</w:t>
      </w:r>
      <w:r>
        <w:t xml:space="preserve">. A correlação de 0.795 é menor que nas outras agregações, mas não está próxima de zero. Assim, a escolha oferece um compromisso entre agregação e quantidade de máximos;</w:t>
      </w:r>
      <w:r>
        <w:t xml:space="preserve"> </w:t>
      </w:r>
      <w:r>
        <w:rPr>
          <w:b/>
          <w:bCs/>
        </w:rPr>
        <w:t xml:space="preserve">não certifica independência ou bom ajuste</w:t>
      </w:r>
      <w:r>
        <w:t xml:space="preserve">. Os três modelos apresentam forma elevada. Não se comparam seus AIC para selecionar o calendário, pois as observações são diferentes.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maximos-blocos"/>
          <w:p>
            <w:pPr>
              <w:pStyle w:val="Compact"/>
              <w:jc w:val="center"/>
            </w:pPr>
            <w:r>
              <w:drawing>
                <wp:inline>
                  <wp:extent cx="5829300" cy="3886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guras/maximos_comparados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5: Máximos elegíveis diários, semanais e mensais na mesma escala de fluxo. A agregação reduz o número de pontos e conserva apenas o maior de cada período; lacunas não são aproximadas como blocos vizinhos.</w:t>
            </w:r>
          </w:p>
          <w:bookmarkEnd w:id="56"/>
        </w:tc>
      </w:tr>
    </w:tbl>
    <w:p>
      <w:pPr>
        <w:pStyle w:val="BodyText"/>
      </w:pPr>
      <w:r>
        <w:t xml:space="preserve">Os painéis mostram picos comuns às três agregações e diferenças de intensidade entre períodos. Ao aumentar o bloco, parte da fragmentação temporal é reduzida, mas perdem-se detalhes e observações. A duração total da base continua a mesma: milhões de minutos não equivalem a milhões de episódios independentes.</w:t>
      </w:r>
    </w:p>
    <w:bookmarkEnd w:id="57"/>
    <w:bookmarkStart w:id="66" w:name="série-histórica-dos-máximos-mensais"/>
    <w:p>
      <w:pPr>
        <w:pStyle w:val="Heading2"/>
      </w:pPr>
      <w:r>
        <w:t xml:space="preserve">4.4 Série histórica dos máximos mensais</w:t>
      </w:r>
    </w:p>
    <w:p>
      <w:pPr>
        <w:pStyle w:val="FirstParagraph"/>
      </w:pPr>
      <w:r>
        <w:t xml:space="preserve">A amostra principal contém</w:t>
      </w:r>
      <w:r>
        <w:t xml:space="preserve"> </w:t>
      </w:r>
      <w:r>
        <w:rPr>
          <w:b/>
          <w:bCs/>
        </w:rPr>
        <w:t xml:space="preserve">94 máximos mensais</w:t>
      </w:r>
      <w:r>
        <w:t xml:space="preserve">, de 03/2017 a 03/2025. São os valores que entram efetivamente na GEV principal.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mensais-principais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figuras/mensais_destaqu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6: Amostra mensal usada na modelagem. Os três maiores máximos são destacados pelo mês do bloco. Todos permanecem no ajuste principal; a escala log10 serve apenas à visualização.</w:t>
            </w:r>
          </w:p>
          <w:bookmarkEnd w:id="61"/>
        </w:tc>
      </w:tr>
    </w:tbl>
    <w:p>
      <w:pPr>
        <w:pStyle w:val="BodyText"/>
      </w:pPr>
      <w:r>
        <w:t xml:space="preserve">O maior máximo é 1.464e-03 W/m², no bloco iniciado em 09/2017. Os pontos menores também são relevantes: o modelo precisa representar a distribuição de todos os máximos elegíveis, não apenas os maiores. A evolução temporal sugere que reuni-los em uma única distribuição constante pode ser uma aproximação forte.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histograma-mensal"/>
          <w:p>
            <w:pPr>
              <w:pStyle w:val="Compact"/>
              <w:jc w:val="center"/>
            </w:pPr>
            <w:r>
              <w:drawing>
                <wp:inline>
                  <wp:extent cx="5537835" cy="282703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figuras/histograma_maximos_mensais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835" cy="2827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7: Distribuição dos mesmos máximos mensais elegíveis utilizados na GEV principal, com o critério de cobertura já definido. Frequências em classes de largura igual pela regra de Sturges, na escala original do fluxo, sem exclusão dos maiores valores.</w:t>
            </w:r>
          </w:p>
          <w:bookmarkEnd w:id="65"/>
        </w:tc>
      </w:tr>
    </w:tbl>
    <w:p>
      <w:pPr>
        <w:pStyle w:val="BodyText"/>
      </w:pPr>
      <w:r>
        <w:t xml:space="preserve">Observa-se forte assimetria à direita na distribuição dos máximos mensais. A maior parte dos blocos apresenta máximos relativamente menores, enquanto poucos meses concentram valores substancialmente mais elevados, formando uma cauda superior pronunciada. Esse comportamento reforça o interesse em modelar especificamente os extremos por meio da distribuição GEV. Entretanto, a presença visual de uma cauda direita não implica, por si só, que uma GEV de cauda muito pesada forneça um ajuste adequado; essa questão é avaliada posteriormente pelos diagnósticos do modelo. O histograma e o ajuste GEV utilizam o fluxo na escala original, em W/m².</w:t>
      </w:r>
    </w:p>
    <w:bookmarkEnd w:id="66"/>
    <w:bookmarkStart w:id="76" w:name="ajuste-da-gev"/>
    <w:p>
      <w:pPr>
        <w:pStyle w:val="Heading2"/>
      </w:pPr>
      <w:r>
        <w:t xml:space="preserve">4.5 Ajuste da GEV</w:t>
      </w:r>
    </w:p>
    <w:p>
      <w:pPr>
        <w:pStyle w:val="FirstParagraph"/>
      </w:pPr>
      <w:r>
        <w:t xml:space="preserve">A GEV estacionária convergiu numericamente, mas apresentou uma</w:t>
      </w:r>
      <w:r>
        <w:t xml:space="preserve"> </w:t>
      </w:r>
      <w:r>
        <w:rPr>
          <w:b/>
          <w:bCs/>
        </w:rPr>
        <w:t xml:space="preserve">forma muito elevada</w:t>
      </w:r>
      <w:r>
        <w:t xml:space="preserve">. A</w:t>
      </w:r>
      <w:r>
        <w:t xml:space="preserve"> </w:t>
      </w:r>
      <w:hyperlink w:anchor="tbl-parametros">
        <w:r>
          <w:rPr>
            <w:rStyle w:val="Hyperlink"/>
          </w:rPr>
          <w:t xml:space="preserve">Tabela 3</w:t>
        </w:r>
      </w:hyperlink>
      <w:r>
        <w:t xml:space="preserve"> </w:t>
      </w:r>
      <w:r>
        <w:t xml:space="preserve">combina as estimativas originais com os intervalos de bootstrap móvel, mais adequados à intenção de preservar dependência local do que interpretar erros padrão como se os meses fossem independentes.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tbl-parametr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3: GEV dos máximos mensais: estimativas e IC percentil nominal de 95% por bootstrap de blocos móveis. Intervalos condicionais ao modelo e à aproximação de estabilidade temporal.</w:t>
            </w:r>
          </w:p>
          <w:p>
            <w:pPr>
              <w:pStyle w:val="Compact"/>
              <w:jc w:val="center"/>
            </w:pPr>
            <w:r>
              <w:t xml:space="preserve">GEV dos máximos mensais: estimativas e IC percentil nominal de 95% por bootstrap de blocos móveis. Intervalos condicionais ao modelo e à aproximação de estabilidade temporal.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 dos máximos mensais: estimativas e IC percentil nominal de 95% por bootstrap de blocos móveis. Intervalos condicionais ao modelo e à aproximação de estabilidade temporal."/>
            </w:tblPr>
            <w:tblGrid>
              <w:gridCol w:w="1466"/>
              <w:gridCol w:w="1613"/>
              <w:gridCol w:w="1466"/>
              <w:gridCol w:w="1466"/>
              <w:gridCol w:w="190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Parâmetro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superior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8.776e-07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2.177e-05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2.523e-06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3.436e-05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W/m²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1.243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67"/>
          <w:p/>
        </w:tc>
      </w:tr>
    </w:tbl>
    <w:p>
      <w:pPr>
        <w:pStyle w:val="BodyText"/>
      </w:pPr>
      <w:r>
        <w:t xml:space="preserve">A localização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2.979e-06 W/m² posiciona a distribuição; a escala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8.208e-06 W/m² expressa sua dispersão. A forma</w:t>
      </w:r>
      <w:r>
        <w:t xml:space="preserve"> </w:t>
      </w:r>
      <m:oMath>
        <m:acc>
          <m:accPr>
            <m:chr m:val="̂"/>
          </m:accPr>
          <m:e>
            <m:r>
              <m:t>ξ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rPr>
          <w:b/>
          <w:bCs/>
        </w:rPr>
        <w:t xml:space="preserve">2.772</w:t>
      </w:r>
      <w:r>
        <w:t xml:space="preserve">, com IC [1.243, 3.457], corresponde a uma cauda pesada no modelo agregado. Não é uma medida de</w:t>
      </w:r>
      <w:r>
        <w:t xml:space="preserve"> </w:t>
      </w:r>
      <w:r>
        <w:t xml:space="preserve">“bom ajuste”</w:t>
      </w:r>
      <w:r>
        <w:t xml:space="preserve">. Como</w:t>
      </w:r>
      <w:r>
        <w:t xml:space="preserve"> </w:t>
      </w:r>
      <m:oMath>
        <m:r>
          <m:t>ξ</m:t>
        </m:r>
        <m:r>
          <m:rPr>
            <m:sty m:val="p"/>
          </m:rPr>
          <m:t>≥</m:t>
        </m:r>
        <m:r>
          <m:t>1</m:t>
        </m:r>
      </m:oMath>
      <w:r>
        <w:t xml:space="preserve">, a média da distribuição ajustada nem sequer é finita, consequência matemática que não deve ser atribuída ao fluxo solar.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qq-gev-princip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guras/qq_gev_mensal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8: QQ da GEV mensal: quantis teóricos versus observados, com ambos os eixos em escala log10. A diagonal representa igualdade; pontos muito abaixo dela indicam quantis teóricos excessivos.</w:t>
            </w:r>
          </w:p>
          <w:bookmarkEnd w:id="71"/>
        </w:tc>
      </w:tr>
    </w:tbl>
    <w:p>
      <w:pPr>
        <w:pStyle w:val="BodyText"/>
      </w:pPr>
      <w:r>
        <w:t xml:space="preserve">A região superior afasta-se fortemente da reta. Na posição empírica do maior ponto, o quantil teórico é 5.918e+00 W/m², contra 1.464e-03 W/m² observado. A GEV extrapola muito acima dos maiores fluxos desta amostra. O QQ cumpre a função diagnóstica que motiva a Figura 8 de Brito (s.d.), mas confronta diretamente a distribuição GEV ajustada, em vez de copiar a comparação com Gumbel ou classificar a cauda apenas pela curvatura.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pp-gev-princip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figuras/pp_gev_mensal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9: PP da GEV mensal: probabilidades empíricas versus probabilidades do modelo. Proximidade da diagonal indica concordância global, sem validar isoladamente a cauda.</w:t>
            </w:r>
          </w:p>
          <w:bookmarkEnd w:id="75"/>
        </w:tc>
      </w:tr>
    </w:tbl>
    <w:p>
      <w:pPr>
        <w:pStyle w:val="BodyText"/>
      </w:pPr>
      <w:r>
        <w:t xml:space="preserve">O PP resume discrepâncias no conjunto da distribuição; seu RMSE é 0.0759. Mesmo um alinhamento razoável de parte dos pontos não compensa o desvio superior do QQ. Portanto,</w:t>
      </w:r>
      <w:r>
        <w:t xml:space="preserve"> </w:t>
      </w:r>
      <w:r>
        <w:rPr>
          <w:b/>
          <w:bCs/>
        </w:rPr>
        <w:t xml:space="preserve">convergência numérica não equivale a adequação estatística</w:t>
      </w:r>
      <w:r>
        <w:t xml:space="preserve">.</w:t>
      </w:r>
    </w:p>
    <w:bookmarkEnd w:id="76"/>
    <w:bookmarkStart w:id="82" w:name="sec-retornos"/>
    <w:p>
      <w:pPr>
        <w:pStyle w:val="Heading2"/>
      </w:pPr>
      <w:r>
        <w:t xml:space="preserve">4.6 Níveis de retorno</w:t>
      </w:r>
    </w:p>
    <w:p>
      <w:pPr>
        <w:pStyle w:val="FirstParagraph"/>
      </w:pPr>
      <w:r>
        <w:t xml:space="preserve">Os níveis formais aumentam rapidamente com o período de retorno. São resultados da GEV ajustada e ajudam a avaliar suas consequências; os diagnósticos anteriores impedem tratá-los como previsões confiáveis.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tbl-retorn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4: Níveis de retorno do fluxo solar XRS-B estimados pela GEV, com intervalos de confiança de 95%.</w:t>
            </w:r>
          </w:p>
          <w:p>
            <w:pPr>
              <w:pStyle w:val="Compact"/>
              <w:jc w:val="center"/>
            </w:pPr>
            <w:r>
              <w:t xml:space="preserve">Níveis de retorno do fluxo solar XRS-B estimados pela GEV, com intervalos de confiança de 95%.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Níveis de retorno do fluxo solar XRS-B estimados pela GEV, com intervalos de confiança de 95%."/>
            </w:tblPr>
            <w:tblGrid>
              <w:gridCol w:w="1508"/>
              <w:gridCol w:w="2074"/>
              <w:gridCol w:w="433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Período de retorno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 (W/m²)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IC 95% (W/m²)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2,576e-03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(4,208e-04; 9,815e-03)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1,870e-02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(1,222e-03; 1,019e-01)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2,457e-01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(4,057e-03; 2,556e+00)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 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1,698e+00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(9,712e-03; 2,651e+01)</w:t>
                  </w:r>
                </w:p>
              </w:tc>
            </w:tr>
          </w:tbl>
          <w:bookmarkEnd w:id="77"/>
          <w:p/>
        </w:tc>
      </w:tr>
    </w:tbl>
    <w:p>
      <w:pPr>
        <w:pStyle w:val="BodyText"/>
      </w:pPr>
      <w:r>
        <w:t xml:space="preserve">A</w:t>
      </w:r>
      <w:r>
        <w:t xml:space="preserve"> </w:t>
      </w:r>
      <w:hyperlink w:anchor="tbl-retornos">
        <w:r>
          <w:rPr>
            <w:rStyle w:val="Hyperlink"/>
          </w:rPr>
          <w:t xml:space="preserve">Tabela 4</w:t>
        </w:r>
      </w:hyperlink>
      <w:r>
        <w:t xml:space="preserve"> </w:t>
      </w:r>
      <w:r>
        <w:t xml:space="preserve">apresenta as estimativas pontuais dos níveis de retorno do fluxo solar XRS-B e seus intervalos de confiança de 95%, para os horizontes de 1, 2, 5, 10 anos. Os valores são quantis da GEV ajustada aos</w:t>
      </w:r>
      <w:r>
        <w:t xml:space="preserve"> </w:t>
      </w:r>
      <w:r>
        <w:rPr>
          <w:b/>
          <w:bCs/>
        </w:rPr>
        <w:t xml:space="preserve">94 máximos mensais elegíveis</w:t>
      </w:r>
      <w:r>
        <w:t xml:space="preserve">, não à totalidade dos minutos individuais. A coluna central informa o nível estimado, e a última reúne os limites inferior e superior, nessa ordem, ambos em W/m². Os intervalos principais vêm do bootstrap circular de blocos móveis, mantendo a grade mensal e suas lacunas.</w:t>
      </w:r>
    </w:p>
    <w:p>
      <w:pPr>
        <w:pStyle w:val="BodyText"/>
      </w:pPr>
      <w:r>
        <w:t xml:space="preserve">Nesta aplicação, cada ano corresponde a 12 blocos mensais. Assim, os horizontes da tabela equivalem a 12, 24, 60, 120 blocos, respectivamente. O período de retorno expressa uma</w:t>
      </w:r>
      <w:r>
        <w:t xml:space="preserve"> </w:t>
      </w:r>
      <w:r>
        <w:rPr>
          <w:b/>
          <w:bCs/>
        </w:rPr>
        <w:t xml:space="preserve">probabilidade de excedência por mês</w:t>
      </w:r>
      <w:r>
        <w:t xml:space="preserve">: para um horizonte de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anos, ela é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12</m:t>
            </m:r>
            <m:r>
              <m:t>T</m:t>
            </m:r>
          </m:e>
        </m:d>
      </m:oMath>
      <w:r>
        <w:t xml:space="preserve">. Apenas sob estabilidade da distribuição e independência aproximada a espera média teria a interpretação de</w:t>
      </w:r>
      <w:r>
        <w:t xml:space="preserve"> </w:t>
      </w:r>
      <m:oMath>
        <m:r>
          <m:t>12</m:t>
        </m:r>
        <m:r>
          <m:t>T</m:t>
        </m:r>
      </m:oMath>
      <w:r>
        <w:t xml:space="preserve"> </w:t>
      </w:r>
      <w:r>
        <w:t xml:space="preserve">meses. Isso não estabelece uma data para a ocorrência: meses com excedências podem se agrupar, e um intervalo de duração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também pode transcorrer sem nenhuma. A dependência e a heterogeneidade observadas nesta base limitam essa leitura como tempo de espera.</w:t>
      </w:r>
    </w:p>
    <w:p>
      <w:pPr>
        <w:pStyle w:val="BodyText"/>
      </w:pPr>
      <w:r>
        <w:t xml:space="preserve">Para o horizonte mais curto, de</w:t>
      </w:r>
      <w:r>
        <w:t xml:space="preserve"> </w:t>
      </w:r>
      <w:r>
        <w:rPr>
          <w:b/>
          <w:bCs/>
        </w:rPr>
        <w:t xml:space="preserve">1 ano</w:t>
      </w:r>
      <w:r>
        <w:t xml:space="preserve">, o modelo fornece</w:t>
      </w:r>
      <w:r>
        <w:t xml:space="preserve"> </w:t>
      </w:r>
      <w:r>
        <w:rPr>
          <w:b/>
          <w:bCs/>
        </w:rPr>
        <w:t xml:space="preserve">2,576e-03 W/m²</w:t>
      </w:r>
      <w:r>
        <w:t xml:space="preserve">, com IC 95% de 4,208e-04 a 9,815e-03 W/m². Esse nível corresponde, segundo a GEV estimada, a uma probabilidade mensal de ultrapassagem de aproximadamente</w:t>
      </w:r>
      <w:r>
        <w:t xml:space="preserve"> </w:t>
      </w:r>
      <w:r>
        <w:rPr>
          <w:b/>
          <w:bCs/>
        </w:rPr>
        <w:t xml:space="preserve">8,33%</w:t>
      </w:r>
      <w:r>
        <w:t xml:space="preserve">. Trata-se de identificar qual intensidade ocupa essa posição extrema da distribuição ajustada; não de afirmar que tal intensidade será atingida ao completar um ano. O intervalo acompanha a incerteza da estimação desse quantil, não a duração até um próximo episódio.</w:t>
      </w:r>
    </w:p>
    <w:p>
      <w:pPr>
        <w:pStyle w:val="BodyText"/>
      </w:pPr>
      <w:r>
        <w:t xml:space="preserve">No horizonte mais longo, de</w:t>
      </w:r>
      <w:r>
        <w:t xml:space="preserve"> </w:t>
      </w:r>
      <w:r>
        <w:rPr>
          <w:b/>
          <w:bCs/>
        </w:rPr>
        <w:t xml:space="preserve">10 anos</w:t>
      </w:r>
      <w:r>
        <w:t xml:space="preserve">, a estimativa é</w:t>
      </w:r>
      <w:r>
        <w:t xml:space="preserve"> </w:t>
      </w:r>
      <w:r>
        <w:rPr>
          <w:b/>
          <w:bCs/>
        </w:rPr>
        <w:t xml:space="preserve">1,698e+00 W/m²</w:t>
      </w:r>
      <w:r>
        <w:t xml:space="preserve">, com IC 95% de 9,712e-03 a 2,651e+01 W/m². A probabilidade de excedência atribuída pelo modelo é de aproximadamente</w:t>
      </w:r>
      <w:r>
        <w:t xml:space="preserve"> </w:t>
      </w:r>
      <w:r>
        <w:rPr>
          <w:b/>
          <w:bCs/>
        </w:rPr>
        <w:t xml:space="preserve">0,83% por mês</w:t>
      </w:r>
      <w:r>
        <w:t xml:space="preserve">, correspondente a um quantil mais extremo. Esse horizonte já ultrapassa a duração da série observada, de modo que sua interpretação depende fortemente da extrapolação da cauda, e não da observação repetida de eventos com essa magnitude. A tabela, por si só, não comprova que o processo solar produza tais intensidades com essa frequência.</w:t>
      </w:r>
    </w:p>
    <w:p>
      <w:pPr>
        <w:pStyle w:val="BodyText"/>
      </w:pPr>
      <w:r>
        <w:t xml:space="preserve">A comparação entre os extremos da tabela mostra um crescimento muito acentuado: o nível de 10 anos é cerca de</w:t>
      </w:r>
      <w:r>
        <w:t xml:space="preserve"> </w:t>
      </w:r>
      <w:r>
        <w:rPr>
          <w:b/>
          <w:bCs/>
        </w:rPr>
        <w:t xml:space="preserve">659,1 vezes</w:t>
      </w:r>
      <w:r>
        <w:t xml:space="preserve"> </w:t>
      </w:r>
      <w:r>
        <w:t xml:space="preserve">o de 1 ano. A amplitude do IC, calculada como limite superior menos inferior, passa de</w:t>
      </w:r>
      <w:r>
        <w:t xml:space="preserve"> </w:t>
      </w:r>
      <w:r>
        <w:rPr>
          <w:b/>
          <w:bCs/>
        </w:rPr>
        <w:t xml:space="preserve">9,394e-03 W/m²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2,650e+01 W/m²</w:t>
      </w:r>
      <w:r>
        <w:t xml:space="preserve">. Portanto, nesta tabela a incerteza aumenta também em escala absoluta. O rápido crescimento dos quantis é coerente com a forma estimada elevada,</w:t>
      </w:r>
      <w:r>
        <w:t xml:space="preserve"> </w:t>
      </w:r>
      <m:oMath>
        <m:acc>
          <m:accPr>
            <m:chr m:val="̂"/>
          </m:accPr>
          <m:e>
            <m:r>
              <m:t>ξ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2,772, mas revela uma consequência da cauda do modelo agregado, não uma lei física estabelecida para o Sol.</w:t>
      </w:r>
    </w:p>
    <w:p>
      <w:pPr>
        <w:pStyle w:val="BodyText"/>
      </w:pPr>
      <w:r>
        <w:t xml:space="preserve">Os IC de 95% resumem a variação das estimativas nas</w:t>
      </w:r>
      <w:r>
        <w:t xml:space="preserve"> </w:t>
      </w:r>
      <w:r>
        <w:rPr>
          <w:b/>
          <w:bCs/>
        </w:rPr>
        <w:t xml:space="preserve">399 replicações válidas</w:t>
      </w:r>
      <w:r>
        <w:t xml:space="preserve"> </w:t>
      </w:r>
      <w:r>
        <w:t xml:space="preserve">do bootstrap, que reamostra segmentos de 5 meses. Se as hipóteses do modelo e da reamostragem fossem adequadas, cerca de 95% dos intervalos construídos em muitas repetições hipotéticas do estudo conteriam o nível de retorno populacional correspondente. Esse é o sentido frequentista de cobertura de 95%. Não se atribui uma probabilidade de 95% ao parâmetro fixo estar neste intervalo específico, nem se afirma que 95% dos fluxos observados estejam entre os limites. Nos horizontes longos há menos informação empírica sobre a região da cauda considerada, o que ajuda a compreender os intervalos mais amplos. Como o ajuste apresenta limitações, a cobertura aqui é nominal: o bootstrap preserva parte da dependência local, mas não corrige a má especificação ou toda a mudança temporal.</w:t>
      </w:r>
    </w:p>
    <w:p>
      <w:pPr>
        <w:pStyle w:val="BodyText"/>
      </w:pPr>
      <w:r>
        <w:t xml:space="preserve">Em termos do objeto estudado, os níveis representam intensidades extremas do fluxo de raios X registrado pelo canal XRS-B, calculadas a partir de médias de um minuto. Um fluxo maior indica maior intensidade registrada nesse canal, sem identificar automaticamente uma erupção física ou atribuir-lhe uma classe operacional. A comparação com a própria amostra evidencia a dificuldade do ajuste: o nível formal de 1 ano já equivale a</w:t>
      </w:r>
      <w:r>
        <w:t xml:space="preserve"> </w:t>
      </w:r>
      <w:r>
        <w:rPr>
          <w:b/>
          <w:bCs/>
        </w:rPr>
        <w:t xml:space="preserve">1,76 vezes o maior fluxo observado</w:t>
      </w:r>
      <w:r>
        <w:t xml:space="preserve">. Ele teve 0 excedências, embora a GEV constante esperasse cerca de 7,8 entre os máximos elegíveis. Para 10 anos, a estimativa alcança cerca de 1.159,6 vezes o máximo observado. A distância não deve ser confundida com evidência de eventos solares dessa magnitude.</w:t>
      </w:r>
    </w:p>
    <w:p>
      <w:pPr>
        <w:pStyle w:val="BodyText"/>
      </w:pPr>
      <w:r>
        <w:t xml:space="preserve">Esses contrastes precisam ser lidos em conjunto com os diagnósticos anteriores: a</w:t>
      </w:r>
      <w:r>
        <w:t xml:space="preserve"> </w:t>
      </w:r>
      <w:r>
        <w:rPr>
          <w:b/>
          <w:bCs/>
        </w:rPr>
        <w:t xml:space="preserve">GEV estacionária global produz uma cauda superior excessivamente pesada em relação aos máximos observados</w:t>
      </w:r>
      <w:r>
        <w:t xml:space="preserve">. Os níveis são úteis para explicitar as consequências matemáticas desse ajuste, mas seu crescimento e seus IC não validam a extrapolação. Os níveis de 5 e 10 anos também ultrapassam o limite valid_max declarado no produto (2,000e-01 W/m²), o que exige ressalva instrumental; esse limite não é uma barreira física demonstrada para o Sol. Assim, especialmente nos horizontes longos, a tabela apresenta</w:t>
      </w:r>
      <w:r>
        <w:t xml:space="preserve"> </w:t>
      </w:r>
      <w:r>
        <w:rPr>
          <w:b/>
          <w:bCs/>
        </w:rPr>
        <w:t xml:space="preserve">resultados formais e condicionais ao modelo, não previsões operacionais confiáveis da intensidade de eventos solares futuros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retornos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figuras/niveis_retorno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10: Nível de retorno versus período em anos, com ambos os eixos em log10. Linha: estimativa; faixa: IC bootstrap de 95%; pontos: máximos com posições empíricas até dez anos. Resultados condicionais à GEV histórica, cuja cauda está mal calibrada.</w:t>
            </w:r>
          </w:p>
          <w:bookmarkEnd w:id="81"/>
        </w:tc>
      </w:tr>
    </w:tbl>
    <w:p>
      <w:pPr>
        <w:pStyle w:val="BodyText"/>
      </w:pPr>
      <w:r>
        <w:t xml:space="preserve">No gráfico, o eixo horizontal representa o período de retorno e o vertical, o fluxo. A linha corresponde aos quantis pontuais, a faixa aos IC bootstrap e os pontos aos máximos observados com posições empíricas. As escalas logarítmicas tornam visível o crescimento, mas não reduzem a distância entre as extrapolações e os dados. A curva e a tabela utilizam o mesmo ajuste e as mesmas replicações.</w:t>
      </w:r>
    </w:p>
    <w:bookmarkEnd w:id="82"/>
    <w:bookmarkStart w:id="88" w:name="Xb7c1256319cbb0e2f98c3b74fe90e9d50edd6ea"/>
    <w:p>
      <w:pPr>
        <w:pStyle w:val="Heading2"/>
      </w:pPr>
      <w:r>
        <w:t xml:space="preserve">4.7 Estacionariedade e comportamento temporal</w:t>
      </w:r>
    </w:p>
    <w:p>
      <w:pPr>
        <w:pStyle w:val="FirstParagraph"/>
      </w:pPr>
      <w:r>
        <w:t xml:space="preserve">Há dependência residual: a correlação de pares mensais adjacentes foi 0.795, em 91 pares. No PIT da GEV (probabilidade acumulada atribuída a cada máximo), o Ljung–Box no maior trecho contíguo apresentou valor p &lt; 0,001. Esses resultados e a variação anual desaconselham tratar os meses automaticamente como independentes e identicamente distribuídos. Recortes, autocorrelações e lags estão no</w:t>
      </w:r>
      <w:r>
        <w:t xml:space="preserve"> </w:t>
      </w:r>
      <w:hyperlink w:anchor="ap-temporal">
        <w:r>
          <w:rPr>
            <w:rStyle w:val="Hyperlink"/>
          </w:rPr>
          <w:t xml:space="preserve">Apêndice: dependência e comparação temporal</w:t>
        </w:r>
      </w:hyperlink>
      <w:r>
        <w:t xml:space="preserve">.</w:t>
      </w:r>
    </w:p>
    <w:p>
      <w:pPr>
        <w:pStyle w:val="BodyText"/>
      </w:pPr>
      <w:r>
        <w:t xml:space="preserve">A extensão linear acrescenta uma possível mudança na localização, mantendo escala e forma constantes. A</w:t>
      </w:r>
      <w:r>
        <w:t xml:space="preserve"> </w:t>
      </w:r>
      <w:hyperlink w:anchor="tbl-nao-estacionaria">
        <w:r>
          <w:rPr>
            <w:rStyle w:val="Hyperlink"/>
          </w:rPr>
          <w:t xml:space="preserve">Tabela 5</w:t>
        </w:r>
      </w:hyperlink>
      <w:r>
        <w:t xml:space="preserve"> </w:t>
      </w:r>
      <w:r>
        <w:t xml:space="preserve">compara os mesmos máximos e apresenta os critérios na unidade original W/m².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tbl-nao-estacionari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5: GEV estacionária versus localização linear no tempo. Mesma amostra e unidade W/m²; critérios nominais diante da dependência residual.</w:t>
            </w:r>
          </w:p>
          <w:p>
            <w:pPr>
              <w:pStyle w:val="Compact"/>
              <w:jc w:val="center"/>
            </w:pPr>
            <w:r>
              <w:t xml:space="preserve">GEV estacionária versus localização linear no tempo. Mesma amostra e unidade W/m²; critérios nominais diante da dependência residual.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 estacionária versus localização linear no tempo. Mesma amostra e unidade W/m²; critérios nominais diante da dependência residual."/>
            </w:tblPr>
            <w:tblGrid>
              <w:gridCol w:w="3696"/>
              <w:gridCol w:w="1452"/>
              <w:gridCol w:w="924"/>
              <w:gridCol w:w="924"/>
              <w:gridCol w:w="92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Parâmetros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logLik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BIC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Estacionário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826.1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-1646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-1639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Localização linear no tempo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826.5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-1635</w:t>
                  </w:r>
                </w:p>
              </w:tc>
            </w:tr>
          </w:tbl>
          <w:bookmarkEnd w:id="83"/>
          <w:p/>
        </w:tc>
      </w:tr>
    </w:tbl>
    <w:p>
      <w:pPr>
        <w:pStyle w:val="BodyText"/>
      </w:pPr>
      <w:r>
        <w:t xml:space="preserve">A extensão linear apresenta uma pequena melhora na log-verossimilhança, mas AIC maior. O valor p nominal do teste entre esses dois modelos aninhados é 0,414. Os critérios empregados não favorecem a extensão linear. Isso não demonstra que a distribuição seja constante: variações não lineares, de escala ou entre períodos podem escapar a uma localização linear.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pit-tempo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figuras/pit_tempo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11: Probabilidades acumuladas no tempo: GEV estacionária (pontos) e localização linear (linha). Uma transformação bem calibrada não deveria apresentar padrões temporais persistentes.</w:t>
            </w:r>
          </w:p>
          <w:bookmarkEnd w:id="87"/>
        </w:tc>
      </w:tr>
    </w:tbl>
    <w:p>
      <w:pPr>
        <w:pStyle w:val="BodyText"/>
      </w:pPr>
      <w:r>
        <w:t xml:space="preserve">A extensão não elimina o padrão temporal observado. Uma reta na localização é uma aproximação restritiva diante das diferenças entre anos e não representa necessariamente a dinâmica da atividade solar. O teste nominal também pressupõe regularidade e independência aproximadas; com dependência residual, sua interpretação é exploratória.</w:t>
      </w:r>
    </w:p>
    <w:bookmarkEnd w:id="88"/>
    <w:bookmarkStart w:id="89" w:name="síntese-dos-principais-resultados"/>
    <w:p>
      <w:pPr>
        <w:pStyle w:val="Heading2"/>
      </w:pPr>
      <w:r>
        <w:t xml:space="preserve">4.8 Síntese dos principais resultados</w:t>
      </w:r>
    </w:p>
    <w:p>
      <w:pPr>
        <w:pStyle w:val="FirstParagraph"/>
      </w:pPr>
      <w:r>
        <w:t xml:space="preserve">A descrição revelou forte assimetria e mudanças no patamar do fluxo ao longo do período. A escolha de máximos mensais reduziu a correlação entre blocos em relação aos calendários diário e semanal, mas a dependência continuou importante.</w:t>
      </w:r>
    </w:p>
    <w:p>
      <w:pPr>
        <w:pStyle w:val="BodyText"/>
      </w:pPr>
      <w:r>
        <w:t xml:space="preserve">A GEV convergiu e permitiu calcular quantis e intervalos. Contudo, o QQ, a forma elevada e a falta de excedências dos níveis formais revelaram má calibração na cauda superior. A extensão linear não solucionou essa limitação. A análise caracteriza os extremos observados, sem validar previsões de futuras erupções solares.</w:t>
      </w:r>
    </w:p>
    <w:bookmarkEnd w:id="89"/>
    <w:bookmarkEnd w:id="90"/>
    <w:bookmarkStart w:id="91" w:name="discussão"/>
    <w:p>
      <w:pPr>
        <w:pStyle w:val="Heading1"/>
      </w:pPr>
      <w:r>
        <w:t xml:space="preserve">5. Discussão</w:t>
      </w:r>
    </w:p>
    <w:p>
      <w:pPr>
        <w:pStyle w:val="FirstParagraph"/>
      </w:pPr>
      <w:r>
        <w:t xml:space="preserve">Os dados combinam forte assimetria, picos elevados e mudanças no patamar do fluxo. Os máximos mensais organizam a análise, mas não tornam essa série automaticamente homogênea ou independente. A GEV produziu uma cauda muito pesada e níveis de retorno mal calibrados.</w:t>
      </w:r>
    </w:p>
    <w:p>
      <w:pPr>
        <w:pStyle w:val="BodyText"/>
      </w:pPr>
      <w:r>
        <w:rPr>
          <w:b/>
          <w:bCs/>
        </w:rPr>
        <w:t xml:space="preserve">Encontrar problemas no ajuste não significa que a análise falhou.</w:t>
      </w:r>
      <w:r>
        <w:t xml:space="preserve"> </w:t>
      </w:r>
      <w:r>
        <w:t xml:space="preserve">Os diagnósticos revelam limites de modelos relativamente simples para representar uma série temporalmente heterogênea. Da mesma forma, a extensão linear não resolver o problema não demonstra estacionariedade.</w:t>
      </w:r>
    </w:p>
    <w:p>
      <w:pPr>
        <w:pStyle w:val="BodyText"/>
      </w:pPr>
      <w:r>
        <w:t xml:space="preserve">As principais limitações são os 94 máximos mensais, a dependência residual, as diferenças ao longo do período, a simplicidade da localização linear e a incerteza crescente da extrapolação. A cobertura mínima reduz o risco de representar um mês por poucos minutos, mas não recupera extremos eventualmente ausentes. O bootstrap preserva dependência local; não contempla toda a incerteza estrutural.</w:t>
      </w:r>
    </w:p>
    <w:p>
      <w:pPr>
        <w:pStyle w:val="BodyText"/>
      </w:pPr>
      <w:r>
        <w:t xml:space="preserve">Uma série mais longa e covariáveis externas poderiam apoiar investigações posteriores. Isso não permite atribuir mecanismos físicos aos padrões atuais: o estudo caracteriza o fluxo disponível e não identifica individualmente flares nem estabelece relações causais com a atividade solar.</w:t>
      </w:r>
    </w:p>
    <w:bookmarkEnd w:id="91"/>
    <w:bookmarkStart w:id="92" w:name="conclusão"/>
    <w:p>
      <w:pPr>
        <w:pStyle w:val="Heading1"/>
      </w:pPr>
      <w:r>
        <w:t xml:space="preserve">6. Conclusão</w:t>
      </w:r>
    </w:p>
    <w:p>
      <w:pPr>
        <w:pStyle w:val="FirstParagraph"/>
      </w:pPr>
      <w:r>
        <w:t xml:space="preserve">Foi possível caracterizar os extremos do fluxo XRS-B do GOES-16: os valores típicos são muito menores que os maiores picos, e o comportamento varia no tempo. Essa diferença justifica estudar os extremos separadamente do comportamento médio.</w:t>
      </w:r>
    </w:p>
    <w:p>
      <w:pPr>
        <w:pStyle w:val="BodyText"/>
      </w:pPr>
      <w:r>
        <w:t xml:space="preserve">A comparação entre calendários levou a</w:t>
      </w:r>
      <w:r>
        <w:t xml:space="preserve"> </w:t>
      </w:r>
      <w:r>
        <w:rPr>
          <w:b/>
          <w:bCs/>
        </w:rPr>
        <w:t xml:space="preserve">94 máximos mensais elegíveis</w:t>
      </w:r>
      <w:r>
        <w:t xml:space="preserve">, com menor correlação adjacente entre os candidatos, mas ainda com dependência importante. A GEV permitiu organizar probabilisticamente esses máximos e estudar níveis de retorno, porém sua forma elevada e os diagnósticos indicaram limitações relevantes na cauda superior.</w:t>
      </w:r>
    </w:p>
    <w:p>
      <w:pPr>
        <w:pStyle w:val="BodyText"/>
      </w:pPr>
      <w:r>
        <w:t xml:space="preserve">A extensão linear da localização não representou suficientemente a heterogeneidade temporal. A dependência residual e o número limitado de máximos restringem a interpretação dos intervalos e das extrapolações.</w:t>
      </w:r>
    </w:p>
    <w:p>
      <w:pPr>
        <w:pStyle w:val="BodyText"/>
      </w:pPr>
      <w:r>
        <w:t xml:space="preserve">Assim, a resposta à pergunta inicial é que</w:t>
      </w:r>
      <w:r>
        <w:t xml:space="preserve"> </w:t>
      </w:r>
      <w:r>
        <w:rPr>
          <w:b/>
          <w:bCs/>
        </w:rPr>
        <w:t xml:space="preserve">os extremos puderam ser descritos, mas a GEV global e sua extensão linear não forneceram representação suficientemente confiável para extrapolação</w:t>
      </w:r>
      <w:r>
        <w:t xml:space="preserve">. Os níveis de retorno e seus intervalos são condicionais aos modelos e devem ser interpretados com cautela, sem apresentá-los como previsões de futuras erupções solares.</w:t>
      </w:r>
    </w:p>
    <w:bookmarkEnd w:id="92"/>
    <w:bookmarkStart w:id="93" w:name="referências"/>
    <w:p>
      <w:pPr>
        <w:pStyle w:val="Heading1"/>
      </w:pPr>
      <w:r>
        <w:t xml:space="preserve">7. Referências</w:t>
      </w:r>
    </w:p>
    <w:p>
      <w:pPr>
        <w:pStyle w:val="Compact"/>
        <w:numPr>
          <w:ilvl w:val="0"/>
          <w:numId w:val="1003"/>
        </w:numPr>
      </w:pPr>
      <w:r>
        <w:t xml:space="preserve">Brito, Carolyne Soares de (s.d.).</w:t>
      </w:r>
      <w:r>
        <w:t xml:space="preserve"> </w:t>
      </w:r>
      <w:r>
        <w:rPr>
          <w:i/>
          <w:iCs/>
        </w:rPr>
        <w:t xml:space="preserve">Análise da Cotação das empresas BrasilAgro e Boa Safra</w:t>
      </w:r>
      <w:r>
        <w:t xml:space="preserve">. Trabalho acadêmico, Universidade de Brasília, Departamento de Estatística. PDF fornecido pelo usuário, em</w:t>
      </w:r>
      <w:r>
        <w:t xml:space="preserve"> </w:t>
      </w:r>
      <w:r>
        <w:rPr>
          <w:rStyle w:val="VerbatimChar"/>
        </w:rPr>
        <w:t xml:space="preserve">referencias/Carolyne.pdf</w:t>
      </w:r>
      <w:r>
        <w:t xml:space="preserve">; ano não verificado.</w:t>
      </w:r>
    </w:p>
    <w:p>
      <w:pPr>
        <w:pStyle w:val="Compact"/>
        <w:numPr>
          <w:ilvl w:val="0"/>
          <w:numId w:val="1003"/>
        </w:numPr>
      </w:pPr>
      <w:r>
        <w:t xml:space="preserve">Fisher, R. A.; Tippett, L. H. C. (1928).</w:t>
      </w:r>
      <w:r>
        <w:t xml:space="preserve"> </w:t>
      </w:r>
      <w:r>
        <w:rPr>
          <w:i/>
          <w:iCs/>
        </w:rPr>
        <w:t xml:space="preserve">On the estimation of the frequency distributions of the largest or smallest member of a sample</w:t>
      </w:r>
      <w:r>
        <w:t xml:space="preserve">. Proceedings of the Cambridge Philosophical Society, 24(2), 180–190. Referência presente no trabalho fornecido.</w:t>
      </w:r>
    </w:p>
    <w:p>
      <w:pPr>
        <w:pStyle w:val="Compact"/>
        <w:numPr>
          <w:ilvl w:val="0"/>
          <w:numId w:val="1003"/>
        </w:numPr>
      </w:pPr>
      <w:r>
        <w:t xml:space="preserve">Ljung, G. M.; Box, G. E. P. (1978).</w:t>
      </w:r>
      <w:r>
        <w:t xml:space="preserve"> </w:t>
      </w:r>
      <w:r>
        <w:rPr>
          <w:i/>
          <w:iCs/>
        </w:rPr>
        <w:t xml:space="preserve">On a measure of lack of fit in time series models</w:t>
      </w:r>
      <w:r>
        <w:t xml:space="preserve">. Biometrika, 65(2), 297–303. Referência presente no trabalho fornecido.</w:t>
      </w:r>
    </w:p>
    <w:p>
      <w:pPr>
        <w:pStyle w:val="FirstParagraph"/>
      </w:pPr>
      <w:r>
        <w:t xml:space="preserve">A identificação do produto GOES-16 é documentada pelos metadados do próprio NetCDF, reproduzidos no</w:t>
      </w:r>
      <w:r>
        <w:t xml:space="preserve"> </w:t>
      </w:r>
      <w:hyperlink w:anchor="ap-controle">
        <w:r>
          <w:rPr>
            <w:rStyle w:val="Hyperlink"/>
          </w:rPr>
          <w:t xml:space="preserve">Apêndice: controle de qualidade</w:t>
        </w:r>
      </w:hyperlink>
      <w:r>
        <w:t xml:space="preserve"> </w:t>
      </w:r>
      <w:r>
        <w:t xml:space="preserve">e exportados em</w:t>
      </w:r>
      <w:r>
        <w:t xml:space="preserve"> </w:t>
      </w:r>
      <w:r>
        <w:rPr>
          <w:rStyle w:val="VerbatimChar"/>
        </w:rPr>
        <w:t xml:space="preserve">tabelas/metadados_netcdf.csv</w:t>
      </w:r>
      <w:r>
        <w:t xml:space="preserve">. As referências acadêmicas acima são as já verificadas no projeto; não foi atribuído ao arquivo um artigo externo não verificado. As citações dos pacotes utilizados ficam no</w:t>
      </w:r>
      <w:r>
        <w:t xml:space="preserve"> </w:t>
      </w:r>
      <w:hyperlink w:anchor="ap-reproducao">
        <w:r>
          <w:rPr>
            <w:rStyle w:val="Hyperlink"/>
          </w:rPr>
          <w:t xml:space="preserve">Apêndice: reprodutibilidade</w:t>
        </w:r>
      </w:hyperlink>
      <w:r>
        <w:t xml:space="preserve">.</w:t>
      </w:r>
    </w:p>
    <w:bookmarkEnd w:id="93"/>
    <w:bookmarkStart w:id="120" w:name="apêndice-informações-complementares"/>
    <w:p>
      <w:pPr>
        <w:pStyle w:val="Heading1"/>
      </w:pPr>
      <w:r>
        <w:t xml:space="preserve">Apêndice — informações complementares</w:t>
      </w:r>
    </w:p>
    <w:p>
      <w:pPr>
        <w:pStyle w:val="FirstParagraph"/>
      </w:pPr>
      <w:r>
        <w:t xml:space="preserve">Os resultados complementares abaixo preservam a rastreabilidade sem interromper a sequência principal. Os CSVs completos continuam a ser produzidos em</w:t>
      </w:r>
      <w:r>
        <w:t xml:space="preserve"> </w:t>
      </w:r>
      <w:r>
        <w:rPr>
          <w:rStyle w:val="VerbatimChar"/>
        </w:rPr>
        <w:t xml:space="preserve">tabelas/</w:t>
      </w:r>
      <w:r>
        <w:t xml:space="preserve">, inclusive quando apenas um resumo é apresentado aqui. Nenhuma análise ou observação foi removida do fluxo de cálculo para simplificar a exposição.</w:t>
      </w:r>
    </w:p>
    <w:bookmarkStart w:id="97" w:name="ap-controle"/>
    <w:p>
      <w:pPr>
        <w:pStyle w:val="Heading2"/>
      </w:pPr>
      <w:r>
        <w:t xml:space="preserve">Controle de qualidade e cobertura</w:t>
      </w:r>
    </w:p>
    <w:p>
      <w:pPr>
        <w:pStyle w:val="FirstParagraph"/>
      </w:pPr>
      <w:r>
        <w:t xml:space="preserve">A base é</w:t>
      </w:r>
      <w:r>
        <w:t xml:space="preserve"> </w:t>
      </w:r>
      <w:r>
        <w:rPr>
          <w:b/>
          <w:bCs/>
        </w:rPr>
        <w:t xml:space="preserve">sci_xrsf-l2-avg1m_g16_s20170207_e20250407_v2-2-2.nc</w:t>
      </w:r>
      <w:r>
        <w:t xml:space="preserve">, MD5</w:t>
      </w:r>
      <w:r>
        <w:t xml:space="preserve"> </w:t>
      </w:r>
      <w:r>
        <w:rPr>
          <w:b/>
          <w:bCs/>
        </w:rPr>
        <w:t xml:space="preserve">d3d777aab1fea86f1f3771749a320c71</w:t>
      </w:r>
      <w:r>
        <w:t xml:space="preserve">. A variável temporal é time, com unidade</w:t>
      </w:r>
      <w:r>
        <w:t xml:space="preserve"> </w:t>
      </w:r>
      <w:r>
        <w:rPr>
          <w:b/>
          <w:bCs/>
        </w:rPr>
        <w:t xml:space="preserve">seconds since 2000-01-01 12:00:00 UTC</w:t>
      </w:r>
      <w:r>
        <w:t xml:space="preserve">. A origem vem dos metadados, não do nome do arquivo. As datas são inícios das médias de um minuto, de 2017-02-07 a 2025-04-07 23:59:00 UTC. A convenção temporal do produto não acrescenta segundos intercalares.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tbl-flag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6: Frequências das flags antes de qualquer exclusão; combinações são decodificadas pelos metadados.</w:t>
            </w:r>
          </w:p>
          <w:p>
            <w:pPr>
              <w:pStyle w:val="Compact"/>
              <w:jc w:val="center"/>
            </w:pPr>
            <w:r>
              <w:t xml:space="preserve">Frequências das flags antes de qualquer exclusão; combinações são decodificadas pelos metadados.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Frequências das flags antes de qualquer exclusão; combinações são decodificadas pelos metadados."/>
            </w:tblPr>
            <w:tblGrid>
              <w:gridCol w:w="1087"/>
              <w:gridCol w:w="1552"/>
              <w:gridCol w:w="3571"/>
              <w:gridCol w:w="170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xrsb flag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significado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percentual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4.173e+06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good_data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54700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eclipse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1.274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64702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interpolated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0.01653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1134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eclipse | interpolated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0.02641</w:t>
                  </w:r>
                </w:p>
              </w:tc>
            </w:tr>
          </w:tbl>
          <w:bookmarkEnd w:id="94"/>
          <w:p/>
        </w:tc>
      </w:tr>
    </w:tbl>
    <w:p>
      <w:pPr>
        <w:pStyle w:val="BodyText"/>
      </w:pPr>
      <w:r>
        <w:t xml:space="preserve">As flags descrevem condições diferentes e podem coexistir. O código puro</w:t>
      </w:r>
      <w:r>
        <w:t xml:space="preserve"> </w:t>
      </w:r>
      <w:r>
        <w:rPr>
          <w:rStyle w:val="VerbatimChar"/>
        </w:rPr>
        <w:t xml:space="preserve">good_data</w:t>
      </w:r>
      <w:r>
        <w:t xml:space="preserve"> </w:t>
      </w:r>
      <w:r>
        <w:t xml:space="preserve">lido foi 0; a frequência das flags é calculada antes da seleção.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qc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7: Motivos de exclusão, em categorias disjuntas. Valores elevados com qualidade adequada não são removidos.</w:t>
            </w:r>
          </w:p>
          <w:p>
            <w:pPr>
              <w:pStyle w:val="Compact"/>
              <w:jc w:val="center"/>
            </w:pPr>
            <w:r>
              <w:t xml:space="preserve">Motivos de exclusão, em categorias disjuntas. Valores elevados com qualidade adequada não são removidos.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Motivos de exclusão, em categorias disjuntas. Valores elevados com qualidade adequada não são removidos."/>
            </w:tblPr>
            <w:tblGrid>
              <w:gridCol w:w="5835"/>
              <w:gridCol w:w="20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motivo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válida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4.173e+06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flag diferente de good_data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1.212e+05</w:t>
                  </w:r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A contabilidade distingue rejeição por qualidade, preenchimentos, ausência/não finitude, não positividade e faixa válida. Categorias sem registros não aparecem. Nesta execução, o total de rejeições é 121.246.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cobertura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8: Minutos válidos e cobertura anual (%): ano civil completo versus janela efetivamente disponível.</w:t>
            </w:r>
          </w:p>
          <w:p>
            <w:pPr>
              <w:pStyle w:val="Compact"/>
              <w:jc w:val="center"/>
            </w:pPr>
            <w:r>
              <w:t xml:space="preserve">Minutos válidos e cobertura anual (%): ano civil completo versus janela efetivamente disponível.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Minutos válidos e cobertura anual (%): ano civil completo versus janela efetivamente disponível."/>
            </w:tblPr>
            <w:tblGrid>
              <w:gridCol w:w="1498"/>
              <w:gridCol w:w="2140"/>
              <w:gridCol w:w="2140"/>
              <w:gridCol w:w="21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ano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 janela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4.243e+05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89.83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5.148e+05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5.154e+05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5.190e+05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5.161e+05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5.155e+05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5.173e+05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98.42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5.150e+05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97.72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1.355e+05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25.78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97.01</w:t>
                  </w:r>
                </w:p>
              </w:tc>
            </w:tr>
          </w:tbl>
          <w:bookmarkEnd w:id="96"/>
          <w:p/>
        </w:tc>
      </w:tr>
    </w:tbl>
    <w:p>
      <w:pPr>
        <w:pStyle w:val="BodyText"/>
      </w:pPr>
      <w:r>
        <w:t xml:space="preserve">A diferença entre as duas coberturas é relevante em 2017 e 2025, quando a base não abrange o ano inteiro. Lacunas internas podem ser consultadas em</w:t>
      </w:r>
      <w:r>
        <w:t xml:space="preserve"> </w:t>
      </w:r>
      <w:r>
        <w:rPr>
          <w:rStyle w:val="VerbatimChar"/>
        </w:rPr>
        <w:t xml:space="preserve">tabelas/lacunas.csv</w:t>
      </w:r>
      <w:r>
        <w:t xml:space="preserve">; não representam, sozinhas, toda a incompletude nas bordas.</w:t>
      </w:r>
    </w:p>
    <w:p>
      <w:pPr>
        <w:pStyle w:val="BodyText"/>
      </w:pPr>
      <w:r>
        <w:t xml:space="preserve">A leitura registrou avisos de conversão de atributos inteiros de 8 bytes para double (algorithm_version e input_files_total). Os valores lidos são pequenos e exatamente representáveis; tempo, fluxo e flags não foram alterados. Os avisos estão em tabelas/avisos_metadados.csv.</w:t>
      </w:r>
    </w:p>
    <w:bookmarkEnd w:id="97"/>
    <w:bookmarkStart w:id="105" w:name="ap-temporal"/>
    <w:p>
      <w:pPr>
        <w:pStyle w:val="Heading2"/>
      </w:pPr>
      <w:r>
        <w:t xml:space="preserve">Dependência e comparação temporal</w:t>
      </w:r>
    </w:p>
    <w:p>
      <w:pPr>
        <w:pStyle w:val="FirstParagraph"/>
      </w:pPr>
      <w:r>
        <w:t xml:space="preserve">A correlação dos pares adjacentes utiliza toda a grade sem unir observações separadas por lacunas. ACF/PACF e Ljung–Box usam o maior trecho contíguo disponível; são recortes diferentes e não intercambiáveis.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tbl-trech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9: Grade, trecho contíguo, ausências e correlação de pares adjacentes; cálculos sobre log10.</w:t>
            </w:r>
          </w:p>
          <w:p>
            <w:pPr>
              <w:pStyle w:val="Compact"/>
              <w:jc w:val="center"/>
            </w:pPr>
            <w:r>
              <w:t xml:space="preserve">Grade, trecho contíguo, ausências e correlação de pares adjacentes; cálculos sobre log10.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rade, trecho contíguo, ausências e correlação de pares adjacentes; cálculos sobre log10."/>
            </w:tblPr>
            <w:tblGrid>
              <w:gridCol w:w="2390"/>
              <w:gridCol w:w="1046"/>
              <w:gridCol w:w="1046"/>
              <w:gridCol w:w="1344"/>
              <w:gridCol w:w="1046"/>
              <w:gridCol w:w="104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trecho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ausentes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 pares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 pares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mediana_diaria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2958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0.9847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maximos_diario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2861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0.9108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maximos_semanal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0.8159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0.7952</w:t>
                  </w:r>
                </w:p>
              </w:tc>
            </w:tr>
          </w:tbl>
          <w:bookmarkEnd w:id="9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ljung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10: Ljung–Box dos máximos mensais em diferentes lags. Valores p exploratórios, sem correção por multiplicidade.</w:t>
            </w:r>
          </w:p>
          <w:p>
            <w:pPr>
              <w:pStyle w:val="Compact"/>
              <w:jc w:val="center"/>
            </w:pPr>
            <w:r>
              <w:t xml:space="preserve">Ljung–Box dos máximos mensais em diferentes lags. Valores p exploratórios, sem correção por multiplicidade.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Ljung–Box dos máximos mensais em diferentes lags. Valores p exploratórios, sem correção por multiplicidade."/>
            </w:tblPr>
            <w:tblGrid>
              <w:gridCol w:w="2121"/>
              <w:gridCol w:w="990"/>
              <w:gridCol w:w="990"/>
              <w:gridCol w:w="1697"/>
              <w:gridCol w:w="1131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serie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estatistica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acf1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322.6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maximos_mensal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534.4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&lt; 0,001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0.8184</w:t>
                  </w:r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Um valor p pequeno indica incompatibilidade com ausência das autocorrelações examinadas; não distingue dependência de variação temporal da distribuição. Valores numéricos exibidos como zero nos arquivos representam limites de precisão, não probabilidade matemática exatamente zero.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dependencia-mensal"/>
          <w:p>
            <w:pPr>
              <w:pStyle w:val="Compact"/>
              <w:jc w:val="center"/>
            </w:pPr>
            <w:r>
              <w:drawing>
                <wp:inline>
                  <wp:extent cx="5829300" cy="297582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figuras/dependencia_maximos_mensal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29758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Figura 12: ACF e PACF de log10 dos máximos mensais no maior trecho contíguo. Bandas pontuais aproximadas sob ruído branco.</w:t>
            </w:r>
          </w:p>
          <w:bookmarkEnd w:id="103"/>
        </w:tc>
      </w:tr>
    </w:tbl>
    <w:p>
      <w:pPr>
        <w:pStyle w:val="BodyText"/>
      </w:pPr>
      <w:r>
        <w:t xml:space="preserve">As autocorrelações reforçam que a agregação mensal não tornou a amostra independente. As figuras das outras agregações continuam em</w:t>
      </w:r>
      <w:r>
        <w:t xml:space="preserve"> </w:t>
      </w:r>
      <w:r>
        <w:rPr>
          <w:rStyle w:val="VerbatimChar"/>
        </w:rPr>
        <w:t xml:space="preserve">figuras/dependencia_*.png</w:t>
      </w:r>
      <w:r>
        <w:t xml:space="preserve">.</w:t>
      </w:r>
    </w:p>
    <w:p>
      <w:pPr>
        <w:pStyle w:val="BodyText"/>
      </w:pPr>
      <w:r>
        <w:t xml:space="preserve">A comparação exploratória de médias anuais de log10 da mediana diária, por permutação de segmentos de 27 dias, produziu valor p 0,002. A janela é uma escolha metodológica para preservar dependência local, não uma medição do ciclo solar. O resultado depende de permutabilidade e não controla toda a dependência de longo prazo (</w:t>
      </w:r>
      <w:r>
        <w:rPr>
          <w:rStyle w:val="VerbatimChar"/>
        </w:rPr>
        <w:t xml:space="preserve">tabelas/mudanca_anual_exploratoria.csv</w:t>
      </w:r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parametros-n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11: Parâmetros originais da localização linear e IC de Wald exploratórios. loc refere-se à data média dos blocos elegíveis.</w:t>
            </w:r>
          </w:p>
          <w:p>
            <w:pPr>
              <w:pStyle w:val="Compact"/>
              <w:jc w:val="center"/>
            </w:pPr>
            <w:r>
              <w:t xml:space="preserve">Parâmetros originais da localização linear e IC de Wald exploratórios. loc refere-se à data média dos blocos elegíveis.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Parâmetros originais da localização linear e IC de Wald exploratórios. loc refere-se à data média dos blocos elegíveis."/>
            </w:tblPr>
            <w:tblGrid>
              <w:gridCol w:w="1182"/>
              <w:gridCol w:w="1300"/>
              <w:gridCol w:w="1182"/>
              <w:gridCol w:w="1300"/>
              <w:gridCol w:w="1182"/>
              <w:gridCol w:w="17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unidade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9.418e-07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9.021e-07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4.594e-06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loctempo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-3.326e-08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2.830e-08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-8.873e-08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2.221e-08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 por ano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7.927e-06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1.340e-05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 m^-2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shape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2.863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0.2982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2.279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adimensional</w:t>
                  </w:r>
                </w:p>
              </w:tc>
            </w:tr>
          </w:tbl>
          <w:bookmarkEnd w:id="104"/>
          <w:p/>
        </w:tc>
      </w:tr>
    </w:tbl>
    <w:p>
      <w:pPr>
        <w:pStyle w:val="BodyText"/>
      </w:pPr>
      <w:r>
        <w:t xml:space="preserve">O teste aninhado estacionário/linear usa aproximação qui-quadrado com um grau de liberdade; seu valor p sob dependência é nominal. A tabela principal reconverteu os critérios para W/m²;</w:t>
      </w:r>
      <w:r>
        <w:t xml:space="preserve"> </w:t>
      </w:r>
      <w:r>
        <w:rPr>
          <w:rStyle w:val="VerbatimChar"/>
        </w:rPr>
        <w:t xml:space="preserve">comparacao_estacionariedade.csv</w:t>
      </w:r>
      <w:r>
        <w:t xml:space="preserve"> </w:t>
      </w:r>
      <w:r>
        <w:t xml:space="preserve">mantém a escala numérica original. A diferença de AIC é preservada.</w:t>
      </w:r>
    </w:p>
    <w:bookmarkEnd w:id="105"/>
    <w:bookmarkStart w:id="109" w:name="incerteza-da-gev-e-calibração"/>
    <w:p>
      <w:pPr>
        <w:pStyle w:val="Heading2"/>
      </w:pPr>
      <w:r>
        <w:t xml:space="preserve">Incerteza da GEV e calibração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parametros-wald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12: GEV: estimativas, erros padrão e IC de Wald de 95% sob aproximação de independência; não são os IC bootstrap da tabela principal.</w:t>
            </w:r>
          </w:p>
          <w:p>
            <w:pPr>
              <w:pStyle w:val="Compact"/>
              <w:jc w:val="center"/>
            </w:pPr>
            <w:r>
              <w:t xml:space="preserve">GEV: estimativas, erros padrão e IC de Wald de 95% sob aproximação de independência; não são os IC bootstrap da tabela principal.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GEV: estimativas, erros padrão e IC de Wald de 95% sob aproximação de independência; não são os IC bootstrap da tabela principal."/>
            </w:tblPr>
            <w:tblGrid>
              <w:gridCol w:w="1552"/>
              <w:gridCol w:w="1708"/>
              <w:gridCol w:w="1552"/>
              <w:gridCol w:w="1552"/>
              <w:gridCol w:w="155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parametro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9.424e-07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1.131e-06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4.826e-06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2.794e-06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2.731e-06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1.368e-05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0.2629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2.257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3.287</w:t>
                  </w:r>
                </w:p>
              </w:tc>
            </w:tr>
          </w:tbl>
          <w:bookmarkEnd w:id="106"/>
          <w:p/>
        </w:tc>
      </w:tr>
    </w:tbl>
    <w:p>
      <w:pPr>
        <w:pStyle w:val="BodyText"/>
      </w:pPr>
      <w:r>
        <w:t xml:space="preserve">O bootstrap usa segmentos de 5 meses e 399 replicações válidas de 399. A classificação pelo intervalo da forma é</w:t>
      </w:r>
      <w:r>
        <w:t xml:space="preserve"> </w:t>
      </w:r>
      <w:r>
        <w:rPr>
          <w:b/>
          <w:bCs/>
        </w:rPr>
        <w:t xml:space="preserve">Fréchet: o intervalo bootstrap da forma está inteiramente acima de zero</w:t>
      </w:r>
      <w:r>
        <w:t xml:space="preserve">, condicional ao modelo agregado. A rotina exige pelo menos 100 replicações e 80% de êxito, sem publicar intervalos a partir de um bootstrap insuficiente.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calibracao-retorn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13: Excedências observadas dos níveis formais versus contagens esperadas sob a GEV constante; diagnóstico descritivo sob dependência.</w:t>
            </w:r>
          </w:p>
          <w:p>
            <w:pPr>
              <w:pStyle w:val="Compact"/>
              <w:jc w:val="center"/>
            </w:pPr>
            <w:r>
              <w:t xml:space="preserve">Excedências observadas dos níveis formais versus contagens esperadas sob a GEV constante; diagnóstico descritivo sob dependência.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Excedências observadas dos níveis formais versus contagens esperadas sob a GEV constante; diagnóstico descritivo sob dependência."/>
            </w:tblPr>
            <w:tblGrid>
              <w:gridCol w:w="1980"/>
              <w:gridCol w:w="3111"/>
              <w:gridCol w:w="28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observadas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esperadas modelo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7.833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3.917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0.7833</w:t>
                  </w:r>
                </w:p>
              </w:tc>
            </w:tr>
          </w:tbl>
          <w:bookmarkEnd w:id="107"/>
          <w:p/>
        </w:tc>
      </w:tr>
    </w:tbl>
    <w:p>
      <w:pPr>
        <w:pStyle w:val="BodyText"/>
      </w:pPr>
      <w:r>
        <w:t xml:space="preserve">A escassez de excedências em relação ao modelo mostra a falha de calibração. Intervalos bootstrap não corrigem uma família inadequada para a cauda.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condicionai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14: Extensão linear: quantis condicionais com tempo congelado no último bloco, em W/m²; IC delta no log-quantil, sob independência aproximada.</w:t>
            </w:r>
          </w:p>
          <w:p>
            <w:pPr>
              <w:pStyle w:val="Compact"/>
              <w:jc w:val="center"/>
            </w:pPr>
            <w:r>
              <w:t xml:space="preserve">Extensão linear: quantis condicionais com tempo congelado no último bloco, em W/m²; IC delta no log-quantil, sob independência aproximada.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Extensão linear: quantis condicionais com tempo congelado no último bloco, em W/m²; IC delta no log-quantil, sob independência aproximada."/>
            </w:tblPr>
            <w:tblGrid>
              <w:gridCol w:w="1155"/>
              <w:gridCol w:w="1815"/>
              <w:gridCol w:w="1815"/>
              <w:gridCol w:w="1650"/>
              <w:gridCol w:w="148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anos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estimativa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inferior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superior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6.389e-04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0.01417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0.02332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0.003367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0.1615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0.3334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0.02872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2025-03-01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2.455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0.1426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42.29</w:t>
                  </w:r>
                </w:p>
              </w:tc>
            </w:tr>
          </w:tbl>
          <w:bookmarkEnd w:id="108"/>
          <w:p/>
        </w:tc>
      </w:tr>
    </w:tbl>
    <w:p>
      <w:pPr>
        <w:pStyle w:val="BodyText"/>
      </w:pPr>
      <w:r>
        <w:t xml:space="preserve">Esses quantis mantêm a covariável na data de referência; não representam uma trajetória futura de atividade solar. Seus intervalos delta não são a faixa bootstrap histórica e não incorporam dependência ou incerteza dessa trajetória.</w:t>
      </w:r>
    </w:p>
    <w:bookmarkEnd w:id="109"/>
    <w:bookmarkStart w:id="111" w:name="ap-sensibilidade"/>
    <w:p>
      <w:pPr>
        <w:pStyle w:val="Heading2"/>
      </w:pPr>
      <w:r>
        <w:t xml:space="preserve">Sensibilidade da GEV</w:t>
      </w:r>
    </w:p>
    <w:p>
      <w:pPr>
        <w:pStyle w:val="FirstParagraph"/>
      </w:pPr>
      <w:r>
        <w:t xml:space="preserve">O ajuste principal mantém todos os máximos elegíveis. Variações de cobertura e retiradas de um ou três maiores máximos são apenas diagnósticas, não critérios para excluir dados.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sensibilidade-gev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Tabela 15: Sensibilidade da GEV mensal: localização e escala em W/m²; forma e sua diferença adimensionais.</w:t>
            </w:r>
          </w:p>
          <w:p>
            <w:pPr>
              <w:pStyle w:val="Compact"/>
              <w:jc w:val="center"/>
            </w:pPr>
            <w:r>
              <w:t xml:space="preserve">Sensibilidade da GEV mensal: localização e escala em W/m²; forma e sua diferença adimensionais.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nsibilidade da GEV mensal: localização e escala em W/m²; forma e sua diferença adimensionais."/>
            </w:tblPr>
            <w:tblGrid>
              <w:gridCol w:w="2048"/>
              <w:gridCol w:w="955"/>
              <w:gridCol w:w="1365"/>
              <w:gridCol w:w="1365"/>
              <w:gridCol w:w="955"/>
              <w:gridCol w:w="12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variacao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sigma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delta xi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2.990e-06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8.176e-06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-0.02285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2.979e-06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8.208e-06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2.772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cobertura_0.95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3.201e-06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8.613e-06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-0.07665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sem_1_maiores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2.876e-06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7.846e-06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2.745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-0.0273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sem_3_maiores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2.685e-06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7.200e-06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2.698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-0.07426</w:t>
                  </w:r>
                </w:p>
              </w:tc>
            </w:tr>
          </w:tbl>
          <w:bookmarkEnd w:id="110"/>
          <w:p/>
        </w:tc>
      </w:tr>
    </w:tbl>
    <w:p>
      <w:pPr>
        <w:pStyle w:val="BodyText"/>
      </w:pPr>
      <w:r>
        <w:t xml:space="preserve">A maior variação absoluta da forma foi 0.077. As formas continuam elevadas nos cenários examinados; estabilidade relativa à retirada de poucos picos não garante adequação de uma distribuição global à heterogeneidade temporal. Os resultados completos permanecem em</w:t>
      </w:r>
      <w:r>
        <w:t xml:space="preserve"> </w:t>
      </w:r>
      <w:r>
        <w:rPr>
          <w:rStyle w:val="VerbatimChar"/>
        </w:rPr>
        <w:t xml:space="preserve">sensibilidade_ajustes.csv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sensibilidade_cobertura.csv</w:t>
      </w:r>
      <w:r>
        <w:t xml:space="preserve">.</w:t>
      </w:r>
    </w:p>
    <w:bookmarkEnd w:id="111"/>
    <w:bookmarkStart w:id="119" w:name="ap-reproducao"/>
    <w:p>
      <w:pPr>
        <w:pStyle w:val="Heading2"/>
      </w:pPr>
      <w:r>
        <w:t xml:space="preserve">Episódios e reprodutibilidade</w:t>
      </w:r>
    </w:p>
    <w:p>
      <w:pPr>
        <w:pStyle w:val="FirstParagraph"/>
      </w:pPr>
      <w:r>
        <w:t xml:space="preserve">O pipeline também preserva o ranking dos vinte maiores minutos e o agrupamento de excedências de P99,9 (5.666e-05 W/m²) por intervalo entre excedências. A regra principal de seis horas gera 161 episódios; janelas de uma e 24 horas são sensibilidades em</w:t>
      </w:r>
      <w:r>
        <w:t xml:space="preserve"> </w:t>
      </w:r>
      <w:r>
        <w:rPr>
          <w:rStyle w:val="VerbatimChar"/>
        </w:rPr>
        <w:t xml:space="preserve">sensibilidade_declustering.csv</w:t>
      </w:r>
      <w:r>
        <w:t xml:space="preserve">. Isso é um agrupamento estatístico, não um catálogo físico de flares. Minutos consecutivos do ranking podem pertencer ao mesmo episódio; lacunas podem separá-los artificialmente. As tabelas completas continuam em</w:t>
      </w:r>
      <w:r>
        <w:t xml:space="preserve"> </w:t>
      </w:r>
      <w:r>
        <w:rPr>
          <w:rStyle w:val="VerbatimChar"/>
        </w:rPr>
        <w:t xml:space="preserve">top20_minutos.csv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eventos_6h.csv</w:t>
      </w:r>
      <w:r>
        <w:t xml:space="preserve">.</w:t>
      </w:r>
    </w:p>
    <w:p>
      <w:pPr>
        <w:pStyle w:val="BodyText"/>
      </w:pPr>
      <w:r>
        <w:t xml:space="preserve">A análise é refeita ao renderizar, sem cache de resultados antigos. Os scripts e</w:t>
      </w:r>
      <w:r>
        <w:t xml:space="preserve"> </w:t>
      </w:r>
      <w:r>
        <w:rPr>
          <w:rStyle w:val="VerbatimChar"/>
        </w:rPr>
        <w:t xml:space="preserve">VALIDACAO.md</w:t>
      </w:r>
      <w:r>
        <w:t xml:space="preserve"> </w:t>
      </w:r>
      <w:r>
        <w:t xml:space="preserve">documentam verificações do NetCDF, suporte, otimização e inferência. Não houve mudança dos modelos para reproduzir figuras financeiras. Os programas da Carolyne não estão disponíveis separadamente neste repositório: a adaptação foi baseada no PDF, especialmente Tabela 2 e Figuras 2 e 8. A Figura 3, com log-retornos, não foi reproduzida porque muda o objeto de análise para variações relativas de preços, sem justificativa aqui.</w:t>
      </w:r>
    </w:p>
    <w:p>
      <w:pPr>
        <w:pStyle w:val="BodyText"/>
      </w:pPr>
      <w:r>
        <w:t xml:space="preserve">As citações abaixo identificam as implementações utilizadas.</w:t>
      </w:r>
    </w:p>
    <w:p>
      <w:pPr>
        <w:pStyle w:val="BodyText"/>
      </w:pPr>
      <w:r>
        <w:rPr>
          <w:b/>
          <w:bCs/>
        </w:rPr>
        <w:t xml:space="preserve">Pacote ncdf4</w:t>
      </w:r>
    </w:p>
    <w:p>
      <w:pPr>
        <w:pStyle w:val="BodyText"/>
      </w:pPr>
      <w:r>
        <w:t xml:space="preserve">Pierce D (2024).</w:t>
      </w:r>
      <w:r>
        <w:t xml:space="preserve"> </w:t>
      </w:r>
      <w:r>
        <w:rPr>
          <w:i/>
          <w:iCs/>
        </w:rPr>
        <w:t xml:space="preserve">ncdf4: Interface to Unidata netCDF (Version 4 or</w:t>
      </w:r>
      <w:r>
        <w:rPr>
          <w:i/>
          <w:iCs/>
        </w:rPr>
        <w:t xml:space="preserve"> </w:t>
      </w:r>
      <w:r>
        <w:rPr>
          <w:i/>
          <w:iCs/>
        </w:rPr>
        <w:t xml:space="preserve">Earlier) Format Data Files</w:t>
      </w:r>
      <w:r>
        <w:t xml:space="preserve">. doi:10.32614/CRAN.package.ncdf4</w:t>
      </w:r>
      <w:r>
        <w:t xml:space="preserve"> </w:t>
      </w:r>
      <w:hyperlink r:id="rId112">
        <w:r>
          <w:rPr>
            <w:rStyle w:val="Hyperlink"/>
          </w:rPr>
          <w:t xml:space="preserve">https://doi.org/10.32614/CRAN.package.ncdf4</w:t>
        </w:r>
      </w:hyperlink>
      <w:r>
        <w:t xml:space="preserve">, R package version 1.23,</w:t>
      </w:r>
      <w:r>
        <w:t xml:space="preserve"> </w:t>
      </w:r>
      <w:hyperlink r:id="rId113">
        <w:r>
          <w:rPr>
            <w:rStyle w:val="Hyperlink"/>
          </w:rPr>
          <w:t xml:space="preserve">https://CRAN.R-project.org/package=ncdf4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data.table</w:t>
      </w:r>
    </w:p>
    <w:p>
      <w:pPr>
        <w:pStyle w:val="BodyText"/>
      </w:pPr>
      <w:r>
        <w:t xml:space="preserve">Barrett T, Dowle M, Srinivasan A, Gorecki J, Chirico M, Hocking T,</w:t>
      </w:r>
      <w:r>
        <w:t xml:space="preserve"> </w:t>
      </w:r>
      <w:r>
        <w:t xml:space="preserve">Schwendinger B, Krylov I (2025).</w:t>
      </w:r>
      <w:r>
        <w:t xml:space="preserve"> </w:t>
      </w:r>
      <w:r>
        <w:rPr>
          <w:i/>
          <w:iCs/>
        </w:rPr>
        <w:t xml:space="preserve">data.table: Extension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data.frame</w:t>
      </w:r>
      <w:r>
        <w:t xml:space="preserve">. doi:10.32614/CRAN.package.data.table</w:t>
      </w:r>
      <w:r>
        <w:t xml:space="preserve"> </w:t>
      </w:r>
      <w:hyperlink r:id="rId114">
        <w:r>
          <w:rPr>
            <w:rStyle w:val="Hyperlink"/>
          </w:rPr>
          <w:t xml:space="preserve">https://doi.org/10.32614/CRAN.package.data.table</w:t>
        </w:r>
      </w:hyperlink>
      <w:r>
        <w:t xml:space="preserve">, R package version</w:t>
      </w:r>
      <w:r>
        <w:t xml:space="preserve"> </w:t>
      </w:r>
      <w:r>
        <w:t xml:space="preserve">1.17.0,</w:t>
      </w:r>
      <w:r>
        <w:t xml:space="preserve"> </w:t>
      </w:r>
      <w:hyperlink r:id="rId115">
        <w:r>
          <w:rPr>
            <w:rStyle w:val="Hyperlink"/>
          </w:rPr>
          <w:t xml:space="preserve">https://CRAN.R-project.org/package=data.table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ggplot2</w:t>
      </w:r>
    </w:p>
    <w:p>
      <w:pPr>
        <w:pStyle w:val="BodyText"/>
      </w:pPr>
      <w:r>
        <w:t xml:space="preserve">Wickham H (2016).</w:t>
      </w:r>
      <w:r>
        <w:t xml:space="preserve"> </w:t>
      </w:r>
      <w:r>
        <w:rPr>
          <w:i/>
          <w:iCs/>
        </w:rPr>
        <w:t xml:space="preserve">ggplot2: Elegant Graphics for Data Analysis</w:t>
      </w:r>
      <w:r>
        <w:t xml:space="preserve">.</w:t>
      </w:r>
      <w:r>
        <w:t xml:space="preserve"> </w:t>
      </w:r>
      <w:r>
        <w:t xml:space="preserve">Springer-Verlag New York. ISBN 978-3-319-24277-4,</w:t>
      </w:r>
      <w:r>
        <w:t xml:space="preserve"> </w:t>
      </w:r>
      <w:hyperlink r:id="rId116">
        <w:r>
          <w:rPr>
            <w:rStyle w:val="Hyperlink"/>
          </w:rPr>
          <w:t xml:space="preserve">https://ggplot2.tidyverse.org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evd</w:t>
      </w:r>
    </w:p>
    <w:p>
      <w:pPr>
        <w:pStyle w:val="BodyText"/>
      </w:pPr>
      <w:r>
        <w:t xml:space="preserve">Stephenson AG (2002).</w:t>
      </w:r>
      <w:r>
        <w:t xml:space="preserve"> </w:t>
      </w:r>
      <w:r>
        <w:t xml:space="preserve">“evd: Extreme Value Distributions.”</w:t>
      </w:r>
      <w:r>
        <w:t xml:space="preserve"> </w:t>
      </w:r>
      <w:r>
        <w:rPr>
          <w:i/>
          <w:iCs/>
        </w:rPr>
        <w:t xml:space="preserve">R News</w:t>
      </w:r>
      <w:r>
        <w:t xml:space="preserve">,</w:t>
      </w:r>
      <w:r>
        <w:t xml:space="preserve"> </w:t>
      </w:r>
      <w:r>
        <w:rPr>
          <w:i/>
          <w:iCs/>
        </w:rPr>
        <w:t xml:space="preserve">2</w:t>
      </w:r>
      <w:r>
        <w:t xml:space="preserve">(2), 31-32.</w:t>
      </w:r>
      <w:r>
        <w:t xml:space="preserve"> </w:t>
      </w:r>
      <w:hyperlink r:id="rId117">
        <w:r>
          <w:rPr>
            <w:rStyle w:val="Hyperlink"/>
          </w:rPr>
          <w:t xml:space="preserve">https://CRAN.R-project.org/doc/Rnews/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Pacote knitr</w:t>
      </w:r>
    </w:p>
    <w:p>
      <w:pPr>
        <w:pStyle w:val="BodyText"/>
      </w:pPr>
      <w:r>
        <w:t xml:space="preserve">Xie Y (2025).</w:t>
      </w:r>
      <w:r>
        <w:t xml:space="preserve"> </w:t>
      </w:r>
      <w:r>
        <w:rPr>
          <w:i/>
          <w:iCs/>
        </w:rPr>
        <w:t xml:space="preserve">knitr: A General-Purpose Package for Dynamic Report</w:t>
      </w:r>
      <w:r>
        <w:rPr>
          <w:i/>
          <w:iCs/>
        </w:rPr>
        <w:t xml:space="preserve"> </w:t>
      </w:r>
      <w:r>
        <w:rPr>
          <w:i/>
          <w:iCs/>
        </w:rPr>
        <w:t xml:space="preserve">Generation in R</w:t>
      </w:r>
      <w:r>
        <w:t xml:space="preserve">. R package version 1.50,</w:t>
      </w:r>
      <w:r>
        <w:t xml:space="preserve"> </w:t>
      </w:r>
      <w:hyperlink r:id="rId118">
        <w:r>
          <w:rPr>
            <w:rStyle w:val="Hyperlink"/>
          </w:rPr>
          <w:t xml:space="preserve">https://yihui.org/knitr/</w:t>
        </w:r>
      </w:hyperlink>
      <w:r>
        <w:t xml:space="preserve">.</w:t>
      </w:r>
      <w:r>
        <w:t xml:space="preserve"> </w:t>
      </w:r>
      <w:r>
        <w:t xml:space="preserve">Xie Y (2015).</w:t>
      </w:r>
      <w:r>
        <w:t xml:space="preserve"> </w:t>
      </w:r>
      <w:r>
        <w:rPr>
          <w:i/>
          <w:iCs/>
        </w:rPr>
        <w:t xml:space="preserve">Dynamic Documents with R and knitr</w:t>
      </w:r>
      <w:r>
        <w:t xml:space="preserve">, 2nd edition.</w:t>
      </w:r>
      <w:r>
        <w:t xml:space="preserve"> </w:t>
      </w:r>
      <w:r>
        <w:t xml:space="preserve">Chapman and Hall/CRC, Boca Raton, Florida. ISBN 978-1498716963,</w:t>
      </w:r>
      <w:r>
        <w:t xml:space="preserve"> </w:t>
      </w:r>
      <w:hyperlink r:id="rId118">
        <w:r>
          <w:rPr>
            <w:rStyle w:val="Hyperlink"/>
          </w:rPr>
          <w:t xml:space="preserve">https://yihui.org/knitr/</w:t>
        </w:r>
      </w:hyperlink>
      <w:r>
        <w:t xml:space="preserve">.</w:t>
      </w:r>
      <w:r>
        <w:t xml:space="preserve"> </w:t>
      </w:r>
      <w:r>
        <w:t xml:space="preserve">Xie Y (2014).</w:t>
      </w:r>
      <w:r>
        <w:t xml:space="preserve"> </w:t>
      </w:r>
      <w:r>
        <w:t xml:space="preserve">“knitr: A Comprehensive Tool for Reproducible Research in</w:t>
      </w:r>
      <w:r>
        <w:t xml:space="preserve"> </w:t>
      </w:r>
      <w:r>
        <w:t xml:space="preserve">R.”</w:t>
      </w:r>
      <w:r>
        <w:t xml:space="preserve"> </w:t>
      </w:r>
      <w:r>
        <w:t xml:space="preserve">In Stodden V, Leisch F, Peng RD (eds.),</w:t>
      </w:r>
      <w:r>
        <w:t xml:space="preserve"> </w:t>
      </w:r>
      <w:r>
        <w:rPr>
          <w:i/>
          <w:iCs/>
        </w:rPr>
        <w:t xml:space="preserve">Implementing Reproducible</w:t>
      </w:r>
      <w:r>
        <w:rPr>
          <w:i/>
          <w:iCs/>
        </w:rPr>
        <w:t xml:space="preserve"> </w:t>
      </w:r>
      <w:r>
        <w:rPr>
          <w:i/>
          <w:iCs/>
        </w:rPr>
        <w:t xml:space="preserve">Computational Research</w:t>
      </w:r>
      <w:r>
        <w:t xml:space="preserve">. Chapman and Hall/CRC. ISBN 978-1466561595.</w:t>
      </w:r>
    </w:p>
    <w:p>
      <w:pPr>
        <w:pStyle w:val="SourceCode"/>
      </w:pPr>
      <w:r>
        <w:rPr>
          <w:rStyle w:val="VerbatimChar"/>
        </w:rPr>
        <w:t xml:space="preserve">R version 4.5.0 (2025-04-11)</w:t>
      </w:r>
      <w:r>
        <w:br/>
      </w:r>
      <w:r>
        <w:rPr>
          <w:rStyle w:val="VerbatimChar"/>
        </w:rPr>
        <w:t xml:space="preserve">Platform: x86_64-pc-linux-gnu</w:t>
      </w:r>
      <w:r>
        <w:br/>
      </w:r>
      <w:r>
        <w:rPr>
          <w:rStyle w:val="VerbatimChar"/>
        </w:rPr>
        <w:t xml:space="preserve">Running under: Debian GNU/Linux 13 (trixie)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BLAS:   /usr/lib/x86_64-linux-gnu/blas/libblas.so.3.12.1 </w:t>
      </w:r>
      <w:r>
        <w:br/>
      </w:r>
      <w:r>
        <w:rPr>
          <w:rStyle w:val="VerbatimChar"/>
        </w:rPr>
        <w:t xml:space="preserve">LAPACK: /usr/lib/x86_64-linux-gnu/lapack/liblapack.so.3.12.1;  LAPACK version 3.12.0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[1] LC_CTYPE=C.UTF-8       LC_NUMERIC=C           LC_TIME=C.UTF-8       </w:t>
      </w:r>
      <w:r>
        <w:br/>
      </w:r>
      <w:r>
        <w:rPr>
          <w:rStyle w:val="VerbatimChar"/>
        </w:rPr>
        <w:t xml:space="preserve"> [4] LC_COLLATE=C.UTF-8     LC_MONETARY=C.UTF-8    LC_MESSAGES=C.UTF-8   </w:t>
      </w:r>
      <w:r>
        <w:br/>
      </w:r>
      <w:r>
        <w:rPr>
          <w:rStyle w:val="VerbatimChar"/>
        </w:rPr>
        <w:t xml:space="preserve"> [7] LC_PAPER=C.UTF-8       LC_NAME=C              LC_ADDRESS=C          </w:t>
      </w:r>
      <w:r>
        <w:br/>
      </w:r>
      <w:r>
        <w:rPr>
          <w:rStyle w:val="VerbatimChar"/>
        </w:rPr>
        <w:t xml:space="preserve">[10] LC_TELEPHONE=C         LC_MEASUREMENT=C.UTF-8 LC_IDENTIFICATION=C   </w:t>
      </w:r>
      <w:r>
        <w:br/>
      </w:r>
      <w:r>
        <w:br/>
      </w:r>
      <w:r>
        <w:rPr>
          <w:rStyle w:val="VerbatimChar"/>
        </w:rPr>
        <w:t xml:space="preserve">time zone: UTC</w:t>
      </w:r>
      <w:r>
        <w:br/>
      </w:r>
      <w:r>
        <w:rPr>
          <w:rStyle w:val="VerbatimChar"/>
        </w:rPr>
        <w:t xml:space="preserve">tzcode source: system (glibc)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[1] ggplot2_3.5.1     data.table_1.17.0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[1] vctrs_0.6.5       cli_3.6.4         knitr_1.50        rlang_1.1.5      </w:t>
      </w:r>
      <w:r>
        <w:br/>
      </w:r>
      <w:r>
        <w:rPr>
          <w:rStyle w:val="VerbatimChar"/>
        </w:rPr>
        <w:t xml:space="preserve"> [5] xfun_0.51         ncdf4_1.23        generics_0.1.3    jsonlite_1.9.1   </w:t>
      </w:r>
      <w:r>
        <w:br/>
      </w:r>
      <w:r>
        <w:rPr>
          <w:rStyle w:val="VerbatimChar"/>
        </w:rPr>
        <w:t xml:space="preserve"> [9] labeling_0.4.3    glue_1.8.0        colorspace_2.1-1  htmltools_0.5.8.1</w:t>
      </w:r>
      <w:r>
        <w:br/>
      </w:r>
      <w:r>
        <w:rPr>
          <w:rStyle w:val="VerbatimChar"/>
        </w:rPr>
        <w:t xml:space="preserve">[13] scales_1.3.0      rmarkdown_2.29    grid_4.5.0        evaluate_1.0.3   </w:t>
      </w:r>
      <w:r>
        <w:br/>
      </w:r>
      <w:r>
        <w:rPr>
          <w:rStyle w:val="VerbatimChar"/>
        </w:rPr>
        <w:t xml:space="preserve">[17] munsell_0.5.1     tibble_3.2.1      fastmap_1.2.0     yaml_2.3.10      </w:t>
      </w:r>
      <w:r>
        <w:br/>
      </w:r>
      <w:r>
        <w:rPr>
          <w:rStyle w:val="VerbatimChar"/>
        </w:rPr>
        <w:t xml:space="preserve">[21] lifecycle_1.0.4   evd_2.3-7.1       compiler_4.5.0    dplyr_1.1.4      </w:t>
      </w:r>
      <w:r>
        <w:br/>
      </w:r>
      <w:r>
        <w:rPr>
          <w:rStyle w:val="VerbatimChar"/>
        </w:rPr>
        <w:t xml:space="preserve">[25] pkgconfig_2.0.3   farver_2.1.2      digest_0.6.37     R6_2.6.1         </w:t>
      </w:r>
      <w:r>
        <w:br/>
      </w:r>
      <w:r>
        <w:rPr>
          <w:rStyle w:val="VerbatimChar"/>
        </w:rPr>
        <w:t xml:space="preserve">[29] tidyselect_1.2.1  pillar_1.10.1     magrittr_2.0.3    withr_3.0.2      </w:t>
      </w:r>
      <w:r>
        <w:br/>
      </w:r>
      <w:r>
        <w:rPr>
          <w:rStyle w:val="VerbatimChar"/>
        </w:rPr>
        <w:t xml:space="preserve">[33] tools_4.5.0       gtable_0.3.6     </w:t>
      </w:r>
    </w:p>
    <w:bookmarkEnd w:id="119"/>
    <w:bookmarkEnd w:id="120"/>
    <w:sectPr>
      <w:footerReference r:id="rId9" w:type="default"/>
      <w:footnotePr>
        <w:numRestart w:val="eachSect"/>
      </w:footnotePr>
      <w:pgSz w:h="16838" w:w="11906"/>
      <w:pgMar w:bottom="1361" w:footer="680" w:header="680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styleId="BodyText" w:type="paragraph">
    <w:name w:val="Body Text"/>
    <w:basedOn w:val="Normal"/>
    <w:link w:val="BodyTextChar"/>
    <w:qFormat/>
    <w:pPr>
      <w:widowControl/>
      <w:spacing w:after="120" w:before="180" w:line="269" w:lineRule="auto"/>
    </w:pPr>
    <w:rPr>
      <w:rFonts w:ascii="Liberation Serif" w:hAnsi="Liberation Serif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customStyle="1" w:styleId="Compact" w:type="paragraph">
    <w:name w:val="Compact"/>
    <w:basedOn w:val="BodyText"/>
    <w:qFormat/>
    <w:pPr>
      <w:spacing w:after="0" w:before="36" w:line="252" w:lineRule="auto"/>
    </w:pPr>
    <w:rPr>
      <w:rFonts w:ascii="Liberation Serif" w:hAnsi="Liberation Serif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400" w:before="1800" w:line="240" w:lineRule="auto"/>
      <w:contextualSpacing/>
      <w:jc w:val="center"/>
    </w:pPr>
    <w:rPr>
      <w:rFonts w:ascii="Liberation Sans" w:asciiTheme="majorHAnsi" w:cstheme="majorBidi" w:eastAsiaTheme="majorEastAsia" w:hAnsi="Liberation Sans" w:hAnsiTheme="majorHAnsi"/>
      <w:color w:val="243E50"/>
      <w:sz w:val="4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keepNext/>
      <w:numPr>
        <w:ilvl w:val="1"/>
      </w:numPr>
      <w:spacing w:after="600"/>
      <w:jc w:val="center"/>
    </w:pPr>
    <w:rPr>
      <w:rFonts w:ascii="Liberation Sans" w:cstheme="majorBidi" w:eastAsiaTheme="majorEastAsia" w:hAnsi="Liberation Sans"/>
      <w:color w:val="243E5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0"/>
      <w:keepLines/>
      <w:jc w:val="center"/>
    </w:pPr>
    <w:rPr>
      <w:rFonts w:ascii="Liberation Sans" w:hAnsi="Liberation Sans"/>
      <w:color w:val="243E5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120" w:line="269" w:lineRule="auto"/>
    </w:pPr>
    <w:rPr>
      <w:rFonts w:ascii="Liberation Serif" w:hAnsi="Liberation Serif"/>
      <w:color w:val="000000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</w:pPr>
    <w:rPr>
      <w:rFonts w:ascii="Liberation Sans" w:asciiTheme="majorHAnsi" w:cstheme="majorBidi" w:eastAsiaTheme="majorEastAsia" w:hAnsi="Liberation Sans" w:hAnsiTheme="majorHAnsi"/>
      <w:color w:val="243E5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00"/>
      <w:outlineLvl w:val="1"/>
    </w:pPr>
    <w:rPr>
      <w:rFonts w:ascii="Liberation Sans" w:asciiTheme="majorHAnsi" w:cstheme="majorBidi" w:eastAsiaTheme="majorEastAsia" w:hAnsi="Liberation Sans" w:hAnsiTheme="majorHAnsi"/>
      <w:color w:val="243E5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00"/>
      <w:outlineLvl w:val="2"/>
    </w:pPr>
    <w:rPr>
      <w:rFonts w:ascii="Liberation Sans" w:cstheme="majorBidi" w:eastAsiaTheme="majorEastAsia" w:hAnsi="Liberation Sans"/>
      <w:color w:val="243E5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20" w:before="200"/>
      <w:outlineLvl w:val="3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120" w:before="200"/>
      <w:outlineLvl w:val="4"/>
    </w:pPr>
    <w:rPr>
      <w:rFonts w:ascii="Liberation Sans" w:cstheme="majorBidi" w:eastAsiaTheme="majorEastAsia" w:hAnsi="Liberation Sans"/>
      <w:color w:val="243E50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120" w:before="200"/>
      <w:outlineLvl w:val="5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120" w:before="200"/>
      <w:outlineLvl w:val="6"/>
    </w:pPr>
    <w:rPr>
      <w:rFonts w:ascii="Liberation Sans" w:cstheme="majorBidi" w:eastAsiaTheme="majorEastAsia" w:hAnsi="Liberation Sans"/>
      <w:color w:val="243E50"/>
      <w:sz w:val="22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20" w:before="200"/>
      <w:outlineLvl w:val="7"/>
    </w:pPr>
    <w:rPr>
      <w:rFonts w:ascii="Liberation Sans" w:cstheme="majorBidi" w:eastAsiaTheme="majorEastAsia" w:hAnsi="Liberation Sans"/>
      <w:i/>
      <w:iCs/>
      <w:color w:val="243E50"/>
      <w:sz w:val="22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20" w:before="200"/>
      <w:outlineLvl w:val="8"/>
    </w:pPr>
    <w:rPr>
      <w:rFonts w:ascii="Liberation Sans" w:cstheme="majorBidi" w:eastAsiaTheme="majorEastAsia" w:hAnsi="Liberation Sans"/>
      <w:color w:val="243E50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widowControl/>
      <w:spacing w:after="120" w:before="100" w:line="269" w:lineRule="auto"/>
      <w:ind w:firstLine="0" w:left="480" w:right="480"/>
    </w:pPr>
    <w:rPr>
      <w:rFonts w:ascii="Liberation Serif" w:hAnsi="Liberation Serif"/>
      <w:color w:val="000000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Liberation Serif" w:hAnsi="Liberation Serif"/>
      <w:sz w:val="19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 w:val="0"/>
      <w:keepLines/>
      <w:spacing w:after="120" w:before="0"/>
    </w:pPr>
    <w:rPr>
      <w:rFonts w:ascii="Liberation Serif" w:hAnsi="Liberation Serif"/>
      <w:i/>
      <w:sz w:val="19"/>
    </w:rPr>
  </w:style>
  <w:style w:customStyle="1" w:styleId="TableCaption" w:type="paragraph">
    <w:name w:val="Table Caption"/>
    <w:basedOn w:val="Caption"/>
    <w:pPr>
      <w:keepNext/>
      <w:keepLines/>
      <w:spacing w:after="120"/>
    </w:pPr>
    <w:rPr>
      <w:rFonts w:ascii="Liberation Serif" w:hAnsi="Liberation Serif"/>
      <w:sz w:val="19"/>
    </w:rPr>
  </w:style>
  <w:style w:customStyle="1" w:styleId="ImageCaption" w:type="paragraph">
    <w:name w:val="Image Caption"/>
    <w:basedOn w:val="Caption"/>
    <w:pPr>
      <w:keepNext w:val="0"/>
      <w:keepLines/>
      <w:spacing w:after="120"/>
    </w:pPr>
    <w:rPr>
      <w:rFonts w:ascii="Liberation Serif" w:hAnsi="Liberation Serif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41" Target="media/rId41.png" /><Relationship Type="http://schemas.openxmlformats.org/officeDocument/2006/relationships/image" Id="rId100" Target="media/rId100.png" /><Relationship Type="http://schemas.openxmlformats.org/officeDocument/2006/relationships/image" Id="rId32" Target="media/rId32.png" /><Relationship Type="http://schemas.openxmlformats.org/officeDocument/2006/relationships/image" Id="rId62" Target="media/rId62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78" Target="media/rId78.png" /><Relationship Type="http://schemas.openxmlformats.org/officeDocument/2006/relationships/image" Id="rId84" Target="media/rId84.png" /><Relationship Type="http://schemas.openxmlformats.org/officeDocument/2006/relationships/image" Id="rId72" Target="media/rId72.png" /><Relationship Type="http://schemas.openxmlformats.org/officeDocument/2006/relationships/image" Id="rId68" Target="media/rId68.png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hyperlink" Id="rId117" Target="https://CRAN.R-project.org/doc/Rnews/" TargetMode="External" /><Relationship Type="http://schemas.openxmlformats.org/officeDocument/2006/relationships/hyperlink" Id="rId115" Target="https://CRAN.R-project.org/package=data.table" TargetMode="External" /><Relationship Type="http://schemas.openxmlformats.org/officeDocument/2006/relationships/hyperlink" Id="rId113" Target="https://CRAN.R-project.org/package=ncdf4" TargetMode="External" /><Relationship Type="http://schemas.openxmlformats.org/officeDocument/2006/relationships/hyperlink" Id="rId114" Target="https://doi.org/10.32614/CRAN.package.data.table" TargetMode="External" /><Relationship Type="http://schemas.openxmlformats.org/officeDocument/2006/relationships/hyperlink" Id="rId112" Target="https://doi.org/10.32614/CRAN.package.ncdf4" TargetMode="External" /><Relationship Type="http://schemas.openxmlformats.org/officeDocument/2006/relationships/hyperlink" Id="rId116" Target="https://ggplot2.tidyverse.org" TargetMode="External" /><Relationship Type="http://schemas.openxmlformats.org/officeDocument/2006/relationships/hyperlink" Id="rId118" Target="https://yihui.org/knit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7" Target="https://CRAN.R-project.org/doc/Rnews/" TargetMode="External" /><Relationship Type="http://schemas.openxmlformats.org/officeDocument/2006/relationships/hyperlink" Id="rId115" Target="https://CRAN.R-project.org/package=data.table" TargetMode="External" /><Relationship Type="http://schemas.openxmlformats.org/officeDocument/2006/relationships/hyperlink" Id="rId113" Target="https://CRAN.R-project.org/package=ncdf4" TargetMode="External" /><Relationship Type="http://schemas.openxmlformats.org/officeDocument/2006/relationships/hyperlink" Id="rId114" Target="https://doi.org/10.32614/CRAN.package.data.table" TargetMode="External" /><Relationship Type="http://schemas.openxmlformats.org/officeDocument/2006/relationships/hyperlink" Id="rId112" Target="https://doi.org/10.32614/CRAN.package.ncdf4" TargetMode="External" /><Relationship Type="http://schemas.openxmlformats.org/officeDocument/2006/relationships/hyperlink" Id="rId116" Target="https://ggplot2.tidyverse.org" TargetMode="External" /><Relationship Type="http://schemas.openxmlformats.org/officeDocument/2006/relationships/hyperlink" Id="rId118" Target="https://yihui.org/knit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Valores Extremos do Fluxo de Raios X Solar observado pelo GOES-16</dc:title>
  <dc:creator/>
  <dc:language>pt-BR</dc:language>
  <cp:keywords/>
  <dcterms:created xsi:type="dcterms:W3CDTF">2026-10-28T02:25:18Z</dcterms:created>
  <dcterms:modified xsi:type="dcterms:W3CDTF">2026-10-28T02:25:18Z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2026-10-28</vt:lpwstr>
  </property>
  <property fmtid="{D5CDD505-2E9C-101B-9397-08002B2CF9AE}" pid="4" name="execute">
    <vt:lpwstr/>
  </property>
  <property fmtid="{D5CDD505-2E9C-101B-9397-08002B2CF9AE}" pid="5" name="fig-cap-location">
    <vt:lpwstr>bottom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Máximos mensais, ajuste GEV e limites da extrapolação</vt:lpwstr>
  </property>
  <property fmtid="{D5CDD505-2E9C-101B-9397-08002B2CF9AE}" pid="11" name="tbl-cap-location">
    <vt:lpwstr>top</vt:lpwstr>
  </property>
  <property fmtid="{D5CDD505-2E9C-101B-9397-08002B2CF9AE}" pid="12" name="toc-title">
    <vt:lpwstr>Índice</vt:lpwstr>
  </property>
</Properties>
</file>