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98.png" ContentType="image/png"/>
  <Override PartName="/word/media/rId86.png" ContentType="image/png"/>
  <Override PartName="/word/media/rId90.png" ContentType="image/png"/>
  <Override PartName="/word/media/rId94.png" ContentType="image/png"/>
  <Override PartName="/word/media/rId53.png" ContentType="image/png"/>
  <Override PartName="/word/media/rId57.png" ContentType="image/png"/>
  <Override PartName="/word/media/rId78.png" ContentType="image/png"/>
  <Override PartName="/word/media/rId32.png" ContentType="image/png"/>
  <Override PartName="/word/media/rId28.png" ContentType="image/png"/>
  <Override PartName="/word/media/rId222.png" ContentType="image/png"/>
  <Override PartName="/word/media/rId199.png" ContentType="image/png"/>
  <Override PartName="/word/media/rId211.png" ContentType="image/png"/>
  <Override PartName="/word/media/rId203.png" ContentType="image/png"/>
  <Override PartName="/word/media/rId207.png" ContentType="image/png"/>
  <Override PartName="/word/media/rId49.png" ContentType="image/png"/>
  <Override PartName="/word/media/rId151.png" ContentType="image/png"/>
  <Override PartName="/word/media/rId175.png" ContentType="image/png"/>
  <Override PartName="/word/media/rId163.png" ContentType="image/png"/>
  <Override PartName="/word/media/rId111.png" ContentType="image/png"/>
  <Override PartName="/word/media/rId119.png" ContentType="image/png"/>
  <Override PartName="/word/media/rId115.png" ContentType="image/png"/>
  <Override PartName="/word/media/rId107.png" ContentType="image/png"/>
  <Override PartName="/word/media/rId74.png" ContentType="image/png"/>
  <Override PartName="/word/media/rId70.png" ContentType="image/png"/>
  <Override PartName="/word/media/rId66.png" ContentType="image/png"/>
  <Override PartName="/word/media/rId244.png" ContentType="image/png"/>
  <Override PartName="/word/media/rId41.png" ContentType="image/png"/>
  <Override PartName="/word/media/rId45.png" ContentType="image/png"/>
  <Override PartName="/word/media/rId127.png" ContentType="image/png"/>
  <Override PartName="/word/media/rId82.png" ContentType="image/png"/>
  <Override PartName="/word/media/rId135.png" ContentType="image/png"/>
  <Override PartName="/word/media/rId131.png" ContentType="image/png"/>
  <Override PartName="/word/media/rId235.png" ContentType="image/png"/>
  <Override PartName="/word/media/rId187.png" ContentType="image/png"/>
  <Override PartName="/word/media/rId147.png" ContentType="image/png"/>
  <Override PartName="/word/media/rId171.png" ContentType="image/png"/>
  <Override PartName="/word/media/rId183.png" ContentType="image/png"/>
  <Override PartName="/word/media/rId159.png" ContentType="image/png"/>
  <Override PartName="/word/media/rId143.png" ContentType="image/png"/>
  <Override PartName="/word/media/rId167.png" ContentType="image/png"/>
  <Override PartName="/word/media/rId155.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Valores Extremos do Fluxo de Raios X Solar observado pelo GOES-16</w:t>
      </w:r>
    </w:p>
    <w:p>
      <w:pPr>
        <w:pStyle w:val="Subtitle"/>
      </w:pPr>
      <w:r>
        <w:t xml:space="preserve">Máximos mensais, comparação GEV × Skew-t e limites da extrapolação</w:t>
      </w:r>
    </w:p>
    <w:p>
      <w:pPr>
        <w:pStyle w:val="Date"/>
      </w:pPr>
      <w:r>
        <w:t xml:space="preserve">2026-10-23</w:t>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23" w:name="introdução"/>
    <w:p>
      <w:pPr>
        <w:pStyle w:val="Heading1"/>
      </w:pPr>
      <w:r>
        <w:t xml:space="preserve">1. Introdução</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workspace/.tools/quarto-1.7.32/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Resultado e alcance da inferência</w:t>
            </w:r>
          </w:p>
        </w:tc>
      </w:tr>
      <w:tr>
        <w:trPr>
          <w:cantSplit/>
        </w:trPr>
        <w:tc>
          <w:tcPr>
            <w:tcMar>
              <w:top w:w="108" w:type="dxa"/>
              <w:bottom w:w="108" w:type="dxa"/>
            </w:tcMar>
          </w:tcPr>
          <w:p>
            <w:pPr>
              <w:pStyle w:val="BodyText"/>
            </w:pPr>
            <w:pPr>
              <w:spacing w:before="16" w:after="16"/>
            </w:pPr>
            <w:r>
              <w:t xml:space="preserve">Esta análise usa exclusivamente a base GOES-16 real. O ajuste GEV estacionário global não oferece extrapolações prospectivas confiáveis: a cauda modelada é excessivamente pesada e não reproduz os maiores máximos observados. Os níveis de retorno apresentados são resultados formais desse ajuste, usados para evidenciar sua limitação; não são previsões recomendadas de fluxo solar.</w:t>
            </w:r>
          </w:p>
        </w:tc>
      </w:tr>
    </w:tbl>
    <w:p>
      <w:pPr>
        <w:pStyle w:val="BodyText"/>
      </w:pPr>
      <w:r>
        <w:t xml:space="preserve">Explosões solares podem produzir aumentos abruptos no fluxo de raios X observado por satélites. Descrever a intensidade desses picos é relevante para o estudo da atividade solar e de sua variabilidade. Uma descrição baseada somente em média e variância pode ocultar a distância entre o fluxo habitual e os episódios mais intensos.</w:t>
      </w:r>
    </w:p>
    <w:p>
      <w:pPr>
        <w:pStyle w:val="BodyText"/>
      </w:pPr>
      <w:r>
        <w:t xml:space="preserve">Este trabalho aplica a Teoria de Valores Extremos (TVE) ao canal XRS-B do GOES-16. O objetivo é comparar máximos diários, semanais e mensais, ajustar a distribuição Generalizada de Valores Extremos (GEV), examinar sua adequação e estimar níveis de retorno com incerteza explícita. Acrescenta-se a Skew-t como alternativa paramétrica para exatamente os mesmos máximos mensais, comparando verossimilhança, critérios, diagnósticos globais e cauda sem presumir superioridade. Não se procura prever a data de uma próxima explosão, demonstrar mecanismos físicos ou inferir efeitos sobre tecnologias terrestres sem dados adicionais.</w:t>
      </w:r>
    </w:p>
    <w:p>
      <w:pPr>
        <w:pStyle w:val="BodyText"/>
      </w:pPr>
      <w:r>
        <w:t xml:space="preserve">O trabalho de Carolyne Soares de Brito,</w:t>
      </w:r>
      <w:r>
        <w:t xml:space="preserve"> </w:t>
      </w:r>
      <w:r>
        <w:rPr>
          <w:i/>
          <w:iCs/>
        </w:rPr>
        <w:t xml:space="preserve">Análise da Cotação das empresas BrasilAgro e Boa Safra</w:t>
      </w:r>
      <w:r>
        <w:t xml:space="preserve">, orienta a sequência de investigação. Aqui, o objeto é o fluxo físico, sem retornos financeiros, VaR ou recomendações de investimento. A distribuição alfa-estável não é uma etapa necessária para justificar a aplicação da GEV: a análise dos máximos tem fundamentação própria.</w:t>
      </w:r>
    </w:p>
    <w:bookmarkEnd w:id="23"/>
    <w:bookmarkStart w:id="38" w:name="base-de-dados-e-controle-de-qualidade"/>
    <w:p>
      <w:pPr>
        <w:pStyle w:val="Heading1"/>
      </w:pPr>
      <w:r>
        <w:t xml:space="preserve">2. Base de dados e controle de qualidade</w:t>
      </w:r>
    </w:p>
    <w:p>
      <w:pPr>
        <w:pStyle w:val="FirstParagraph"/>
      </w:pPr>
      <w:r>
        <w:t xml:space="preserve">A base efetivamente processada é</w:t>
      </w:r>
      <w:r>
        <w:t xml:space="preserve"> </w:t>
      </w:r>
      <w:r>
        <w:rPr>
          <w:b/>
          <w:bCs/>
        </w:rPr>
        <w:t xml:space="preserve">sci_xrsf-l2-avg1m_g16_s20170207_e20250407_v2-2-2.nc</w:t>
      </w:r>
      <w:r>
        <w:t xml:space="preserve">, identificada pelo MD5 d3d777aab1fea86f1f3771749a320c71. O intervalo observado é de</w:t>
      </w:r>
      <w:r>
        <w:t xml:space="preserve"> </w:t>
      </w:r>
      <w:r>
        <w:rPr>
          <w:b/>
          <w:bCs/>
        </w:rPr>
        <w:t xml:space="preserve">2017-02-07</w:t>
      </w:r>
      <w:r>
        <w:t xml:space="preserve"> </w:t>
      </w:r>
      <w:r>
        <w:t xml:space="preserve">a</w:t>
      </w:r>
      <w:r>
        <w:t xml:space="preserve"> </w:t>
      </w:r>
      <w:r>
        <w:rPr>
          <w:b/>
          <w:bCs/>
        </w:rPr>
        <w:t xml:space="preserve">2025-04-07 23:59:00</w:t>
      </w:r>
      <w:r>
        <w:t xml:space="preserve"> </w:t>
      </w:r>
      <w:r>
        <w:t xml:space="preserve">UTC. A cadência mediana é de 60 segundos. A variável temporal identificada foi time, com unidade CF</w:t>
      </w:r>
      <w:r>
        <w:t xml:space="preserve"> </w:t>
      </w:r>
      <w:r>
        <w:rPr>
          <w:b/>
          <w:bCs/>
        </w:rPr>
        <w:t xml:space="preserve">seconds since 2000-01-01 12:00:00 UTC</w:t>
      </w:r>
      <w:r>
        <w:t xml:space="preserve">. Sua origem foi obtida do próprio arquivo, não do nome do produto. As datas são os inícios das médias de um minuto: o atributo global de cobertura pode terminar ao fim do último minuto, enquanto o último registro começa às 23:59.</w:t>
      </w:r>
    </w:p>
    <w:tbl>
      <w:tblPr>
        <w:tblStyle w:val="Table"/>
        <w:tblW w:type="pct" w:w="5000"/>
        <w:tblLayout w:type="fixed"/>
        <w:tblLook w:firstRow="0" w:lastRow="0" w:firstColumn="0" w:lastColumn="0" w:noHBand="0" w:noVBand="0" w:val="0000"/>
      </w:tblPr>
      <w:tblGrid>
        <w:gridCol w:w="7920"/>
      </w:tblGrid>
      <w:tr>
        <w:tc>
          <w:tcPr/>
          <w:bookmarkStart w:id="24" w:name="tbl-validacao-base"/>
          <w:p>
            <w:pPr>
              <w:jc w:val="center"/>
            </w:pPr>
            <w:pPr>
              <w:jc w:val="start"/>
              <w:spacing w:before="200"/>
              <w:pStyle w:val="ImageCaption"/>
            </w:pPr>
            <w:r>
              <w:t xml:space="preserve">Tabela 1: Validação da base real obtida diretamente das coordenadas e variáveis do NetCDF.</w:t>
            </w:r>
          </w:p>
          <w:p>
            <w:pPr>
              <w:pStyle w:val="Compact"/>
              <w:jc w:val="center"/>
            </w:pPr>
            <w:r>
              <w:t xml:space="preserve">Validação da base real obtida diretamente das coordenadas e variáveis do NetCDF.</w:t>
            </w:r>
          </w:p>
          <w:tbl>
            <w:tblPr>
              <w:tblStyle w:val="Table"/>
              <w:tblW w:type="pct" w:w="5000"/>
              <w:tblLayout w:type="fixed"/>
              <w:tblLook w:firstRow="1" w:lastRow="0" w:firstColumn="0" w:lastColumn="0" w:noHBand="0" w:noVBand="0" w:val="0020"/>
              <w:tblCaption w:val="Validação da base real obtida diretamente das coordenadas e variáveis do NetCDF."/>
            </w:tblPr>
            <w:tblGrid>
              <w:gridCol w:w="4620"/>
              <w:gridCol w:w="3300"/>
            </w:tblGrid>
            <w:tr>
              <w:trPr>
                <w:tblHeader w:val="on"/>
              </w:trPr>
              <w:tc>
                <w:tcPr/>
                <w:p>
                  <w:pPr>
                    <w:pStyle w:val="Compact"/>
                    <w:jc w:val="left"/>
                    <w:jc w:val="center"/>
                  </w:pPr>
                  <w:r>
                    <w:t xml:space="preserve">item</w:t>
                  </w:r>
                </w:p>
              </w:tc>
              <w:tc>
                <w:tcPr/>
                <w:p>
                  <w:pPr>
                    <w:pStyle w:val="Compact"/>
                    <w:jc w:val="left"/>
                    <w:jc w:val="center"/>
                  </w:pPr>
                  <w:r>
                    <w:t xml:space="preserve">valor</w:t>
                  </w:r>
                </w:p>
              </w:tc>
            </w:tr>
            <w:tr>
              <w:tc>
                <w:tcPr/>
                <w:p>
                  <w:pPr>
                    <w:pStyle w:val="Compact"/>
                    <w:jc w:val="left"/>
                    <w:jc w:val="center"/>
                  </w:pPr>
                  <w:r>
                    <w:t xml:space="preserve">Registros totais</w:t>
                  </w:r>
                </w:p>
              </w:tc>
              <w:tc>
                <w:tcPr/>
                <w:p>
                  <w:pPr>
                    <w:pStyle w:val="Compact"/>
                    <w:jc w:val="left"/>
                    <w:jc w:val="center"/>
                  </w:pPr>
                  <w:r>
                    <w:t xml:space="preserve">4.294.080</w:t>
                  </w:r>
                </w:p>
              </w:tc>
            </w:tr>
            <w:tr>
              <w:tc>
                <w:tcPr/>
                <w:p>
                  <w:pPr>
                    <w:pStyle w:val="Compact"/>
                    <w:jc w:val="left"/>
                    <w:jc w:val="center"/>
                  </w:pPr>
                  <w:r>
                    <w:t xml:space="preserve">Registros válidos</w:t>
                  </w:r>
                </w:p>
              </w:tc>
              <w:tc>
                <w:tcPr/>
                <w:p>
                  <w:pPr>
                    <w:pStyle w:val="Compact"/>
                    <w:jc w:val="left"/>
                    <w:jc w:val="center"/>
                  </w:pPr>
                  <w:r>
                    <w:t xml:space="preserve">4.172.834</w:t>
                  </w:r>
                </w:p>
              </w:tc>
            </w:tr>
            <w:tr>
              <w:tc>
                <w:tcPr/>
                <w:p>
                  <w:pPr>
                    <w:pStyle w:val="Compact"/>
                    <w:jc w:val="left"/>
                    <w:jc w:val="center"/>
                  </w:pPr>
                  <w:r>
                    <w:t xml:space="preserve">Registros removidos</w:t>
                  </w:r>
                </w:p>
              </w:tc>
              <w:tc>
                <w:tcPr/>
                <w:p>
                  <w:pPr>
                    <w:pStyle w:val="Compact"/>
                    <w:jc w:val="left"/>
                    <w:jc w:val="center"/>
                  </w:pPr>
                  <w:r>
                    <w:t xml:space="preserve">121.246</w:t>
                  </w:r>
                </w:p>
              </w:tc>
            </w:tr>
            <w:tr>
              <w:tc>
                <w:tcPr/>
                <w:p>
                  <w:pPr>
                    <w:pStyle w:val="Compact"/>
                    <w:jc w:val="left"/>
                    <w:jc w:val="center"/>
                  </w:pPr>
                  <w:r>
                    <w:t xml:space="preserve">Percentual válido (%)</w:t>
                  </w:r>
                </w:p>
              </w:tc>
              <w:tc>
                <w:tcPr/>
                <w:p>
                  <w:pPr>
                    <w:pStyle w:val="Compact"/>
                    <w:jc w:val="left"/>
                    <w:jc w:val="center"/>
                  </w:pPr>
                  <w:r>
                    <w:t xml:space="preserve">97,1764</w:t>
                  </w:r>
                </w:p>
              </w:tc>
            </w:tr>
            <w:tr>
              <w:tc>
                <w:tcPr/>
                <w:p>
                  <w:pPr>
                    <w:pStyle w:val="Compact"/>
                    <w:jc w:val="left"/>
                    <w:jc w:val="center"/>
                  </w:pPr>
                  <w:r>
                    <w:t xml:space="preserve">Início UTC</w:t>
                  </w:r>
                </w:p>
              </w:tc>
              <w:tc>
                <w:tcPr/>
                <w:p>
                  <w:pPr>
                    <w:pStyle w:val="Compact"/>
                    <w:jc w:val="left"/>
                    <w:jc w:val="center"/>
                  </w:pPr>
                  <w:r>
                    <w:t xml:space="preserve">2017-02-07</w:t>
                  </w:r>
                </w:p>
              </w:tc>
            </w:tr>
            <w:tr>
              <w:tc>
                <w:tcPr/>
                <w:p>
                  <w:pPr>
                    <w:pStyle w:val="Compact"/>
                    <w:jc w:val="left"/>
                    <w:jc w:val="center"/>
                  </w:pPr>
                  <w:r>
                    <w:t xml:space="preserve">Fim UTC</w:t>
                  </w:r>
                </w:p>
              </w:tc>
              <w:tc>
                <w:tcPr/>
                <w:p>
                  <w:pPr>
                    <w:pStyle w:val="Compact"/>
                    <w:jc w:val="left"/>
                    <w:jc w:val="center"/>
                  </w:pPr>
                  <w:r>
                    <w:t xml:space="preserve">2025-04-07 23:59:00</w:t>
                  </w:r>
                </w:p>
              </w:tc>
            </w:tr>
            <w:tr>
              <w:tc>
                <w:tcPr/>
                <w:p>
                  <w:pPr>
                    <w:pStyle w:val="Compact"/>
                    <w:jc w:val="left"/>
                    <w:jc w:val="center"/>
                  </w:pPr>
                  <w:r>
                    <w:t xml:space="preserve">Unidade do fluxo</w:t>
                  </w:r>
                </w:p>
              </w:tc>
              <w:tc>
                <w:tcPr/>
                <w:p>
                  <w:pPr>
                    <w:pStyle w:val="Compact"/>
                    <w:jc w:val="left"/>
                    <w:jc w:val="center"/>
                  </w:pPr>
                  <w:r>
                    <w:t xml:space="preserve">W/m2</w:t>
                  </w:r>
                </w:p>
              </w:tc>
            </w:tr>
            <w:tr>
              <w:tc>
                <w:tcPr/>
                <w:p>
                  <w:pPr>
                    <w:pStyle w:val="Compact"/>
                    <w:jc w:val="left"/>
                    <w:jc w:val="center"/>
                  </w:pPr>
                  <w:r>
                    <w:t xml:space="preserve">Cadência mediana (segundos)</w:t>
                  </w:r>
                </w:p>
              </w:tc>
              <w:tc>
                <w:tcPr/>
                <w:p>
                  <w:pPr>
                    <w:pStyle w:val="Compact"/>
                    <w:jc w:val="left"/>
                    <w:jc w:val="center"/>
                  </w:pPr>
                  <w:r>
                    <w:t xml:space="preserve">60</w:t>
                  </w:r>
                </w:p>
              </w:tc>
            </w:tr>
            <w:tr>
              <w:tc>
                <w:tcPr/>
                <w:p>
                  <w:pPr>
                    <w:pStyle w:val="Compact"/>
                    <w:jc w:val="left"/>
                    <w:jc w:val="center"/>
                  </w:pPr>
                  <w:r>
                    <w:t xml:space="preserve">Código good_data</w:t>
                  </w:r>
                </w:p>
              </w:tc>
              <w:tc>
                <w:tcPr/>
                <w:p>
                  <w:pPr>
                    <w:pStyle w:val="Compact"/>
                    <w:jc w:val="left"/>
                    <w:jc w:val="center"/>
                  </w:pPr>
                  <w:r>
                    <w:t xml:space="preserve">0</w:t>
                  </w:r>
                </w:p>
              </w:tc>
            </w:tr>
            <w:tr>
              <w:tc>
                <w:tcPr/>
                <w:p>
                  <w:pPr>
                    <w:pStyle w:val="Compact"/>
                    <w:jc w:val="left"/>
                    <w:jc w:val="center"/>
                  </w:pPr>
                  <w:r>
                    <w:t xml:space="preserve">Códigos encontrados</w:t>
                  </w:r>
                </w:p>
              </w:tc>
              <w:tc>
                <w:tcPr/>
                <w:p>
                  <w:pPr>
                    <w:pStyle w:val="Compact"/>
                    <w:jc w:val="left"/>
                    <w:jc w:val="center"/>
                  </w:pPr>
                  <w:r>
                    <w:t xml:space="preserve">0 | 1 | 2 | 4 | 5</w:t>
                  </w:r>
                </w:p>
              </w:tc>
            </w:tr>
          </w:tbl>
          <w:bookmarkEnd w:id="24"/>
          <w:p/>
        </w:tc>
      </w:tr>
    </w:tbl>
    <w:p>
      <w:pPr>
        <w:pStyle w:val="BodyText"/>
      </w:pPr>
      <w:r>
        <w:t xml:space="preserve">Segundo os metadados fornecidos, o canal XRS-B mede a faixa de 0,1–0,8 nm;</w:t>
      </w:r>
      <w:r>
        <w:t xml:space="preserve"> </w:t>
      </w:r>
      <w:r>
        <w:rPr>
          <w:rStyle w:val="VerbatimChar"/>
        </w:rPr>
        <w:t xml:space="preserve">xrsb_flux</w:t>
      </w:r>
      <w:r>
        <w:t xml:space="preserve"> </w:t>
      </w:r>
      <w:r>
        <w:t xml:space="preserve">é o fluxo primário médio já corrigido da contaminação eletrônica pelo processamento do produto. Estudam-se os extremos dessas médias de um minuto, sem tratá-las como picos instantâneos. A unidade declarada é</w:t>
      </w:r>
      <w:r>
        <w:t xml:space="preserve"> </w:t>
      </w:r>
      <w:r>
        <w:rPr>
          <w:b/>
          <w:bCs/>
        </w:rPr>
        <w:t xml:space="preserve">W/m2</w:t>
      </w:r>
      <w:r>
        <w:t xml:space="preserve">. O código de</w:t>
      </w:r>
      <w:r>
        <w:t xml:space="preserve"> </w:t>
      </w:r>
      <w:r>
        <w:rPr>
          <w:rStyle w:val="VerbatimChar"/>
        </w:rPr>
        <w:t xml:space="preserve">xrsb_flag</w:t>
      </w:r>
      <w:r>
        <w:t xml:space="preserve"> </w:t>
      </w:r>
      <w:r>
        <w:t xml:space="preserve">associado a</w:t>
      </w:r>
      <w:r>
        <w:t xml:space="preserve"> </w:t>
      </w:r>
      <w:r>
        <w:rPr>
          <w:rStyle w:val="VerbatimChar"/>
        </w:rPr>
        <w:t xml:space="preserve">good_data</w:t>
      </w:r>
      <w:r>
        <w:t xml:space="preserve"> </w:t>
      </w:r>
      <w:r>
        <w:t xml:space="preserve">nos metadados é</w:t>
      </w:r>
      <w:r>
        <w:t xml:space="preserve"> </w:t>
      </w:r>
      <w:r>
        <w:rPr>
          <w:b/>
          <w:bCs/>
        </w:rPr>
        <w:t xml:space="preserve">0</w:t>
      </w:r>
      <w:r>
        <w:t xml:space="preserve">. As flags são interpretadas como máscaras quando assim declaradas: por exemplo, uma combinação pode representar simultaneamente eclipse e interpolação. Adota-se a seleção conservadora do código good_data puro, excluindo também interpolação quando ela pode coexistir com a máscara de boa qualidade. A faixa</w:t>
      </w:r>
      <w:r>
        <w:t xml:space="preserve"> </w:t>
      </w:r>
      <w:r>
        <w:rPr>
          <w:rStyle w:val="VerbatimChar"/>
        </w:rPr>
        <w:t xml:space="preserve">valid_min</w:t>
      </w:r>
      <w:r>
        <w:t xml:space="preserve">–</w:t>
      </w:r>
      <w:r>
        <w:rPr>
          <w:rStyle w:val="VerbatimChar"/>
        </w:rPr>
        <w:t xml:space="preserve">valid_max</w:t>
      </w:r>
      <w:r>
        <w:t xml:space="preserve"> </w:t>
      </w:r>
      <w:r>
        <w:t xml:space="preserve">do fluxo é respeitada quando declarada; observações fora dela recebem contagem explícita.</w:t>
      </w:r>
    </w:p>
    <w:p>
      <w:pPr>
        <w:pStyle w:val="BodyText"/>
      </w:pPr>
      <w:r>
        <w:t xml:space="preserve">Valores de preenchimento são identificados antes da aplicação de fatores de escala e deslocamento; valores não finitos e fluxos não positivos são excluídos. A exclusão de fluxos não positivos é uma decisão física e computacional explícita, também necessária para os gráficos logarítmicos; suas quantidades ficam registradas. Nenhum pico positivo com qualidade adequada é removido apenas por ser elevado.</w:t>
      </w:r>
    </w:p>
    <w:tbl>
      <w:tblPr>
        <w:tblStyle w:val="Table"/>
        <w:tblW w:type="pct" w:w="5000"/>
        <w:tblLayout w:type="fixed"/>
        <w:tblLook w:firstRow="0" w:lastRow="0" w:firstColumn="0" w:lastColumn="0" w:noHBand="0" w:noVBand="0" w:val="0000"/>
      </w:tblPr>
      <w:tblGrid>
        <w:gridCol w:w="7920"/>
      </w:tblGrid>
      <w:tr>
        <w:tc>
          <w:tcPr/>
          <w:bookmarkStart w:id="25" w:name="tbl-flags"/>
          <w:p>
            <w:pPr>
              <w:jc w:val="center"/>
            </w:pPr>
            <w:pPr>
              <w:jc w:val="start"/>
              <w:spacing w:before="200"/>
              <w:pStyle w:val="ImageCaption"/>
            </w:pPr>
            <w:r>
              <w:t xml:space="preserve">Tabela 2: Frequência das flags antes de qualquer exclusão.</w:t>
            </w:r>
          </w:p>
          <w:p>
            <w:pPr>
              <w:pStyle w:val="Compact"/>
              <w:jc w:val="center"/>
            </w:pPr>
            <w:r>
              <w:t xml:space="preserve">Frequência das flags antes de qualquer exclusão.</w:t>
            </w:r>
          </w:p>
          <w:tbl>
            <w:tblPr>
              <w:tblStyle w:val="Table"/>
              <w:tblW w:type="pct" w:w="5000"/>
              <w:tblLayout w:type="fixed"/>
              <w:tblLook w:firstRow="1" w:lastRow="0" w:firstColumn="0" w:lastColumn="0" w:noHBand="0" w:noVBand="0" w:val="0020"/>
              <w:tblCaption w:val="Frequência das flags antes de qualquer exclusão."/>
            </w:tblPr>
            <w:tblGrid>
              <w:gridCol w:w="1087"/>
              <w:gridCol w:w="1552"/>
              <w:gridCol w:w="3571"/>
              <w:gridCol w:w="1708"/>
            </w:tblGrid>
            <w:tr>
              <w:trPr>
                <w:tblHeader w:val="on"/>
              </w:trPr>
              <w:tc>
                <w:tcPr/>
                <w:p>
                  <w:pPr>
                    <w:pStyle w:val="Compact"/>
                    <w:jc w:val="left"/>
                    <w:jc w:val="center"/>
                  </w:pPr>
                  <w:r>
                    <w:t xml:space="preserve">xrsb flag</w:t>
                  </w:r>
                </w:p>
              </w:tc>
              <w:tc>
                <w:tcPr/>
                <w:p>
                  <w:pPr>
                    <w:pStyle w:val="Compact"/>
                    <w:jc w:val="left"/>
                    <w:jc w:val="center"/>
                  </w:pPr>
                  <w:r>
                    <w:t xml:space="preserve">N</w:t>
                  </w:r>
                </w:p>
              </w:tc>
              <w:tc>
                <w:tcPr/>
                <w:p>
                  <w:pPr>
                    <w:pStyle w:val="Compact"/>
                    <w:jc w:val="left"/>
                    <w:jc w:val="center"/>
                  </w:pPr>
                  <w:r>
                    <w:t xml:space="preserve">significado</w:t>
                  </w:r>
                </w:p>
              </w:tc>
              <w:tc>
                <w:tcPr/>
                <w:p>
                  <w:pPr>
                    <w:pStyle w:val="Compact"/>
                    <w:jc w:val="left"/>
                    <w:jc w:val="center"/>
                  </w:pPr>
                  <w:r>
                    <w:t xml:space="preserve">percentual</w:t>
                  </w:r>
                </w:p>
              </w:tc>
            </w:tr>
            <w:tr>
              <w:tc>
                <w:tcPr/>
                <w:p>
                  <w:pPr>
                    <w:pStyle w:val="Compact"/>
                    <w:jc w:val="left"/>
                    <w:jc w:val="center"/>
                  </w:pPr>
                  <w:r>
                    <w:t xml:space="preserve">0</w:t>
                  </w:r>
                </w:p>
              </w:tc>
              <w:tc>
                <w:tcPr/>
                <w:p>
                  <w:pPr>
                    <w:pStyle w:val="Compact"/>
                    <w:jc w:val="left"/>
                    <w:jc w:val="center"/>
                  </w:pPr>
                  <w:r>
                    <w:t xml:space="preserve">4.173e+06</w:t>
                  </w:r>
                </w:p>
              </w:tc>
              <w:tc>
                <w:tcPr/>
                <w:p>
                  <w:pPr>
                    <w:pStyle w:val="Compact"/>
                    <w:jc w:val="left"/>
                    <w:jc w:val="center"/>
                  </w:pPr>
                  <w:r>
                    <w:t xml:space="preserve">good_data</w:t>
                  </w:r>
                </w:p>
              </w:tc>
              <w:tc>
                <w:tcPr/>
                <w:p>
                  <w:pPr>
                    <w:pStyle w:val="Compact"/>
                    <w:jc w:val="left"/>
                    <w:jc w:val="center"/>
                  </w:pPr>
                  <w:r>
                    <w:t xml:space="preserve">97.18</w:t>
                  </w:r>
                </w:p>
              </w:tc>
            </w:tr>
            <w:tr>
              <w:tc>
                <w:tcPr/>
                <w:p>
                  <w:pPr>
                    <w:pStyle w:val="Compact"/>
                    <w:jc w:val="left"/>
                    <w:jc w:val="center"/>
                  </w:pPr>
                  <w:r>
                    <w:t xml:space="preserve">1</w:t>
                  </w:r>
                </w:p>
              </w:tc>
              <w:tc>
                <w:tcPr/>
                <w:p>
                  <w:pPr>
                    <w:pStyle w:val="Compact"/>
                    <w:jc w:val="left"/>
                    <w:jc w:val="center"/>
                  </w:pPr>
                  <w:r>
                    <w:t xml:space="preserve">54700</w:t>
                  </w:r>
                </w:p>
              </w:tc>
              <w:tc>
                <w:tcPr/>
                <w:p>
                  <w:pPr>
                    <w:pStyle w:val="Compact"/>
                    <w:jc w:val="left"/>
                    <w:jc w:val="center"/>
                  </w:pPr>
                  <w:r>
                    <w:t xml:space="preserve">eclipse</w:t>
                  </w:r>
                </w:p>
              </w:tc>
              <w:tc>
                <w:tcPr/>
                <w:p>
                  <w:pPr>
                    <w:pStyle w:val="Compact"/>
                    <w:jc w:val="left"/>
                    <w:jc w:val="center"/>
                  </w:pPr>
                  <w:r>
                    <w:t xml:space="preserve">1.274</w:t>
                  </w:r>
                </w:p>
              </w:tc>
            </w:tr>
            <w:tr>
              <w:tc>
                <w:tcPr/>
                <w:p>
                  <w:pPr>
                    <w:pStyle w:val="Compact"/>
                    <w:jc w:val="left"/>
                    <w:jc w:val="center"/>
                  </w:pPr>
                  <w:r>
                    <w:t xml:space="preserve">2</w:t>
                  </w:r>
                </w:p>
              </w:tc>
              <w:tc>
                <w:tcPr/>
                <w:p>
                  <w:pPr>
                    <w:pStyle w:val="Compact"/>
                    <w:jc w:val="left"/>
                    <w:jc w:val="center"/>
                  </w:pPr>
                  <w:r>
                    <w:t xml:space="preserve">64702</w:t>
                  </w:r>
                </w:p>
              </w:tc>
              <w:tc>
                <w:tcPr/>
                <w:p>
                  <w:pPr>
                    <w:pStyle w:val="Compact"/>
                    <w:jc w:val="left"/>
                    <w:jc w:val="center"/>
                  </w:pPr>
                  <w:r>
                    <w:t xml:space="preserve">bad_data</w:t>
                  </w:r>
                </w:p>
              </w:tc>
              <w:tc>
                <w:tcPr/>
                <w:p>
                  <w:pPr>
                    <w:pStyle w:val="Compact"/>
                    <w:jc w:val="left"/>
                    <w:jc w:val="center"/>
                  </w:pPr>
                  <w:r>
                    <w:t xml:space="preserve">1.507</w:t>
                  </w:r>
                </w:p>
              </w:tc>
            </w:tr>
            <w:tr>
              <w:tc>
                <w:tcPr/>
                <w:p>
                  <w:pPr>
                    <w:pStyle w:val="Compact"/>
                    <w:jc w:val="left"/>
                    <w:jc w:val="center"/>
                  </w:pPr>
                  <w:r>
                    <w:t xml:space="preserve">4</w:t>
                  </w:r>
                </w:p>
              </w:tc>
              <w:tc>
                <w:tcPr/>
                <w:p>
                  <w:pPr>
                    <w:pStyle w:val="Compact"/>
                    <w:jc w:val="left"/>
                    <w:jc w:val="center"/>
                  </w:pPr>
                  <w:r>
                    <w:t xml:space="preserve">710</w:t>
                  </w:r>
                </w:p>
              </w:tc>
              <w:tc>
                <w:tcPr/>
                <w:p>
                  <w:pPr>
                    <w:pStyle w:val="Compact"/>
                    <w:jc w:val="left"/>
                    <w:jc w:val="center"/>
                  </w:pPr>
                  <w:r>
                    <w:t xml:space="preserve">interpolated</w:t>
                  </w:r>
                </w:p>
              </w:tc>
              <w:tc>
                <w:tcPr/>
                <w:p>
                  <w:pPr>
                    <w:pStyle w:val="Compact"/>
                    <w:jc w:val="left"/>
                    <w:jc w:val="center"/>
                  </w:pPr>
                  <w:r>
                    <w:t xml:space="preserve">0.01653</w:t>
                  </w:r>
                </w:p>
              </w:tc>
            </w:tr>
            <w:tr>
              <w:tc>
                <w:tcPr/>
                <w:p>
                  <w:pPr>
                    <w:pStyle w:val="Compact"/>
                    <w:jc w:val="left"/>
                    <w:jc w:val="center"/>
                  </w:pPr>
                  <w:r>
                    <w:t xml:space="preserve">5</w:t>
                  </w:r>
                </w:p>
              </w:tc>
              <w:tc>
                <w:tcPr/>
                <w:p>
                  <w:pPr>
                    <w:pStyle w:val="Compact"/>
                    <w:jc w:val="left"/>
                    <w:jc w:val="center"/>
                  </w:pPr>
                  <w:r>
                    <w:t xml:space="preserve">1134</w:t>
                  </w:r>
                </w:p>
              </w:tc>
              <w:tc>
                <w:tcPr/>
                <w:p>
                  <w:pPr>
                    <w:pStyle w:val="Compact"/>
                    <w:jc w:val="left"/>
                    <w:jc w:val="center"/>
                  </w:pPr>
                  <w:r>
                    <w:t xml:space="preserve">eclipse | interpolated</w:t>
                  </w:r>
                </w:p>
              </w:tc>
              <w:tc>
                <w:tcPr/>
                <w:p>
                  <w:pPr>
                    <w:pStyle w:val="Compact"/>
                    <w:jc w:val="left"/>
                    <w:jc w:val="center"/>
                  </w:pPr>
                  <w:r>
                    <w:t xml:space="preserve">0.02641</w:t>
                  </w:r>
                </w:p>
              </w:tc>
            </w:tr>
          </w:tbl>
          <w:bookmarkEnd w:id="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tbl-qc"/>
          <w:p>
            <w:pPr>
              <w:jc w:val="center"/>
            </w:pPr>
            <w:pPr>
              <w:jc w:val="start"/>
              <w:spacing w:before="200"/>
              <w:pStyle w:val="ImageCaption"/>
            </w:pPr>
            <w:r>
              <w:t xml:space="preserve">Tabela 3: Contabilidade de qualidade com categorias disjuntas e prioridade documentada no código.</w:t>
            </w:r>
          </w:p>
          <w:p>
            <w:pPr>
              <w:pStyle w:val="Compact"/>
              <w:jc w:val="center"/>
            </w:pPr>
            <w:r>
              <w:t xml:space="preserve">Contabilidade de qualidade com categorias disjuntas e prioridade documentada no código.</w:t>
            </w:r>
          </w:p>
          <w:tbl>
            <w:tblPr>
              <w:tblStyle w:val="Table"/>
              <w:tblW w:type="pct" w:w="5000"/>
              <w:tblLayout w:type="fixed"/>
              <w:tblLook w:firstRow="1" w:lastRow="0" w:firstColumn="0" w:lastColumn="0" w:noHBand="0" w:noVBand="0" w:val="0020"/>
              <w:tblCaption w:val="Contabilidade de qualidade com categorias disjuntas e prioridade documentada no código."/>
            </w:tblPr>
            <w:tblGrid>
              <w:gridCol w:w="5835"/>
              <w:gridCol w:w="2084"/>
            </w:tblGrid>
            <w:tr>
              <w:trPr>
                <w:tblHeader w:val="on"/>
              </w:trPr>
              <w:tc>
                <w:tcPr/>
                <w:p>
                  <w:pPr>
                    <w:pStyle w:val="Compact"/>
                    <w:jc w:val="left"/>
                    <w:jc w:val="center"/>
                  </w:pPr>
                  <w:r>
                    <w:t xml:space="preserve">motivo</w:t>
                  </w:r>
                </w:p>
              </w:tc>
              <w:tc>
                <w:tcPr/>
                <w:p>
                  <w:pPr>
                    <w:pStyle w:val="Compact"/>
                    <w:jc w:val="left"/>
                    <w:jc w:val="center"/>
                  </w:pPr>
                  <w:r>
                    <w:t xml:space="preserve">N</w:t>
                  </w:r>
                </w:p>
              </w:tc>
            </w:tr>
            <w:tr>
              <w:tc>
                <w:tcPr/>
                <w:p>
                  <w:pPr>
                    <w:pStyle w:val="Compact"/>
                    <w:jc w:val="left"/>
                    <w:jc w:val="center"/>
                  </w:pPr>
                  <w:r>
                    <w:t xml:space="preserve">válida</w:t>
                  </w:r>
                </w:p>
              </w:tc>
              <w:tc>
                <w:tcPr/>
                <w:p>
                  <w:pPr>
                    <w:pStyle w:val="Compact"/>
                    <w:jc w:val="left"/>
                    <w:jc w:val="center"/>
                  </w:pPr>
                  <w:r>
                    <w:t xml:space="preserve">4.173e+06</w:t>
                  </w:r>
                </w:p>
              </w:tc>
            </w:tr>
            <w:tr>
              <w:tc>
                <w:tcPr/>
                <w:p>
                  <w:pPr>
                    <w:pStyle w:val="Compact"/>
                    <w:jc w:val="left"/>
                    <w:jc w:val="center"/>
                  </w:pPr>
                  <w:r>
                    <w:t xml:space="preserve">flag diferente de good_data</w:t>
                  </w:r>
                </w:p>
              </w:tc>
              <w:tc>
                <w:tcPr/>
                <w:p>
                  <w:pPr>
                    <w:pStyle w:val="Compact"/>
                    <w:jc w:val="left"/>
                    <w:jc w:val="center"/>
                  </w:pPr>
                  <w:r>
                    <w:t xml:space="preserve">1.212e+05</w:t>
                  </w:r>
                </w:p>
              </w:tc>
            </w:tr>
          </w:tbl>
          <w:bookmarkEnd w:id="26"/>
          <w:p/>
        </w:tc>
      </w:tr>
    </w:tbl>
    <w:p>
      <w:pPr>
        <w:pStyle w:val="BodyText"/>
      </w:pPr>
      <w:r>
        <w:t xml:space="preserve">Há</w:t>
      </w:r>
      <w:r>
        <w:t xml:space="preserve"> </w:t>
      </w:r>
      <w:r>
        <w:rPr>
          <w:b/>
          <w:bCs/>
        </w:rPr>
        <w:t xml:space="preserve">4.294.080</w:t>
      </w:r>
      <w:r>
        <w:t xml:space="preserve"> </w:t>
      </w:r>
      <w:r>
        <w:t xml:space="preserve">registros originais e</w:t>
      </w:r>
      <w:r>
        <w:t xml:space="preserve"> </w:t>
      </w:r>
      <w:r>
        <w:rPr>
          <w:b/>
          <w:bCs/>
        </w:rPr>
        <w:t xml:space="preserve">4.172.834</w:t>
      </w:r>
      <w:r>
        <w:t xml:space="preserve"> </w:t>
      </w:r>
      <w:r>
        <w:t xml:space="preserve">válidos (97.18%). Foram removidos 121.246 registros. A frequência de flags é calculada antes dessa seleção. Os metadados completos são exportados em</w:t>
      </w:r>
      <w:r>
        <w:t xml:space="preserve"> </w:t>
      </w:r>
      <w:r>
        <w:rPr>
          <w:rStyle w:val="VerbatimChar"/>
        </w:rPr>
        <w:t xml:space="preserve">tabelas/metadados_netcdf.csv</w:t>
      </w:r>
      <w:r>
        <w:t xml:space="preserve">. O tempo segue a convenção declarada pelo produto, que despreza segundos intercalares; não se adiciona uma correção temporal arbitrária.</w:t>
      </w:r>
    </w:p>
    <w:p>
      <w:pPr>
        <w:pStyle w:val="BodyText"/>
      </w:pPr>
      <w:r>
        <w:t xml:space="preserve">A biblioteca ncdf4 registrou avisos de conversão de atributos inteiros de 8 bytes para double. Eles estão preservados em tabelas/avisos_metadados.csv e dizem respeito aos atributos globais algorithm_version e input_files_total, cujos valores efetivamente lidos são pequenos e representáveis exatamente. Esses avisos não alteram os vetores de tempo, fluxo ou qualidade. A dimensão sem coordenada própria foi excluída da busca de unidades temporais.</w:t>
      </w:r>
    </w:p>
    <w:bookmarkStart w:id="37" w:name="cobertura-temporal"/>
    <w:p>
      <w:pPr>
        <w:pStyle w:val="Heading2"/>
      </w:pPr>
      <w:r>
        <w:t xml:space="preserve">2.1 Cobertura temporal</w:t>
      </w:r>
    </w:p>
    <w:p>
      <w:pPr>
        <w:pStyle w:val="FirstParagraph"/>
      </w:pPr>
      <w:r>
        <w:t xml:space="preserve">A cobertura diária usa 1.440 minutos esperados por dia UTC. A cobertura anual é apresentada tanto em relação ao ano civil completo quanto à janela disponível na base. Anos de início e término parciais devem ser lidos com essa diferença em mente. Uma lacuna é um intervalo superior a 90 segundos entre registros válidos consecutivos; ela pode decorrer de ausência de aquisição ou de rejeição por qualidade. As bordas incompletas aparecem nas coberturas, mas não na tabela de lacunas internas.</w:t>
      </w:r>
    </w:p>
    <w:tbl>
      <w:tblPr>
        <w:tblStyle w:val="Table"/>
        <w:tblW w:type="pct" w:w="5000"/>
        <w:tblLayout w:type="fixed"/>
        <w:tblLook w:firstRow="0" w:lastRow="0" w:firstColumn="0" w:lastColumn="0" w:noHBand="0" w:noVBand="0" w:val="0000"/>
      </w:tblPr>
      <w:tblGrid>
        <w:gridCol w:w="7920"/>
      </w:tblGrid>
      <w:tr>
        <w:tc>
          <w:tcPr/>
          <w:bookmarkStart w:id="27" w:name="tbl-cobertura"/>
          <w:p>
            <w:pPr>
              <w:jc w:val="center"/>
            </w:pPr>
            <w:pPr>
              <w:jc w:val="start"/>
              <w:spacing w:before="200"/>
              <w:pStyle w:val="ImageCaption"/>
            </w:pPr>
            <w:r>
              <w:t xml:space="preserve">Tabela 4: Cobertura anual (%) e número de minutos válidos.</w:t>
            </w:r>
          </w:p>
          <w:p>
            <w:pPr>
              <w:pStyle w:val="Compact"/>
              <w:jc w:val="center"/>
            </w:pPr>
            <w:r>
              <w:t xml:space="preserve">Cobertura anual (%) e número de minutos válidos.</w:t>
            </w:r>
          </w:p>
          <w:tbl>
            <w:tblPr>
              <w:tblStyle w:val="Table"/>
              <w:tblW w:type="pct" w:w="5000"/>
              <w:tblLayout w:type="fixed"/>
              <w:tblLook w:firstRow="1" w:lastRow="0" w:firstColumn="0" w:lastColumn="0" w:noHBand="0" w:noVBand="0" w:val="0020"/>
              <w:tblCaption w:val="Cobertura anual (%) e número de minutos válidos."/>
            </w:tblPr>
            <w:tblGrid>
              <w:gridCol w:w="1179"/>
              <w:gridCol w:w="1685"/>
              <w:gridCol w:w="1685"/>
              <w:gridCol w:w="1685"/>
              <w:gridCol w:w="1685"/>
            </w:tblGrid>
            <w:tr>
              <w:trPr>
                <w:tblHeader w:val="on"/>
              </w:trPr>
              <w:tc>
                <w:tcPr/>
                <w:p>
                  <w:pPr>
                    <w:pStyle w:val="Compact"/>
                    <w:jc w:val="left"/>
                    <w:jc w:val="center"/>
                  </w:pPr>
                  <w:r>
                    <w:t xml:space="preserve">ano</w:t>
                  </w:r>
                </w:p>
              </w:tc>
              <w:tc>
                <w:tcPr/>
                <w:p>
                  <w:pPr>
                    <w:pStyle w:val="Compact"/>
                    <w:jc w:val="left"/>
                    <w:jc w:val="center"/>
                  </w:pPr>
                  <w:r>
                    <w:t xml:space="preserve">n</w:t>
                  </w:r>
                </w:p>
              </w:tc>
              <w:tc>
                <w:tcPr/>
                <w:p>
                  <w:pPr>
                    <w:pStyle w:val="Compact"/>
                    <w:jc w:val="left"/>
                    <w:jc w:val="center"/>
                  </w:pPr>
                  <w:r>
                    <w:t xml:space="preserve">esperado ano</w:t>
                  </w:r>
                </w:p>
              </w:tc>
              <w:tc>
                <w:tcPr/>
                <w:p>
                  <w:pPr>
                    <w:pStyle w:val="Compact"/>
                    <w:jc w:val="left"/>
                    <w:jc w:val="center"/>
                  </w:pPr>
                  <w:r>
                    <w:t xml:space="preserve">cobertura ano</w:t>
                  </w:r>
                </w:p>
              </w:tc>
              <w:tc>
                <w:tcPr/>
                <w:p>
                  <w:pPr>
                    <w:pStyle w:val="Compact"/>
                    <w:jc w:val="left"/>
                    <w:jc w:val="center"/>
                  </w:pPr>
                  <w:r>
                    <w:t xml:space="preserve">cobertura janela</w:t>
                  </w:r>
                </w:p>
              </w:tc>
            </w:tr>
            <w:tr>
              <w:tc>
                <w:tcPr/>
                <w:p>
                  <w:pPr>
                    <w:pStyle w:val="Compact"/>
                    <w:jc w:val="left"/>
                    <w:jc w:val="center"/>
                  </w:pPr>
                  <w:r>
                    <w:t xml:space="preserve">2017</w:t>
                  </w:r>
                </w:p>
              </w:tc>
              <w:tc>
                <w:tcPr/>
                <w:p>
                  <w:pPr>
                    <w:pStyle w:val="Compact"/>
                    <w:jc w:val="left"/>
                    <w:jc w:val="center"/>
                  </w:pPr>
                  <w:r>
                    <w:t xml:space="preserve">4.243e+05</w:t>
                  </w:r>
                </w:p>
              </w:tc>
              <w:tc>
                <w:tcPr/>
                <w:p>
                  <w:pPr>
                    <w:pStyle w:val="Compact"/>
                    <w:jc w:val="left"/>
                    <w:jc w:val="center"/>
                  </w:pPr>
                  <w:r>
                    <w:t xml:space="preserve">5.256e+05</w:t>
                  </w:r>
                </w:p>
              </w:tc>
              <w:tc>
                <w:tcPr/>
                <w:p>
                  <w:pPr>
                    <w:pStyle w:val="Compact"/>
                    <w:jc w:val="left"/>
                    <w:jc w:val="center"/>
                  </w:pPr>
                  <w:r>
                    <w:t xml:space="preserve">80.72</w:t>
                  </w:r>
                </w:p>
              </w:tc>
              <w:tc>
                <w:tcPr/>
                <w:p>
                  <w:pPr>
                    <w:pStyle w:val="Compact"/>
                    <w:jc w:val="left"/>
                    <w:jc w:val="center"/>
                  </w:pPr>
                  <w:r>
                    <w:t xml:space="preserve">89.83</w:t>
                  </w:r>
                </w:p>
              </w:tc>
            </w:tr>
            <w:tr>
              <w:tc>
                <w:tcPr/>
                <w:p>
                  <w:pPr>
                    <w:pStyle w:val="Compact"/>
                    <w:jc w:val="left"/>
                    <w:jc w:val="center"/>
                  </w:pPr>
                  <w:r>
                    <w:t xml:space="preserve">2018</w:t>
                  </w:r>
                </w:p>
              </w:tc>
              <w:tc>
                <w:tcPr/>
                <w:p>
                  <w:pPr>
                    <w:pStyle w:val="Compact"/>
                    <w:jc w:val="left"/>
                    <w:jc w:val="center"/>
                  </w:pPr>
                  <w:r>
                    <w:t xml:space="preserve">5.148e+05</w:t>
                  </w:r>
                </w:p>
              </w:tc>
              <w:tc>
                <w:tcPr/>
                <w:p>
                  <w:pPr>
                    <w:pStyle w:val="Compact"/>
                    <w:jc w:val="left"/>
                    <w:jc w:val="center"/>
                  </w:pPr>
                  <w:r>
                    <w:t xml:space="preserve">5.256e+05</w:t>
                  </w:r>
                </w:p>
              </w:tc>
              <w:tc>
                <w:tcPr/>
                <w:p>
                  <w:pPr>
                    <w:pStyle w:val="Compact"/>
                    <w:jc w:val="left"/>
                    <w:jc w:val="center"/>
                  </w:pPr>
                  <w:r>
                    <w:t xml:space="preserve">97.94</w:t>
                  </w:r>
                </w:p>
              </w:tc>
              <w:tc>
                <w:tcPr/>
                <w:p>
                  <w:pPr>
                    <w:pStyle w:val="Compact"/>
                    <w:jc w:val="left"/>
                    <w:jc w:val="center"/>
                  </w:pPr>
                  <w:r>
                    <w:t xml:space="preserve">97.94</w:t>
                  </w:r>
                </w:p>
              </w:tc>
            </w:tr>
            <w:tr>
              <w:tc>
                <w:tcPr/>
                <w:p>
                  <w:pPr>
                    <w:pStyle w:val="Compact"/>
                    <w:jc w:val="left"/>
                    <w:jc w:val="center"/>
                  </w:pPr>
                  <w:r>
                    <w:t xml:space="preserve">2019</w:t>
                  </w:r>
                </w:p>
              </w:tc>
              <w:tc>
                <w:tcPr/>
                <w:p>
                  <w:pPr>
                    <w:pStyle w:val="Compact"/>
                    <w:jc w:val="left"/>
                    <w:jc w:val="center"/>
                  </w:pPr>
                  <w:r>
                    <w:t xml:space="preserve">5.154e+05</w:t>
                  </w:r>
                </w:p>
              </w:tc>
              <w:tc>
                <w:tcPr/>
                <w:p>
                  <w:pPr>
                    <w:pStyle w:val="Compact"/>
                    <w:jc w:val="left"/>
                    <w:jc w:val="center"/>
                  </w:pPr>
                  <w:r>
                    <w:t xml:space="preserve">5.256e+05</w:t>
                  </w:r>
                </w:p>
              </w:tc>
              <w:tc>
                <w:tcPr/>
                <w:p>
                  <w:pPr>
                    <w:pStyle w:val="Compact"/>
                    <w:jc w:val="left"/>
                    <w:jc w:val="center"/>
                  </w:pPr>
                  <w:r>
                    <w:t xml:space="preserve">98.05</w:t>
                  </w:r>
                </w:p>
              </w:tc>
              <w:tc>
                <w:tcPr/>
                <w:p>
                  <w:pPr>
                    <w:pStyle w:val="Compact"/>
                    <w:jc w:val="left"/>
                    <w:jc w:val="center"/>
                  </w:pPr>
                  <w:r>
                    <w:t xml:space="preserve">98.05</w:t>
                  </w:r>
                </w:p>
              </w:tc>
            </w:tr>
            <w:tr>
              <w:tc>
                <w:tcPr/>
                <w:p>
                  <w:pPr>
                    <w:pStyle w:val="Compact"/>
                    <w:jc w:val="left"/>
                    <w:jc w:val="center"/>
                  </w:pPr>
                  <w:r>
                    <w:t xml:space="preserve">2020</w:t>
                  </w:r>
                </w:p>
              </w:tc>
              <w:tc>
                <w:tcPr/>
                <w:p>
                  <w:pPr>
                    <w:pStyle w:val="Compact"/>
                    <w:jc w:val="left"/>
                    <w:jc w:val="center"/>
                  </w:pPr>
                  <w:r>
                    <w:t xml:space="preserve">5.190e+05</w:t>
                  </w:r>
                </w:p>
              </w:tc>
              <w:tc>
                <w:tcPr/>
                <w:p>
                  <w:pPr>
                    <w:pStyle w:val="Compact"/>
                    <w:jc w:val="left"/>
                    <w:jc w:val="center"/>
                  </w:pPr>
                  <w:r>
                    <w:t xml:space="preserve">5.270e+05</w:t>
                  </w:r>
                </w:p>
              </w:tc>
              <w:tc>
                <w:tcPr/>
                <w:p>
                  <w:pPr>
                    <w:pStyle w:val="Compact"/>
                    <w:jc w:val="left"/>
                    <w:jc w:val="center"/>
                  </w:pPr>
                  <w:r>
                    <w:t xml:space="preserve">98.47</w:t>
                  </w:r>
                </w:p>
              </w:tc>
              <w:tc>
                <w:tcPr/>
                <w:p>
                  <w:pPr>
                    <w:pStyle w:val="Compact"/>
                    <w:jc w:val="left"/>
                    <w:jc w:val="center"/>
                  </w:pPr>
                  <w:r>
                    <w:t xml:space="preserve">98.47</w:t>
                  </w:r>
                </w:p>
              </w:tc>
            </w:tr>
            <w:tr>
              <w:tc>
                <w:tcPr/>
                <w:p>
                  <w:pPr>
                    <w:pStyle w:val="Compact"/>
                    <w:jc w:val="left"/>
                    <w:jc w:val="center"/>
                  </w:pPr>
                  <w:r>
                    <w:t xml:space="preserve">2021</w:t>
                  </w:r>
                </w:p>
              </w:tc>
              <w:tc>
                <w:tcPr/>
                <w:p>
                  <w:pPr>
                    <w:pStyle w:val="Compact"/>
                    <w:jc w:val="left"/>
                    <w:jc w:val="center"/>
                  </w:pPr>
                  <w:r>
                    <w:t xml:space="preserve">5.161e+05</w:t>
                  </w:r>
                </w:p>
              </w:tc>
              <w:tc>
                <w:tcPr/>
                <w:p>
                  <w:pPr>
                    <w:pStyle w:val="Compact"/>
                    <w:jc w:val="left"/>
                    <w:jc w:val="center"/>
                  </w:pPr>
                  <w:r>
                    <w:t xml:space="preserve">5.256e+05</w:t>
                  </w:r>
                </w:p>
              </w:tc>
              <w:tc>
                <w:tcPr/>
                <w:p>
                  <w:pPr>
                    <w:pStyle w:val="Compact"/>
                    <w:jc w:val="left"/>
                    <w:jc w:val="center"/>
                  </w:pPr>
                  <w:r>
                    <w:t xml:space="preserve">98.2</w:t>
                  </w:r>
                </w:p>
              </w:tc>
              <w:tc>
                <w:tcPr/>
                <w:p>
                  <w:pPr>
                    <w:pStyle w:val="Compact"/>
                    <w:jc w:val="left"/>
                    <w:jc w:val="center"/>
                  </w:pPr>
                  <w:r>
                    <w:t xml:space="preserve">98.2</w:t>
                  </w:r>
                </w:p>
              </w:tc>
            </w:tr>
            <w:tr>
              <w:tc>
                <w:tcPr/>
                <w:p>
                  <w:pPr>
                    <w:pStyle w:val="Compact"/>
                    <w:jc w:val="left"/>
                    <w:jc w:val="center"/>
                  </w:pPr>
                  <w:r>
                    <w:t xml:space="preserve">2022</w:t>
                  </w:r>
                </w:p>
              </w:tc>
              <w:tc>
                <w:tcPr/>
                <w:p>
                  <w:pPr>
                    <w:pStyle w:val="Compact"/>
                    <w:jc w:val="left"/>
                    <w:jc w:val="center"/>
                  </w:pPr>
                  <w:r>
                    <w:t xml:space="preserve">5.155e+05</w:t>
                  </w:r>
                </w:p>
              </w:tc>
              <w:tc>
                <w:tcPr/>
                <w:p>
                  <w:pPr>
                    <w:pStyle w:val="Compact"/>
                    <w:jc w:val="left"/>
                    <w:jc w:val="center"/>
                  </w:pPr>
                  <w:r>
                    <w:t xml:space="preserve">5.256e+05</w:t>
                  </w:r>
                </w:p>
              </w:tc>
              <w:tc>
                <w:tcPr/>
                <w:p>
                  <w:pPr>
                    <w:pStyle w:val="Compact"/>
                    <w:jc w:val="left"/>
                    <w:jc w:val="center"/>
                  </w:pPr>
                  <w:r>
                    <w:t xml:space="preserve">98.08</w:t>
                  </w:r>
                </w:p>
              </w:tc>
              <w:tc>
                <w:tcPr/>
                <w:p>
                  <w:pPr>
                    <w:pStyle w:val="Compact"/>
                    <w:jc w:val="left"/>
                    <w:jc w:val="center"/>
                  </w:pPr>
                  <w:r>
                    <w:t xml:space="preserve">98.08</w:t>
                  </w:r>
                </w:p>
              </w:tc>
            </w:tr>
            <w:tr>
              <w:tc>
                <w:tcPr/>
                <w:p>
                  <w:pPr>
                    <w:pStyle w:val="Compact"/>
                    <w:jc w:val="left"/>
                    <w:jc w:val="center"/>
                  </w:pPr>
                  <w:r>
                    <w:t xml:space="preserve">2023</w:t>
                  </w:r>
                </w:p>
              </w:tc>
              <w:tc>
                <w:tcPr/>
                <w:p>
                  <w:pPr>
                    <w:pStyle w:val="Compact"/>
                    <w:jc w:val="left"/>
                    <w:jc w:val="center"/>
                  </w:pPr>
                  <w:r>
                    <w:t xml:space="preserve">5.173e+05</w:t>
                  </w:r>
                </w:p>
              </w:tc>
              <w:tc>
                <w:tcPr/>
                <w:p>
                  <w:pPr>
                    <w:pStyle w:val="Compact"/>
                    <w:jc w:val="left"/>
                    <w:jc w:val="center"/>
                  </w:pPr>
                  <w:r>
                    <w:t xml:space="preserve">5.256e+05</w:t>
                  </w:r>
                </w:p>
              </w:tc>
              <w:tc>
                <w:tcPr/>
                <w:p>
                  <w:pPr>
                    <w:pStyle w:val="Compact"/>
                    <w:jc w:val="left"/>
                    <w:jc w:val="center"/>
                  </w:pPr>
                  <w:r>
                    <w:t xml:space="preserve">98.42</w:t>
                  </w:r>
                </w:p>
              </w:tc>
              <w:tc>
                <w:tcPr/>
                <w:p>
                  <w:pPr>
                    <w:pStyle w:val="Compact"/>
                    <w:jc w:val="left"/>
                    <w:jc w:val="center"/>
                  </w:pPr>
                  <w:r>
                    <w:t xml:space="preserve">98.42</w:t>
                  </w:r>
                </w:p>
              </w:tc>
            </w:tr>
            <w:tr>
              <w:tc>
                <w:tcPr/>
                <w:p>
                  <w:pPr>
                    <w:pStyle w:val="Compact"/>
                    <w:jc w:val="left"/>
                    <w:jc w:val="center"/>
                  </w:pPr>
                  <w:r>
                    <w:t xml:space="preserve">2024</w:t>
                  </w:r>
                </w:p>
              </w:tc>
              <w:tc>
                <w:tcPr/>
                <w:p>
                  <w:pPr>
                    <w:pStyle w:val="Compact"/>
                    <w:jc w:val="left"/>
                    <w:jc w:val="center"/>
                  </w:pPr>
                  <w:r>
                    <w:t xml:space="preserve">5.150e+05</w:t>
                  </w:r>
                </w:p>
              </w:tc>
              <w:tc>
                <w:tcPr/>
                <w:p>
                  <w:pPr>
                    <w:pStyle w:val="Compact"/>
                    <w:jc w:val="left"/>
                    <w:jc w:val="center"/>
                  </w:pPr>
                  <w:r>
                    <w:t xml:space="preserve">5.270e+05</w:t>
                  </w:r>
                </w:p>
              </w:tc>
              <w:tc>
                <w:tcPr/>
                <w:p>
                  <w:pPr>
                    <w:pStyle w:val="Compact"/>
                    <w:jc w:val="left"/>
                    <w:jc w:val="center"/>
                  </w:pPr>
                  <w:r>
                    <w:t xml:space="preserve">97.72</w:t>
                  </w:r>
                </w:p>
              </w:tc>
              <w:tc>
                <w:tcPr/>
                <w:p>
                  <w:pPr>
                    <w:pStyle w:val="Compact"/>
                    <w:jc w:val="left"/>
                    <w:jc w:val="center"/>
                  </w:pPr>
                  <w:r>
                    <w:t xml:space="preserve">97.72</w:t>
                  </w:r>
                </w:p>
              </w:tc>
            </w:tr>
            <w:tr>
              <w:tc>
                <w:tcPr/>
                <w:p>
                  <w:pPr>
                    <w:pStyle w:val="Compact"/>
                    <w:jc w:val="left"/>
                    <w:jc w:val="center"/>
                  </w:pPr>
                  <w:r>
                    <w:t xml:space="preserve">2025</w:t>
                  </w:r>
                </w:p>
              </w:tc>
              <w:tc>
                <w:tcPr/>
                <w:p>
                  <w:pPr>
                    <w:pStyle w:val="Compact"/>
                    <w:jc w:val="left"/>
                    <w:jc w:val="center"/>
                  </w:pPr>
                  <w:r>
                    <w:t xml:space="preserve">1.355e+05</w:t>
                  </w:r>
                </w:p>
              </w:tc>
              <w:tc>
                <w:tcPr/>
                <w:p>
                  <w:pPr>
                    <w:pStyle w:val="Compact"/>
                    <w:jc w:val="left"/>
                    <w:jc w:val="center"/>
                  </w:pPr>
                  <w:r>
                    <w:t xml:space="preserve">5.256e+05</w:t>
                  </w:r>
                </w:p>
              </w:tc>
              <w:tc>
                <w:tcPr/>
                <w:p>
                  <w:pPr>
                    <w:pStyle w:val="Compact"/>
                    <w:jc w:val="left"/>
                    <w:jc w:val="center"/>
                  </w:pPr>
                  <w:r>
                    <w:t xml:space="preserve">25.78</w:t>
                  </w:r>
                </w:p>
              </w:tc>
              <w:tc>
                <w:tcPr/>
                <w:p>
                  <w:pPr>
                    <w:pStyle w:val="Compact"/>
                    <w:jc w:val="left"/>
                    <w:jc w:val="center"/>
                  </w:pPr>
                  <w:r>
                    <w:t xml:space="preserve">97.01</w:t>
                  </w:r>
                </w:p>
              </w:tc>
            </w:tr>
          </w:tbl>
          <w:bookmarkEnd w:id="27"/>
          <w:p/>
        </w:tc>
      </w:tr>
    </w:tbl>
    <w:tbl>
      <w:tblPr>
        <w:tblStyle w:val="Table"/>
        <w:tblW w:type="pct" w:w="5000"/>
        <w:tblLayout w:type="fixed"/>
        <w:tblLook w:firstRow="0" w:lastRow="0" w:firstColumn="0" w:lastColumn="0" w:noHBand="0" w:noVBand="0" w:val="0000"/>
      </w:tblPr>
      <w:tblGrid>
        <w:gridCol w:w="7920"/>
      </w:tblGrid>
      <w:tr>
        <w:tc>
          <w:tcPr/>
          <w:bookmarkStart w:id="31" w:name="fig-cobertura-1"/>
          <w:p>
            <w:pPr>
              <w:pStyle w:val="Compact"/>
              <w:jc w:val="center"/>
            </w:pPr>
            <w:r>
              <w:drawing>
                <wp:inline>
                  <wp:extent cx="5829300" cy="2975821"/>
                  <wp:effectExtent b="0" l="0" r="0" t="0"/>
                  <wp:docPr descr="" title="" id="29" name="Picture"/>
                  <a:graphic>
                    <a:graphicData uri="http://schemas.openxmlformats.org/drawingml/2006/picture">
                      <pic:pic>
                        <pic:nvPicPr>
                          <pic:cNvPr descr="figuras/cobertura_diaria.png" id="30" name="Picture"/>
                          <pic:cNvPicPr>
                            <a:picLocks noChangeArrowheads="1" noChangeAspect="1"/>
                          </pic:cNvPicPr>
                        </pic:nvPicPr>
                        <pic:blipFill>
                          <a:blip r:embed="rId28"/>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Cobertura diária e cobertura em relação ao ano civil completo. A linha tracejada indica o critério principal de elegibilidade dos blocos.</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fig-cobertura-2"/>
          <w:p>
            <w:pPr>
              <w:pStyle w:val="Compact"/>
              <w:jc w:val="center"/>
            </w:pPr>
            <w:r>
              <w:drawing>
                <wp:inline>
                  <wp:extent cx="5829300" cy="2975821"/>
                  <wp:effectExtent b="0" l="0" r="0" t="0"/>
                  <wp:docPr descr="" title="" id="33" name="Picture"/>
                  <a:graphic>
                    <a:graphicData uri="http://schemas.openxmlformats.org/drawingml/2006/picture">
                      <pic:pic>
                        <pic:nvPicPr>
                          <pic:cNvPr descr="figuras/cobertura_anual.png" id="34" name="Picture"/>
                          <pic:cNvPicPr>
                            <a:picLocks noChangeArrowheads="1" noChangeAspect="1"/>
                          </pic:cNvPicPr>
                        </pic:nvPicPr>
                        <pic:blipFill>
                          <a:blip r:embed="rId32"/>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Cobertura diária e cobertura em relação ao ano civil completo. A linha tracejada indica o critério principal de elegibilidade dos blocos.</w:t>
            </w:r>
          </w:p>
          <w:bookmarkEnd w:id="35"/>
        </w:tc>
      </w:tr>
    </w:tbl>
    <w:tbl>
      <w:tblPr>
        <w:tblStyle w:val="Table"/>
        <w:tblW w:type="pct" w:w="5000"/>
        <w:tblLayout w:type="fixed"/>
        <w:tblLook w:firstRow="0" w:lastRow="0" w:firstColumn="0" w:lastColumn="0" w:noHBand="0" w:noVBand="0" w:val="0000"/>
      </w:tblPr>
      <w:tblGrid>
        <w:gridCol w:w="7920"/>
      </w:tblGrid>
      <w:tr>
        <w:tc>
          <w:tcPr/>
          <w:bookmarkStart w:id="36" w:name="tbl-lacunas"/>
          <w:p>
            <w:pPr>
              <w:jc w:val="center"/>
            </w:pPr>
            <w:pPr>
              <w:jc w:val="start"/>
              <w:spacing w:before="200"/>
              <w:pStyle w:val="ImageCaption"/>
            </w:pPr>
            <w:r>
              <w:t xml:space="preserve">Tabela 5: Maiores lacunas internas de dados válidos; duração em horas.</w:t>
            </w:r>
          </w:p>
          <w:p>
            <w:pPr>
              <w:pStyle w:val="Compact"/>
              <w:jc w:val="center"/>
            </w:pPr>
            <w:r>
              <w:t xml:space="preserve">Maiores lacunas internas de dados válidos; duração em horas.</w:t>
            </w:r>
          </w:p>
          <w:tbl>
            <w:tblPr>
              <w:tblStyle w:val="Table"/>
              <w:tblW w:type="pct" w:w="5000"/>
              <w:tblLayout w:type="fixed"/>
              <w:tblLook w:firstRow="1" w:lastRow="0" w:firstColumn="0" w:lastColumn="0" w:noHBand="0" w:noVBand="0" w:val="0020"/>
              <w:tblCaption w:val="Maiores lacunas internas de dados válidos; duração em horas."/>
            </w:tblPr>
            <w:tblGrid>
              <w:gridCol w:w="3300"/>
              <w:gridCol w:w="3300"/>
              <w:gridCol w:w="1320"/>
            </w:tblGrid>
            <w:tr>
              <w:trPr>
                <w:tblHeader w:val="on"/>
              </w:trPr>
              <w:tc>
                <w:tcPr/>
                <w:p>
                  <w:pPr>
                    <w:pStyle w:val="Compact"/>
                    <w:jc w:val="left"/>
                    <w:jc w:val="center"/>
                  </w:pPr>
                  <w:r>
                    <w:t xml:space="preserve">inicio</w:t>
                  </w:r>
                </w:p>
              </w:tc>
              <w:tc>
                <w:tcPr/>
                <w:p>
                  <w:pPr>
                    <w:pStyle w:val="Compact"/>
                    <w:jc w:val="left"/>
                    <w:jc w:val="center"/>
                  </w:pPr>
                  <w:r>
                    <w:t xml:space="preserve">fim</w:t>
                  </w:r>
                </w:p>
              </w:tc>
              <w:tc>
                <w:tcPr/>
                <w:p>
                  <w:pPr>
                    <w:pStyle w:val="Compact"/>
                    <w:jc w:val="left"/>
                    <w:jc w:val="center"/>
                  </w:pPr>
                  <w:r>
                    <w:t xml:space="preserve">duracao h</w:t>
                  </w:r>
                </w:p>
              </w:tc>
            </w:tr>
            <w:tr>
              <w:tc>
                <w:tcPr/>
                <w:p>
                  <w:pPr>
                    <w:pStyle w:val="Compact"/>
                    <w:jc w:val="left"/>
                    <w:jc w:val="center"/>
                  </w:pPr>
                  <w:r>
                    <w:t xml:space="preserve">2017-11-30 13:58:00</w:t>
                  </w:r>
                </w:p>
              </w:tc>
              <w:tc>
                <w:tcPr/>
                <w:p>
                  <w:pPr>
                    <w:pStyle w:val="Compact"/>
                    <w:jc w:val="left"/>
                    <w:jc w:val="center"/>
                  </w:pPr>
                  <w:r>
                    <w:t xml:space="preserve">2017-12-11 23:58:00</w:t>
                  </w:r>
                </w:p>
              </w:tc>
              <w:tc>
                <w:tcPr/>
                <w:p>
                  <w:pPr>
                    <w:pStyle w:val="Compact"/>
                    <w:jc w:val="left"/>
                    <w:jc w:val="center"/>
                  </w:pPr>
                  <w:r>
                    <w:t xml:space="preserve">274</w:t>
                  </w:r>
                </w:p>
              </w:tc>
            </w:tr>
            <w:tr>
              <w:tc>
                <w:tcPr/>
                <w:p>
                  <w:pPr>
                    <w:pStyle w:val="Compact"/>
                    <w:jc w:val="left"/>
                    <w:jc w:val="center"/>
                  </w:pPr>
                  <w:r>
                    <w:t xml:space="preserve">2017-04-22 14:37:00</w:t>
                  </w:r>
                </w:p>
              </w:tc>
              <w:tc>
                <w:tcPr/>
                <w:p>
                  <w:pPr>
                    <w:pStyle w:val="Compact"/>
                    <w:jc w:val="left"/>
                    <w:jc w:val="center"/>
                  </w:pPr>
                  <w:r>
                    <w:t xml:space="preserve">2017-05-02 23:58:00</w:t>
                  </w:r>
                </w:p>
              </w:tc>
              <w:tc>
                <w:tcPr/>
                <w:p>
                  <w:pPr>
                    <w:pStyle w:val="Compact"/>
                    <w:jc w:val="left"/>
                    <w:jc w:val="center"/>
                  </w:pPr>
                  <w:r>
                    <w:t xml:space="preserve">249.4</w:t>
                  </w:r>
                </w:p>
              </w:tc>
            </w:tr>
            <w:tr>
              <w:tc>
                <w:tcPr/>
                <w:p>
                  <w:pPr>
                    <w:pStyle w:val="Compact"/>
                    <w:jc w:val="left"/>
                    <w:jc w:val="center"/>
                  </w:pPr>
                  <w:r>
                    <w:t xml:space="preserve">2019-02-05 02:43:00</w:t>
                  </w:r>
                </w:p>
              </w:tc>
              <w:tc>
                <w:tcPr/>
                <w:p>
                  <w:pPr>
                    <w:pStyle w:val="Compact"/>
                    <w:jc w:val="left"/>
                    <w:jc w:val="center"/>
                  </w:pPr>
                  <w:r>
                    <w:t xml:space="preserve">2019-02-06 19:40:00</w:t>
                  </w:r>
                </w:p>
              </w:tc>
              <w:tc>
                <w:tcPr/>
                <w:p>
                  <w:pPr>
                    <w:pStyle w:val="Compact"/>
                    <w:jc w:val="left"/>
                    <w:jc w:val="center"/>
                  </w:pPr>
                  <w:r>
                    <w:t xml:space="preserve">40.97</w:t>
                  </w:r>
                </w:p>
              </w:tc>
            </w:tr>
            <w:tr>
              <w:tc>
                <w:tcPr/>
                <w:p>
                  <w:pPr>
                    <w:pStyle w:val="Compact"/>
                    <w:jc w:val="left"/>
                    <w:jc w:val="center"/>
                  </w:pPr>
                  <w:r>
                    <w:t xml:space="preserve">2022-12-24 11:48:00</w:t>
                  </w:r>
                </w:p>
              </w:tc>
              <w:tc>
                <w:tcPr/>
                <w:p>
                  <w:pPr>
                    <w:pStyle w:val="Compact"/>
                    <w:jc w:val="left"/>
                    <w:jc w:val="center"/>
                  </w:pPr>
                  <w:r>
                    <w:t xml:space="preserve">2022-12-25 23:59:00</w:t>
                  </w:r>
                </w:p>
              </w:tc>
              <w:tc>
                <w:tcPr/>
                <w:p>
                  <w:pPr>
                    <w:pStyle w:val="Compact"/>
                    <w:jc w:val="left"/>
                    <w:jc w:val="center"/>
                  </w:pPr>
                  <w:r>
                    <w:t xml:space="preserve">36.2</w:t>
                  </w:r>
                </w:p>
              </w:tc>
            </w:tr>
            <w:tr>
              <w:tc>
                <w:tcPr/>
                <w:p>
                  <w:pPr>
                    <w:pStyle w:val="Compact"/>
                    <w:jc w:val="left"/>
                    <w:jc w:val="center"/>
                  </w:pPr>
                  <w:r>
                    <w:t xml:space="preserve">2017-07-20 20:45:00</w:t>
                  </w:r>
                </w:p>
              </w:tc>
              <w:tc>
                <w:tcPr/>
                <w:p>
                  <w:pPr>
                    <w:pStyle w:val="Compact"/>
                    <w:jc w:val="left"/>
                    <w:jc w:val="center"/>
                  </w:pPr>
                  <w:r>
                    <w:t xml:space="preserve">2017-07-21 23:58:00</w:t>
                  </w:r>
                </w:p>
              </w:tc>
              <w:tc>
                <w:tcPr/>
                <w:p>
                  <w:pPr>
                    <w:pStyle w:val="Compact"/>
                    <w:jc w:val="left"/>
                    <w:jc w:val="center"/>
                  </w:pPr>
                  <w:r>
                    <w:t xml:space="preserve">27.23</w:t>
                  </w:r>
                </w:p>
              </w:tc>
            </w:tr>
            <w:tr>
              <w:tc>
                <w:tcPr/>
                <w:p>
                  <w:pPr>
                    <w:pStyle w:val="Compact"/>
                    <w:jc w:val="left"/>
                    <w:jc w:val="center"/>
                  </w:pPr>
                  <w:r>
                    <w:t xml:space="preserve">2018-02-22 00:01:00</w:t>
                  </w:r>
                </w:p>
              </w:tc>
              <w:tc>
                <w:tcPr/>
                <w:p>
                  <w:pPr>
                    <w:pStyle w:val="Compact"/>
                    <w:jc w:val="left"/>
                    <w:jc w:val="center"/>
                  </w:pPr>
                  <w:r>
                    <w:t xml:space="preserve">2018-02-23 00:05:00</w:t>
                  </w:r>
                </w:p>
              </w:tc>
              <w:tc>
                <w:tcPr/>
                <w:p>
                  <w:pPr>
                    <w:pStyle w:val="Compact"/>
                    <w:jc w:val="left"/>
                    <w:jc w:val="center"/>
                  </w:pPr>
                  <w:r>
                    <w:t xml:space="preserve">24.08</w:t>
                  </w:r>
                </w:p>
              </w:tc>
            </w:tr>
            <w:tr>
              <w:tc>
                <w:tcPr/>
                <w:p>
                  <w:pPr>
                    <w:pStyle w:val="Compact"/>
                    <w:jc w:val="left"/>
                    <w:jc w:val="center"/>
                  </w:pPr>
                  <w:r>
                    <w:t xml:space="preserve">2017-12-18 00:02:00</w:t>
                  </w:r>
                </w:p>
              </w:tc>
              <w:tc>
                <w:tcPr/>
                <w:p>
                  <w:pPr>
                    <w:pStyle w:val="Compact"/>
                    <w:jc w:val="left"/>
                    <w:jc w:val="center"/>
                  </w:pPr>
                  <w:r>
                    <w:t xml:space="preserve">2017-12-18 23:58:00</w:t>
                  </w:r>
                </w:p>
              </w:tc>
              <w:tc>
                <w:tcPr/>
                <w:p>
                  <w:pPr>
                    <w:pStyle w:val="Compact"/>
                    <w:jc w:val="left"/>
                    <w:jc w:val="center"/>
                  </w:pPr>
                  <w:r>
                    <w:t xml:space="preserve">23.95</w:t>
                  </w:r>
                </w:p>
              </w:tc>
            </w:tr>
            <w:tr>
              <w:tc>
                <w:tcPr/>
                <w:p>
                  <w:pPr>
                    <w:pStyle w:val="Compact"/>
                    <w:jc w:val="left"/>
                    <w:jc w:val="center"/>
                  </w:pPr>
                  <w:r>
                    <w:t xml:space="preserve">2018-07-26 23:12:00</w:t>
                  </w:r>
                </w:p>
              </w:tc>
              <w:tc>
                <w:tcPr/>
                <w:p>
                  <w:pPr>
                    <w:pStyle w:val="Compact"/>
                    <w:jc w:val="left"/>
                    <w:jc w:val="center"/>
                  </w:pPr>
                  <w:r>
                    <w:t xml:space="preserve">2018-07-27 14:52:00</w:t>
                  </w:r>
                </w:p>
              </w:tc>
              <w:tc>
                <w:tcPr/>
                <w:p>
                  <w:pPr>
                    <w:pStyle w:val="Compact"/>
                    <w:jc w:val="left"/>
                    <w:jc w:val="center"/>
                  </w:pPr>
                  <w:r>
                    <w:t xml:space="preserve">15.68</w:t>
                  </w:r>
                </w:p>
              </w:tc>
            </w:tr>
            <w:tr>
              <w:tc>
                <w:tcPr/>
                <w:p>
                  <w:pPr>
                    <w:pStyle w:val="Compact"/>
                    <w:jc w:val="left"/>
                    <w:jc w:val="center"/>
                  </w:pPr>
                  <w:r>
                    <w:t xml:space="preserve">2017-05-21 21:11:00</w:t>
                  </w:r>
                </w:p>
              </w:tc>
              <w:tc>
                <w:tcPr/>
                <w:p>
                  <w:pPr>
                    <w:pStyle w:val="Compact"/>
                    <w:jc w:val="left"/>
                    <w:jc w:val="center"/>
                  </w:pPr>
                  <w:r>
                    <w:t xml:space="preserve">2017-05-22 11:37:00</w:t>
                  </w:r>
                </w:p>
              </w:tc>
              <w:tc>
                <w:tcPr/>
                <w:p>
                  <w:pPr>
                    <w:pStyle w:val="Compact"/>
                    <w:jc w:val="left"/>
                    <w:jc w:val="center"/>
                  </w:pPr>
                  <w:r>
                    <w:t xml:space="preserve">14.45</w:t>
                  </w:r>
                </w:p>
              </w:tc>
            </w:tr>
            <w:tr>
              <w:tc>
                <w:tcPr/>
                <w:p>
                  <w:pPr>
                    <w:pStyle w:val="Compact"/>
                    <w:jc w:val="left"/>
                    <w:jc w:val="center"/>
                  </w:pPr>
                  <w:r>
                    <w:t xml:space="preserve">2021-11-24 10:47:00</w:t>
                  </w:r>
                </w:p>
              </w:tc>
              <w:tc>
                <w:tcPr/>
                <w:p>
                  <w:pPr>
                    <w:pStyle w:val="Compact"/>
                    <w:jc w:val="left"/>
                    <w:jc w:val="center"/>
                  </w:pPr>
                  <w:r>
                    <w:t xml:space="preserve">2021-11-24 23:58:00</w:t>
                  </w:r>
                </w:p>
              </w:tc>
              <w:tc>
                <w:tcPr/>
                <w:p>
                  <w:pPr>
                    <w:pStyle w:val="Compact"/>
                    <w:jc w:val="left"/>
                    <w:jc w:val="center"/>
                  </w:pPr>
                  <w:r>
                    <w:t xml:space="preserve">13.2</w:t>
                  </w:r>
                </w:p>
              </w:tc>
            </w:tr>
            <w:tr>
              <w:tc>
                <w:tcPr/>
                <w:p>
                  <w:pPr>
                    <w:pStyle w:val="Compact"/>
                    <w:jc w:val="left"/>
                    <w:jc w:val="center"/>
                  </w:pPr>
                  <w:r>
                    <w:t xml:space="preserve">2017-02-08 12:46:00</w:t>
                  </w:r>
                </w:p>
              </w:tc>
              <w:tc>
                <w:tcPr/>
                <w:p>
                  <w:pPr>
                    <w:pStyle w:val="Compact"/>
                    <w:jc w:val="left"/>
                    <w:jc w:val="center"/>
                  </w:pPr>
                  <w:r>
                    <w:t xml:space="preserve">2017-02-09 00:25:00</w:t>
                  </w:r>
                </w:p>
              </w:tc>
              <w:tc>
                <w:tcPr/>
                <w:p>
                  <w:pPr>
                    <w:pStyle w:val="Compact"/>
                    <w:jc w:val="left"/>
                    <w:jc w:val="center"/>
                  </w:pPr>
                  <w:r>
                    <w:t xml:space="preserve">11.67</w:t>
                  </w:r>
                </w:p>
              </w:tc>
            </w:tr>
            <w:tr>
              <w:tc>
                <w:tcPr/>
                <w:p>
                  <w:pPr>
                    <w:pStyle w:val="Compact"/>
                    <w:jc w:val="left"/>
                    <w:jc w:val="center"/>
                  </w:pPr>
                  <w:r>
                    <w:t xml:space="preserve">2021-03-20 16:21:00</w:t>
                  </w:r>
                </w:p>
              </w:tc>
              <w:tc>
                <w:tcPr/>
                <w:p>
                  <w:pPr>
                    <w:pStyle w:val="Compact"/>
                    <w:jc w:val="left"/>
                    <w:jc w:val="center"/>
                  </w:pPr>
                  <w:r>
                    <w:t xml:space="preserve">2021-03-20 23:59:00</w:t>
                  </w:r>
                </w:p>
              </w:tc>
              <w:tc>
                <w:tcPr/>
                <w:p>
                  <w:pPr>
                    <w:pStyle w:val="Compact"/>
                    <w:jc w:val="left"/>
                    <w:jc w:val="center"/>
                  </w:pPr>
                  <w:r>
                    <w:t xml:space="preserve">7.65</w:t>
                  </w:r>
                </w:p>
              </w:tc>
            </w:tr>
            <w:tr>
              <w:tc>
                <w:tcPr/>
                <w:p>
                  <w:pPr>
                    <w:pStyle w:val="Compact"/>
                    <w:jc w:val="left"/>
                    <w:jc w:val="center"/>
                  </w:pPr>
                  <w:r>
                    <w:t xml:space="preserve">2017-04-11 13:09:00</w:t>
                  </w:r>
                </w:p>
              </w:tc>
              <w:tc>
                <w:tcPr/>
                <w:p>
                  <w:pPr>
                    <w:pStyle w:val="Compact"/>
                    <w:jc w:val="left"/>
                    <w:jc w:val="center"/>
                  </w:pPr>
                  <w:r>
                    <w:t xml:space="preserve">2017-04-11 19:21:00</w:t>
                  </w:r>
                </w:p>
              </w:tc>
              <w:tc>
                <w:tcPr/>
                <w:p>
                  <w:pPr>
                    <w:pStyle w:val="Compact"/>
                    <w:jc w:val="left"/>
                    <w:jc w:val="center"/>
                  </w:pPr>
                  <w:r>
                    <w:t xml:space="preserve">6.217</w:t>
                  </w:r>
                </w:p>
              </w:tc>
            </w:tr>
            <w:tr>
              <w:tc>
                <w:tcPr/>
                <w:p>
                  <w:pPr>
                    <w:pStyle w:val="Compact"/>
                    <w:jc w:val="left"/>
                    <w:jc w:val="center"/>
                  </w:pPr>
                  <w:r>
                    <w:t xml:space="preserve">2017-04-10 14:14:00</w:t>
                  </w:r>
                </w:p>
              </w:tc>
              <w:tc>
                <w:tcPr/>
                <w:p>
                  <w:pPr>
                    <w:pStyle w:val="Compact"/>
                    <w:jc w:val="left"/>
                    <w:jc w:val="center"/>
                  </w:pPr>
                  <w:r>
                    <w:t xml:space="preserve">2017-04-10 20:05:00</w:t>
                  </w:r>
                </w:p>
              </w:tc>
              <w:tc>
                <w:tcPr/>
                <w:p>
                  <w:pPr>
                    <w:pStyle w:val="Compact"/>
                    <w:jc w:val="left"/>
                    <w:jc w:val="center"/>
                  </w:pPr>
                  <w:r>
                    <w:t xml:space="preserve">5.867</w:t>
                  </w:r>
                </w:p>
              </w:tc>
            </w:tr>
            <w:tr>
              <w:tc>
                <w:tcPr/>
                <w:p>
                  <w:pPr>
                    <w:pStyle w:val="Compact"/>
                    <w:jc w:val="left"/>
                    <w:jc w:val="center"/>
                  </w:pPr>
                  <w:r>
                    <w:t xml:space="preserve">2017-05-25 12:16:00</w:t>
                  </w:r>
                </w:p>
              </w:tc>
              <w:tc>
                <w:tcPr/>
                <w:p>
                  <w:pPr>
                    <w:pStyle w:val="Compact"/>
                    <w:jc w:val="left"/>
                    <w:jc w:val="center"/>
                  </w:pPr>
                  <w:r>
                    <w:t xml:space="preserve">2017-05-25 17:41:00</w:t>
                  </w:r>
                </w:p>
              </w:tc>
              <w:tc>
                <w:tcPr/>
                <w:p>
                  <w:pPr>
                    <w:pStyle w:val="Compact"/>
                    <w:jc w:val="left"/>
                    <w:jc w:val="center"/>
                  </w:pPr>
                  <w:r>
                    <w:t xml:space="preserve">5.433</w:t>
                  </w:r>
                </w:p>
              </w:tc>
            </w:tr>
          </w:tbl>
          <w:bookmarkEnd w:id="36"/>
          <w:p/>
        </w:tc>
      </w:tr>
    </w:tbl>
    <w:bookmarkEnd w:id="37"/>
    <w:bookmarkEnd w:id="38"/>
    <w:bookmarkStart w:id="39" w:name="metodologia"/>
    <w:p>
      <w:pPr>
        <w:pStyle w:val="Heading1"/>
      </w:pPr>
      <w:r>
        <w:t xml:space="preserve">3. Metodologia</w:t>
      </w:r>
    </w:p>
    <w:p>
      <w:pPr>
        <w:pStyle w:val="FirstParagraph"/>
      </w:pPr>
      <w:r>
        <w:t xml:space="preserve">Para cada intervalo de calendário</w:t>
      </w:r>
      <w:r>
        <w:t xml:space="preserve"> </w:t>
      </w:r>
      <m:oMath>
        <m:sSub>
          <m:e>
            <m:r>
              <m:t>B</m:t>
            </m:r>
          </m:e>
          <m:sub>
            <m:r>
              <m:t>j</m:t>
            </m:r>
          </m:sub>
        </m:sSub>
      </m:oMath>
      <w:r>
        <w:t xml:space="preserve">, calcula-se</w:t>
      </w:r>
      <w:r>
        <w:t xml:space="preserve"> </w:t>
      </w:r>
      <m:oMath>
        <m:sSub>
          <m:e>
            <m:r>
              <m:t>M</m:t>
            </m:r>
          </m:e>
          <m:sub>
            <m:r>
              <m:t>j</m:t>
            </m:r>
          </m:sub>
        </m:sSub>
        <m:r>
          <m:rPr>
            <m:sty m:val="p"/>
          </m:rPr>
          <m:t>=</m:t>
        </m:r>
        <m:sSub>
          <m:e>
            <m:r>
              <m:rPr>
                <m:sty m:val="p"/>
              </m:rPr>
              <m:t>max</m:t>
            </m:r>
          </m:e>
          <m:sub>
            <m:r>
              <m:t>i</m:t>
            </m:r>
            <m:r>
              <m:rPr>
                <m:sty m:val="p"/>
              </m:rPr>
              <m:t>∈</m:t>
            </m:r>
            <m:sSub>
              <m:e>
                <m:r>
                  <m:t>B</m:t>
                </m:r>
              </m:e>
              <m:sub>
                <m:r>
                  <m:t>j</m:t>
                </m:r>
              </m:sub>
            </m:sSub>
          </m:sub>
        </m:sSub>
        <m:sSub>
          <m:e>
            <m:r>
              <m:t>X</m:t>
            </m:r>
          </m:e>
          <m:sub>
            <m:r>
              <m:t>i</m:t>
            </m:r>
          </m:sub>
        </m:sSub>
      </m:oMath>
      <w:r>
        <w:t xml:space="preserve">. Sob condições de atração e dependência suficientemente fraca, máximos normalizados podem ser aproximados por uma GEV. A construção de blocos reduz a fragmentação de eventos, mas não torna automaticamente os máximos independentes.</w:t>
      </w:r>
    </w:p>
    <w:p>
      <w:pPr>
        <w:pStyle w:val="BodyText"/>
      </w:pPr>
      <w:r>
        <w:t xml:space="preserve">A distribuição é</w:t>
      </w:r>
    </w:p>
    <w:p>
      <w:pPr>
        <w:pStyle w:val="BodyText"/>
      </w:pPr>
      <m:oMathPara>
        <m:oMathParaPr>
          <m:jc m:val="center"/>
        </m:oMathParaPr>
        <m:oMath>
          <m:r>
            <m:t>G</m:t>
          </m:r>
          <m:d>
            <m:dPr>
              <m:begChr m:val="("/>
              <m:sepChr m:val=""/>
              <m:endChr m:val=")"/>
              <m:grow/>
            </m:dPr>
            <m:e>
              <m:r>
                <m:t>x</m:t>
              </m:r>
              <m:r>
                <m:rPr>
                  <m:sty m:val="p"/>
                </m:rPr>
                <m:t>;</m:t>
              </m:r>
              <m:r>
                <m:t>μ</m:t>
              </m:r>
              <m:r>
                <m:rPr>
                  <m:sty m:val="p"/>
                </m:rPr>
                <m:t>,</m:t>
              </m:r>
              <m:r>
                <m:t>σ</m:t>
              </m:r>
              <m:r>
                <m:rPr>
                  <m:sty m:val="p"/>
                </m:rPr>
                <m:t>,</m:t>
              </m:r>
              <m:r>
                <m:t>ξ</m:t>
              </m:r>
            </m:e>
          </m:d>
          <m:r>
            <m:rPr>
              <m:sty m:val="p"/>
            </m:rPr>
            <m:t>=</m:t>
          </m:r>
          <m:r>
            <m:rPr>
              <m:sty m:val="p"/>
            </m:rPr>
            <m:t>exp</m:t>
          </m:r>
          <m:d>
            <m:dPr>
              <m:begChr m:val="{"/>
              <m:sepChr m:val=""/>
              <m:endChr m:val="}"/>
              <m:grow/>
            </m:dPr>
            <m:e>
              <m:r>
                <m:rPr>
                  <m:sty m:val="p"/>
                </m:rPr>
                <m:t>−</m:t>
              </m:r>
              <m:sSup>
                <m:e>
                  <m:d>
                    <m:dPr>
                      <m:begChr m:val="["/>
                      <m:sepChr m:val=""/>
                      <m:endChr m:val="]"/>
                      <m:grow/>
                    </m:dPr>
                    <m:e>
                      <m:r>
                        <m:t>1</m:t>
                      </m:r>
                      <m:r>
                        <m:rPr>
                          <m:sty m:val="p"/>
                        </m:rPr>
                        <m:t>+</m:t>
                      </m:r>
                      <m:r>
                        <m:t>ξ</m:t>
                      </m:r>
                      <m:f>
                        <m:fPr>
                          <m:type m:val="bar"/>
                        </m:fPr>
                        <m:num>
                          <m:r>
                            <m:t>x</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d>
            <m:dPr>
              <m:begChr m:val="("/>
              <m:sepChr m:val=""/>
              <m:endChr m:val=")"/>
              <m:grow/>
            </m:dPr>
            <m:e>
              <m:r>
                <m:t>x</m:t>
              </m:r>
              <m:r>
                <m:rPr>
                  <m:sty m:val="p"/>
                </m:rPr>
                <m:t>−</m:t>
              </m:r>
              <m:r>
                <m:t>μ</m:t>
              </m:r>
            </m:e>
          </m:d>
          <m:r>
            <m:rPr>
              <m:sty m:val="p"/>
            </m:rPr>
            <m:t>/</m:t>
          </m:r>
          <m:r>
            <m:t>σ</m:t>
          </m:r>
          <m:r>
            <m:rPr>
              <m:sty m:val="p"/>
            </m:rPr>
            <m:t>&gt;</m:t>
          </m:r>
          <m:r>
            <m:t>0</m:t>
          </m:r>
          <m:r>
            <m:rPr>
              <m:sty m:val="p"/>
            </m:rPr>
            <m:t>,</m:t>
          </m:r>
          <m:r>
            <m:t> </m:t>
          </m:r>
          <m:r>
            <m:t>σ</m:t>
          </m:r>
          <m:r>
            <m:rPr>
              <m:sty m:val="p"/>
            </m:rPr>
            <m:t>&gt;</m:t>
          </m:r>
          <m:r>
            <m:t>0</m:t>
          </m:r>
          <m:r>
            <m:rPr>
              <m:sty m:val="p"/>
            </m:rPr>
            <m:t>.</m:t>
          </m:r>
        </m:oMath>
      </m:oMathPara>
    </w:p>
    <w:p>
      <w:pPr>
        <w:pStyle w:val="FirstParagraph"/>
      </w:pPr>
      <w:r>
        <w:t xml:space="preserve">No limite</w:t>
      </w:r>
      <w:r>
        <w:t xml:space="preserve"> </w:t>
      </w:r>
      <m:oMath>
        <m:r>
          <m:t>ξ</m:t>
        </m:r>
        <m:r>
          <m:rPr>
            <m:sty m:val="p"/>
          </m:rPr>
          <m:t>→</m:t>
        </m:r>
        <m:r>
          <m:t>0</m:t>
        </m:r>
      </m:oMath>
      <w:r>
        <w:t xml:space="preserve">, obtém-se</w:t>
      </w:r>
      <w:r>
        <w:t xml:space="preserve"> </w:t>
      </w:r>
      <m:oMath>
        <m:r>
          <m:t>G</m:t>
        </m:r>
        <m:d>
          <m:dPr>
            <m:begChr m:val="("/>
            <m:sepChr m:val=""/>
            <m:endChr m:val=")"/>
            <m:grow/>
          </m:dPr>
          <m:e>
            <m:r>
              <m:t>x</m:t>
            </m:r>
          </m:e>
        </m:d>
        <m:r>
          <m:rPr>
            <m:sty m:val="p"/>
          </m:rPr>
          <m:t>=</m:t>
        </m:r>
        <m:r>
          <m:rPr>
            <m:sty m:val="p"/>
          </m:rPr>
          <m:t>exp</m:t>
        </m:r>
        <m:r>
          <m:rPr>
            <m:sty m:val="p"/>
          </m:rPr>
          <m:t>{</m:t>
        </m:r>
        <m:r>
          <m:rPr>
            <m:sty m:val="p"/>
          </m:rPr>
          <m:t>−</m:t>
        </m:r>
        <m:r>
          <m:rPr>
            <m:sty m:val="p"/>
          </m:rPr>
          <m:t>exp</m:t>
        </m:r>
        <m:d>
          <m:dPr>
            <m:begChr m:val="["/>
            <m:sepChr m:val=""/>
            <m:endChr m:val="]"/>
            <m:grow/>
          </m:dPr>
          <m:e>
            <m:r>
              <m:rPr>
                <m:sty m:val="p"/>
              </m:rPr>
              <m:t>−</m:t>
            </m:r>
            <m:d>
              <m:dPr>
                <m:begChr m:val="("/>
                <m:sepChr m:val=""/>
                <m:endChr m:val=")"/>
                <m:grow/>
              </m:dPr>
              <m:e>
                <m:r>
                  <m:t>x</m:t>
                </m:r>
                <m:r>
                  <m:rPr>
                    <m:sty m:val="p"/>
                  </m:rPr>
                  <m:t>−</m:t>
                </m:r>
                <m:r>
                  <m:t>μ</m:t>
                </m:r>
              </m:e>
            </m:d>
            <m:r>
              <m:rPr>
                <m:sty m:val="p"/>
              </m:rPr>
              <m:t>/</m:t>
            </m:r>
            <m:r>
              <m:t>σ</m:t>
            </m:r>
          </m:e>
        </m:d>
        <m:r>
          <m:rPr>
            <m:sty m:val="p"/>
          </m:rPr>
          <m:t>}</m:t>
        </m:r>
      </m:oMath>
      <w:r>
        <w:t xml:space="preserve">. Localização e escala mantêm a unidade do fluxo; forma é adimensional. Os ajustes são por máxima verossimilhança no pacote</w:t>
      </w:r>
      <w:r>
        <w:t xml:space="preserve"> </w:t>
      </w:r>
      <w:r>
        <w:rPr>
          <w:rStyle w:val="VerbatimChar"/>
        </w:rPr>
        <w:t xml:space="preserve">evd</w:t>
      </w:r>
      <w:r>
        <w:t xml:space="preserve">, com múltiplos pontos iniciais e Nelder–Mead. A solução final deve respeitar o suporte e reproduzir a log-densidade calculada independentemente pela função</w:t>
      </w:r>
      <w:r>
        <w:t xml:space="preserve"> </w:t>
      </w:r>
      <w:r>
        <w:rPr>
          <w:rStyle w:val="VerbatimChar"/>
        </w:rPr>
        <w:t xml:space="preserve">dgev</w:t>
      </w:r>
      <w:r>
        <w:t xml:space="preserve">; o passo numérico da Hessiana é reduzido para evitar cruzar o suporte durante a diferenciação. A extensão temporal parte também da solução estacionária com inclinação zero: se não atingir pelo menos a mesma verossimilhança, não se calcula um teste de razão de verossimilhanças. A estimação ocorre após reescalonar numericamente o fluxo pela mediana dos máximos de cada série. Essa operação linear melhora o condicionamento, sem transformar o problema em uma GEV de log-fluxos. Os resultados são reconvertidos à unidade original.</w:t>
      </w:r>
    </w:p>
    <w:p>
      <w:pPr>
        <w:pStyle w:val="BodyText"/>
      </w:pPr>
      <w:r>
        <w:t xml:space="preserve">A forma</w:t>
      </w:r>
      <w:r>
        <w:t xml:space="preserve"> </w:t>
      </w:r>
      <m:oMath>
        <m:r>
          <m:t>ξ</m:t>
        </m:r>
        <m:r>
          <m:rPr>
            <m:sty m:val="p"/>
          </m:rPr>
          <m:t>&gt;</m:t>
        </m:r>
        <m:r>
          <m:t>0</m:t>
        </m:r>
      </m:oMath>
      <w:r>
        <w:t xml:space="preserve"> </w:t>
      </w:r>
      <w:r>
        <w:t xml:space="preserve">corresponde ao domínio Fréchet,</w:t>
      </w:r>
      <w:r>
        <w:t xml:space="preserve"> </w:t>
      </w:r>
      <m:oMath>
        <m:r>
          <m:t>ξ</m:t>
        </m:r>
        <m:r>
          <m:rPr>
            <m:sty m:val="p"/>
          </m:rPr>
          <m:t>=</m:t>
        </m:r>
        <m:r>
          <m:t>0</m:t>
        </m:r>
      </m:oMath>
      <w:r>
        <w:t xml:space="preserve"> </w:t>
      </w:r>
      <w:r>
        <w:t xml:space="preserve">a Gumbel e</w:t>
      </w:r>
      <w:r>
        <w:t xml:space="preserve"> </w:t>
      </w:r>
      <m:oMath>
        <m:r>
          <m:t>ξ</m:t>
        </m:r>
        <m:r>
          <m:rPr>
            <m:sty m:val="p"/>
          </m:rPr>
          <m:t>&lt;</m:t>
        </m:r>
        <m:r>
          <m:t>0</m:t>
        </m:r>
      </m:oMath>
      <w:r>
        <w:t xml:space="preserve"> </w:t>
      </w:r>
      <w:r>
        <w:t xml:space="preserve">a Weibull reversa. O intervalo de confiança, e não apenas o sinal pontual, orienta a classificação. Intervalos de Wald dependem da informação observada e de regularidade; estimativas com</w:t>
      </w:r>
      <w:r>
        <w:t xml:space="preserve"> </w:t>
      </w:r>
      <m:oMath>
        <m:r>
          <m:t>ξ</m:t>
        </m:r>
        <m:r>
          <m:rPr>
            <m:sty m:val="p"/>
          </m:rPr>
          <m:t>≤</m:t>
        </m:r>
        <m:r>
          <m:rPr>
            <m:sty m:val="p"/>
          </m:rPr>
          <m:t>−</m:t>
        </m:r>
        <m:r>
          <m:t>0</m:t>
        </m:r>
        <m:r>
          <m:rPr>
            <m:sty m:val="p"/>
          </m:rPr>
          <m:t>,</m:t>
        </m:r>
        <m:r>
          <m:t>5</m:t>
        </m:r>
      </m:oMath>
      <w:r>
        <w:t xml:space="preserve"> </w:t>
      </w:r>
      <w:r>
        <w:t xml:space="preserve">não são aceitas como modelo principal regular.</w:t>
      </w:r>
    </w:p>
    <w:p>
      <w:pPr>
        <w:pStyle w:val="BodyText"/>
      </w:pPr>
      <w:r>
        <w:t xml:space="preserve">Para</w:t>
      </w:r>
      <w:r>
        <w:t xml:space="preserve"> </w:t>
      </w:r>
      <m:oMath>
        <m:r>
          <m:t>b</m:t>
        </m:r>
      </m:oMath>
      <w:r>
        <w:t xml:space="preserve"> </w:t>
      </w:r>
      <w:r>
        <w:t xml:space="preserve">blocos por ano, o nível histórico de retorno de</w:t>
      </w:r>
      <w:r>
        <w:t xml:space="preserve"> </w:t>
      </w:r>
      <m:oMath>
        <m:r>
          <m:t>T</m:t>
        </m:r>
      </m:oMath>
      <w:r>
        <w:t xml:space="preserve"> </w:t>
      </w:r>
      <w:r>
        <w:t xml:space="preserve">anos é o quantil</w:t>
      </w:r>
    </w:p>
    <w:p>
      <w:pPr>
        <w:pStyle w:val="BodyText"/>
      </w:pPr>
      <m:oMathPara>
        <m:oMathParaPr>
          <m:jc m:val="center"/>
        </m:oMathParaPr>
        <m:oMath>
          <m:sSub>
            <m:e>
              <m:r>
                <m:t>z</m:t>
              </m:r>
            </m:e>
            <m:sub>
              <m:r>
                <m:t>T</m:t>
              </m:r>
            </m:sub>
          </m:sSub>
          <m:r>
            <m:rPr>
              <m:sty m:val="p"/>
            </m:rPr>
            <m:t>=</m:t>
          </m:r>
          <m:sSup>
            <m:e>
              <m:r>
                <m:t>G</m:t>
              </m:r>
            </m:e>
            <m:sup>
              <m:r>
                <m:rPr>
                  <m:sty m:val="p"/>
                </m:rPr>
                <m:t>−</m:t>
              </m:r>
              <m:r>
                <m:t>1</m:t>
              </m:r>
            </m:sup>
          </m:sSup>
          <m:d>
            <m:dPr>
              <m:begChr m:val="("/>
              <m:sepChr m:val=""/>
              <m:endChr m:val=")"/>
              <m:grow/>
            </m:dPr>
            <m:e>
              <m:r>
                <m:t>1</m:t>
              </m:r>
              <m:r>
                <m:rPr>
                  <m:sty m:val="p"/>
                </m:rPr>
                <m:t>−</m:t>
              </m:r>
              <m:f>
                <m:fPr>
                  <m:type m:val="bar"/>
                </m:fPr>
                <m:num>
                  <m:r>
                    <m:t>1</m:t>
                  </m:r>
                </m:num>
                <m:den>
                  <m:r>
                    <m:t>b</m:t>
                  </m:r>
                  <m:r>
                    <m:t>T</m:t>
                  </m:r>
                </m:den>
              </m:f>
            </m:e>
          </m:d>
          <m:r>
            <m:rPr>
              <m:sty m:val="p"/>
            </m:rPr>
            <m:t>=</m:t>
          </m:r>
          <m:r>
            <m:t>μ</m:t>
          </m:r>
          <m:r>
            <m:rPr>
              <m:sty m:val="p"/>
            </m:rPr>
            <m:t>+</m:t>
          </m:r>
          <m:f>
            <m:fPr>
              <m:type m:val="bar"/>
            </m:fPr>
            <m:num>
              <m:r>
                <m:t>σ</m:t>
              </m:r>
            </m:num>
            <m:den>
              <m:r>
                <m:t>ξ</m:t>
              </m:r>
            </m:den>
          </m:f>
          <m:d>
            <m:dPr>
              <m:begChr m:val="{"/>
              <m:sepChr m:val=""/>
              <m:endChr m:val="}"/>
              <m:grow/>
            </m:dPr>
            <m:e>
              <m:sSup>
                <m:e>
                  <m:d>
                    <m:dPr>
                      <m:begChr m:val="["/>
                      <m:sepChr m:val=""/>
                      <m:endChr m:val="]"/>
                      <m:grow/>
                    </m:dPr>
                    <m:e>
                      <m:r>
                        <m:rPr>
                          <m:sty m:val="p"/>
                        </m:rPr>
                        <m:t>−</m:t>
                      </m:r>
                      <m:r>
                        <m:rPr>
                          <m:sty m:val="p"/>
                        </m:rPr>
                        <m:t>log</m:t>
                      </m:r>
                      <m:d>
                        <m:dPr>
                          <m:begChr m:val="("/>
                          <m:sepChr m:val=""/>
                          <m:endChr m:val=")"/>
                          <m:grow/>
                        </m:dPr>
                        <m:e>
                          <m:r>
                            <m:t>1</m:t>
                          </m:r>
                          <m:r>
                            <m:rPr>
                              <m:sty m:val="p"/>
                            </m:rPr>
                            <m:t>−</m:t>
                          </m:r>
                          <m:f>
                            <m:fPr>
                              <m:type m:val="bar"/>
                            </m:fPr>
                            <m:num>
                              <m:r>
                                <m:t>1</m:t>
                              </m:r>
                            </m:num>
                            <m:den>
                              <m:r>
                                <m:t>b</m:t>
                              </m:r>
                              <m:r>
                                <m:t>T</m:t>
                              </m:r>
                            </m:den>
                          </m:f>
                        </m:e>
                      </m:d>
                    </m:e>
                  </m:d>
                </m:e>
                <m:sup>
                  <m:r>
                    <m:rPr>
                      <m:sty m:val="p"/>
                    </m:rPr>
                    <m:t>−</m:t>
                  </m:r>
                  <m:r>
                    <m:t>ξ</m:t>
                  </m:r>
                </m:sup>
              </m:sSup>
              <m:r>
                <m:rPr>
                  <m:sty m:val="p"/>
                </m:rPr>
                <m:t>−</m:t>
              </m:r>
              <m:r>
                <m:t>1</m:t>
              </m:r>
            </m:e>
          </m:d>
          <m:r>
            <m:rPr>
              <m:sty m:val="p"/>
            </m:rPr>
            <m:t>.</m:t>
          </m:r>
        </m:oMath>
      </m:oMathPara>
    </w:p>
    <w:p>
      <w:pPr>
        <w:pStyle w:val="FirstParagraph"/>
      </w:pPr>
      <w:r>
        <w:t xml:space="preserve">Utiliza-se o limite contínuo quando</w:t>
      </w:r>
      <w:r>
        <w:t xml:space="preserve"> </w:t>
      </w:r>
      <m:oMath>
        <m:r>
          <m:t>ξ</m:t>
        </m:r>
        <m:r>
          <m:rPr>
            <m:sty m:val="p"/>
          </m:rPr>
          <m:t>=</m:t>
        </m:r>
        <m:r>
          <m:t>0</m:t>
        </m:r>
      </m:oMath>
      <w:r>
        <w:t xml:space="preserve">. Os intervalos principais são percentis de um bootstrap circular de blocos móveis sobre a grade completa dos máximos, incluindo lacunas. Esse procedimento preserva parte da dependência local, mas pressupõe uma distribuição temporal aproximadamente estável e não corrige a mistura de fases solares. A extensão não estacionária mantém escala e forma constantes e especifica</w:t>
      </w:r>
      <w:r>
        <w:t xml:space="preserve"> </w:t>
      </w:r>
      <m:oMath>
        <m:r>
          <m:t>μ</m:t>
        </m:r>
        <m:d>
          <m:dPr>
            <m:begChr m:val="("/>
            <m:sepChr m:val=""/>
            <m:endChr m:val=")"/>
            <m:grow/>
          </m:dPr>
          <m:e>
            <m:r>
              <m:t>t</m:t>
            </m:r>
          </m:e>
        </m:d>
        <m:r>
          <m:rPr>
            <m:sty m:val="p"/>
          </m:rPr>
          <m:t>=</m:t>
        </m:r>
        <m:sSub>
          <m:e>
            <m:r>
              <m:t>β</m:t>
            </m:r>
          </m:e>
          <m:sub>
            <m:r>
              <m:t>0</m:t>
            </m:r>
          </m:sub>
        </m:sSub>
        <m:r>
          <m:rPr>
            <m:sty m:val="p"/>
          </m:rPr>
          <m:t>+</m:t>
        </m:r>
        <m:sSub>
          <m:e>
            <m:r>
              <m:t>β</m:t>
            </m:r>
          </m:e>
          <m:sub>
            <m:r>
              <m:t>1</m:t>
            </m:r>
          </m:sub>
        </m:sSub>
        <m:r>
          <m:t>t</m:t>
        </m:r>
      </m:oMath>
      <w:r>
        <w:t xml:space="preserve">, com tempo centrado e medido em anos.</w:t>
      </w:r>
    </w:p>
    <w:bookmarkEnd w:id="39"/>
    <w:bookmarkStart w:id="65" w:name="análise-exploratória"/>
    <w:p>
      <w:pPr>
        <w:pStyle w:val="Heading1"/>
      </w:pPr>
      <w:r>
        <w:t xml:space="preserve">4. Análise exploratória</w:t>
      </w:r>
    </w:p>
    <w:tbl>
      <w:tblPr>
        <w:tblStyle w:val="Table"/>
        <w:tblW w:type="pct" w:w="5000"/>
        <w:tblLayout w:type="fixed"/>
        <w:tblLook w:firstRow="0" w:lastRow="0" w:firstColumn="0" w:lastColumn="0" w:noHBand="0" w:noVBand="0" w:val="0000"/>
      </w:tblPr>
      <w:tblGrid>
        <w:gridCol w:w="7920"/>
      </w:tblGrid>
      <w:tr>
        <w:tc>
          <w:tcPr/>
          <w:bookmarkStart w:id="40" w:name="tbl-descritiva"/>
          <w:p>
            <w:pPr>
              <w:jc w:val="center"/>
            </w:pPr>
            <w:pPr>
              <w:jc w:val="start"/>
              <w:spacing w:before="200"/>
              <w:pStyle w:val="ImageCaption"/>
            </w:pPr>
            <w:r>
              <w:t xml:space="preserve">Tabela 6: Estatísticas de todos os minutos válidos. Curtose de Pearson: Normal = 3; assimetria e curtose são momentos empíricos não corrigidos.</w:t>
            </w:r>
          </w:p>
          <w:p>
            <w:pPr>
              <w:pStyle w:val="Compact"/>
              <w:jc w:val="center"/>
            </w:pPr>
            <w:r>
              <w:t xml:space="preserve">Estatísticas de todos os minutos válidos. Curtose de Pearson: Normal = 3; assimetria e curtose são momentos empíricos não corrigidos.</w:t>
            </w:r>
          </w:p>
          <w:tbl>
            <w:tblPr>
              <w:tblStyle w:val="Table"/>
              <w:tblW w:type="pct" w:w="5000"/>
              <w:tblLayout w:type="fixed"/>
              <w:tblLook w:firstRow="1" w:lastRow="0" w:firstColumn="0" w:lastColumn="0" w:noHBand="0" w:noVBand="0" w:val="0020"/>
              <w:tblCaption w:val="Estatísticas de todos os minutos válidos. Curtose de Pearson: Normal = 3; assimetria e curtose são momentos empíricos não corrigidos."/>
            </w:tblPr>
            <w:tblGrid>
              <w:gridCol w:w="5365"/>
              <w:gridCol w:w="2554"/>
            </w:tblGrid>
            <w:tr>
              <w:trPr>
                <w:tblHeader w:val="on"/>
              </w:trPr>
              <w:tc>
                <w:tcPr/>
                <w:p>
                  <w:pPr>
                    <w:pStyle w:val="Compact"/>
                    <w:jc w:val="left"/>
                    <w:jc w:val="center"/>
                  </w:pPr>
                  <w:r>
                    <w:t xml:space="preserve">medida</w:t>
                  </w:r>
                </w:p>
              </w:tc>
              <w:tc>
                <w:tcPr/>
                <w:p>
                  <w:pPr>
                    <w:pStyle w:val="Compact"/>
                    <w:jc w:val="left"/>
                    <w:jc w:val="center"/>
                  </w:pPr>
                  <w:r>
                    <w:t xml:space="preserve">valor</w:t>
                  </w:r>
                </w:p>
              </w:tc>
            </w:tr>
            <w:tr>
              <w:tc>
                <w:tcPr/>
                <w:p>
                  <w:pPr>
                    <w:pStyle w:val="Compact"/>
                    <w:jc w:val="left"/>
                    <w:jc w:val="center"/>
                  </w:pPr>
                  <w:r>
                    <w:t xml:space="preserve">N</w:t>
                  </w:r>
                </w:p>
              </w:tc>
              <w:tc>
                <w:tcPr/>
                <w:p>
                  <w:pPr>
                    <w:pStyle w:val="Compact"/>
                    <w:jc w:val="left"/>
                    <w:jc w:val="center"/>
                  </w:pPr>
                  <w:r>
                    <w:t xml:space="preserve">4.173e+06</w:t>
                  </w:r>
                </w:p>
              </w:tc>
            </w:tr>
            <w:tr>
              <w:tc>
                <w:tcPr/>
                <w:p>
                  <w:pPr>
                    <w:pStyle w:val="Compact"/>
                    <w:jc w:val="left"/>
                    <w:jc w:val="center"/>
                  </w:pPr>
                  <w:r>
                    <w:t xml:space="preserve">Média</w:t>
                  </w:r>
                </w:p>
              </w:tc>
              <w:tc>
                <w:tcPr/>
                <w:p>
                  <w:pPr>
                    <w:pStyle w:val="Compact"/>
                    <w:jc w:val="left"/>
                    <w:jc w:val="center"/>
                  </w:pPr>
                  <w:r>
                    <w:t xml:space="preserve">1.145e-06</w:t>
                  </w:r>
                </w:p>
              </w:tc>
            </w:tr>
            <w:tr>
              <w:tc>
                <w:tcPr/>
                <w:p>
                  <w:pPr>
                    <w:pStyle w:val="Compact"/>
                    <w:jc w:val="left"/>
                    <w:jc w:val="center"/>
                  </w:pPr>
                  <w:r>
                    <w:t xml:space="preserve">Mediana</w:t>
                  </w:r>
                </w:p>
              </w:tc>
              <w:tc>
                <w:tcPr/>
                <w:p>
                  <w:pPr>
                    <w:pStyle w:val="Compact"/>
                    <w:jc w:val="left"/>
                    <w:jc w:val="center"/>
                  </w:pPr>
                  <w:r>
                    <w:t xml:space="preserve">1.292e-07</w:t>
                  </w:r>
                </w:p>
              </w:tc>
            </w:tr>
            <w:tr>
              <w:tc>
                <w:tcPr/>
                <w:p>
                  <w:pPr>
                    <w:pStyle w:val="Compact"/>
                    <w:jc w:val="left"/>
                    <w:jc w:val="center"/>
                  </w:pPr>
                  <w:r>
                    <w:t xml:space="preserve">Variância</w:t>
                  </w:r>
                </w:p>
              </w:tc>
              <w:tc>
                <w:tcPr/>
                <w:p>
                  <w:pPr>
                    <w:pStyle w:val="Compact"/>
                    <w:jc w:val="left"/>
                    <w:jc w:val="center"/>
                  </w:pPr>
                  <w:r>
                    <w:t xml:space="preserve">4.021e-11</w:t>
                  </w:r>
                </w:p>
              </w:tc>
            </w:tr>
            <w:tr>
              <w:tc>
                <w:tcPr/>
                <w:p>
                  <w:pPr>
                    <w:pStyle w:val="Compact"/>
                    <w:jc w:val="left"/>
                    <w:jc w:val="center"/>
                  </w:pPr>
                  <w:r>
                    <w:t xml:space="preserve">Desvio padrão</w:t>
                  </w:r>
                </w:p>
              </w:tc>
              <w:tc>
                <w:tcPr/>
                <w:p>
                  <w:pPr>
                    <w:pStyle w:val="Compact"/>
                    <w:jc w:val="left"/>
                    <w:jc w:val="center"/>
                  </w:pPr>
                  <w:r>
                    <w:t xml:space="preserve">6.341e-06</w:t>
                  </w:r>
                </w:p>
              </w:tc>
            </w:tr>
            <w:tr>
              <w:tc>
                <w:tcPr/>
                <w:p>
                  <w:pPr>
                    <w:pStyle w:val="Compact"/>
                    <w:jc w:val="left"/>
                    <w:jc w:val="center"/>
                  </w:pPr>
                  <w:r>
                    <w:t xml:space="preserve">Mínimo</w:t>
                  </w:r>
                </w:p>
              </w:tc>
              <w:tc>
                <w:tcPr/>
                <w:p>
                  <w:pPr>
                    <w:pStyle w:val="Compact"/>
                    <w:jc w:val="left"/>
                    <w:jc w:val="center"/>
                  </w:pPr>
                  <w:r>
                    <w:t xml:space="preserve">1.000e-09</w:t>
                  </w:r>
                </w:p>
              </w:tc>
            </w:tr>
            <w:tr>
              <w:tc>
                <w:tcPr/>
                <w:p>
                  <w:pPr>
                    <w:pStyle w:val="Compact"/>
                    <w:jc w:val="left"/>
                    <w:jc w:val="center"/>
                  </w:pPr>
                  <w:r>
                    <w:t xml:space="preserve">Máximo</w:t>
                  </w:r>
                </w:p>
              </w:tc>
              <w:tc>
                <w:tcPr/>
                <w:p>
                  <w:pPr>
                    <w:pStyle w:val="Compact"/>
                    <w:jc w:val="left"/>
                    <w:jc w:val="center"/>
                  </w:pPr>
                  <w:r>
                    <w:t xml:space="preserve">0.001464</w:t>
                  </w:r>
                </w:p>
              </w:tc>
            </w:tr>
            <w:tr>
              <w:tc>
                <w:tcPr/>
                <w:p>
                  <w:pPr>
                    <w:pStyle w:val="Compact"/>
                    <w:jc w:val="left"/>
                    <w:jc w:val="center"/>
                  </w:pPr>
                  <w:r>
                    <w:t xml:space="preserve">Q1</w:t>
                  </w:r>
                </w:p>
              </w:tc>
              <w:tc>
                <w:tcPr/>
                <w:p>
                  <w:pPr>
                    <w:pStyle w:val="Compact"/>
                    <w:jc w:val="left"/>
                    <w:jc w:val="center"/>
                  </w:pPr>
                  <w:r>
                    <w:t xml:space="preserve">1.402e-08</w:t>
                  </w:r>
                </w:p>
              </w:tc>
            </w:tr>
            <w:tr>
              <w:tc>
                <w:tcPr/>
                <w:p>
                  <w:pPr>
                    <w:pStyle w:val="Compact"/>
                    <w:jc w:val="left"/>
                    <w:jc w:val="center"/>
                  </w:pPr>
                  <w:r>
                    <w:t xml:space="preserve">Q3</w:t>
                  </w:r>
                </w:p>
              </w:tc>
              <w:tc>
                <w:tcPr/>
                <w:p>
                  <w:pPr>
                    <w:pStyle w:val="Compact"/>
                    <w:jc w:val="left"/>
                    <w:jc w:val="center"/>
                  </w:pPr>
                  <w:r>
                    <w:t xml:space="preserve">1.234e-06</w:t>
                  </w:r>
                </w:p>
              </w:tc>
            </w:tr>
            <w:tr>
              <w:tc>
                <w:tcPr/>
                <w:p>
                  <w:pPr>
                    <w:pStyle w:val="Compact"/>
                    <w:jc w:val="left"/>
                    <w:jc w:val="center"/>
                  </w:pPr>
                  <w:r>
                    <w:t xml:space="preserve">IQR</w:t>
                  </w:r>
                </w:p>
              </w:tc>
              <w:tc>
                <w:tcPr/>
                <w:p>
                  <w:pPr>
                    <w:pStyle w:val="Compact"/>
                    <w:jc w:val="left"/>
                    <w:jc w:val="center"/>
                  </w:pPr>
                  <w:r>
                    <w:t xml:space="preserve">1.220e-06</w:t>
                  </w:r>
                </w:p>
              </w:tc>
            </w:tr>
            <w:tr>
              <w:tc>
                <w:tcPr/>
                <w:p>
                  <w:pPr>
                    <w:pStyle w:val="Compact"/>
                    <w:jc w:val="left"/>
                    <w:jc w:val="center"/>
                  </w:pPr>
                  <w:r>
                    <w:t xml:space="preserve">CV</w:t>
                  </w:r>
                </w:p>
              </w:tc>
              <w:tc>
                <w:tcPr/>
                <w:p>
                  <w:pPr>
                    <w:pStyle w:val="Compact"/>
                    <w:jc w:val="left"/>
                    <w:jc w:val="center"/>
                  </w:pPr>
                  <w:r>
                    <w:t xml:space="preserve">5.537</w:t>
                  </w:r>
                </w:p>
              </w:tc>
            </w:tr>
            <w:tr>
              <w:tc>
                <w:tcPr/>
                <w:p>
                  <w:pPr>
                    <w:pStyle w:val="Compact"/>
                    <w:jc w:val="left"/>
                    <w:jc w:val="center"/>
                  </w:pPr>
                  <w:r>
                    <w:t xml:space="preserve">P90</w:t>
                  </w:r>
                </w:p>
              </w:tc>
              <w:tc>
                <w:tcPr/>
                <w:p>
                  <w:pPr>
                    <w:pStyle w:val="Compact"/>
                    <w:jc w:val="left"/>
                    <w:jc w:val="center"/>
                  </w:pPr>
                  <w:r>
                    <w:t xml:space="preserve">2.626e-06</w:t>
                  </w:r>
                </w:p>
              </w:tc>
            </w:tr>
            <w:tr>
              <w:tc>
                <w:tcPr/>
                <w:p>
                  <w:pPr>
                    <w:pStyle w:val="Compact"/>
                    <w:jc w:val="left"/>
                    <w:jc w:val="center"/>
                  </w:pPr>
                  <w:r>
                    <w:t xml:space="preserve">P95</w:t>
                  </w:r>
                </w:p>
              </w:tc>
              <w:tc>
                <w:tcPr/>
                <w:p>
                  <w:pPr>
                    <w:pStyle w:val="Compact"/>
                    <w:jc w:val="left"/>
                    <w:jc w:val="center"/>
                  </w:pPr>
                  <w:r>
                    <w:t xml:space="preserve">4.055e-06</w:t>
                  </w:r>
                </w:p>
              </w:tc>
            </w:tr>
            <w:tr>
              <w:tc>
                <w:tcPr/>
                <w:p>
                  <w:pPr>
                    <w:pStyle w:val="Compact"/>
                    <w:jc w:val="left"/>
                    <w:jc w:val="center"/>
                  </w:pPr>
                  <w:r>
                    <w:t xml:space="preserve">P99</w:t>
                  </w:r>
                </w:p>
              </w:tc>
              <w:tc>
                <w:tcPr/>
                <w:p>
                  <w:pPr>
                    <w:pStyle w:val="Compact"/>
                    <w:jc w:val="left"/>
                    <w:jc w:val="center"/>
                  </w:pPr>
                  <w:r>
                    <w:t xml:space="preserve">1.086e-05</w:t>
                  </w:r>
                </w:p>
              </w:tc>
            </w:tr>
            <w:tr>
              <w:tc>
                <w:tcPr/>
                <w:p>
                  <w:pPr>
                    <w:pStyle w:val="Compact"/>
                    <w:jc w:val="left"/>
                    <w:jc w:val="center"/>
                  </w:pPr>
                  <w:r>
                    <w:t xml:space="preserve">P99,9</w:t>
                  </w:r>
                </w:p>
              </w:tc>
              <w:tc>
                <w:tcPr/>
                <w:p>
                  <w:pPr>
                    <w:pStyle w:val="Compact"/>
                    <w:jc w:val="left"/>
                    <w:jc w:val="center"/>
                  </w:pPr>
                  <w:r>
                    <w:t xml:space="preserve">5.666e-05</w:t>
                  </w:r>
                </w:p>
              </w:tc>
            </w:tr>
            <w:tr>
              <w:tc>
                <w:tcPr/>
                <w:p>
                  <w:pPr>
                    <w:pStyle w:val="Compact"/>
                    <w:jc w:val="left"/>
                    <w:jc w:val="center"/>
                  </w:pPr>
                  <w:r>
                    <w:t xml:space="preserve">P99,99</w:t>
                  </w:r>
                </w:p>
              </w:tc>
              <w:tc>
                <w:tcPr/>
                <w:p>
                  <w:pPr>
                    <w:pStyle w:val="Compact"/>
                    <w:jc w:val="left"/>
                    <w:jc w:val="center"/>
                  </w:pPr>
                  <w:r>
                    <w:t xml:space="preserve">2.217e-04</w:t>
                  </w:r>
                </w:p>
              </w:tc>
            </w:tr>
            <w:tr>
              <w:tc>
                <w:tcPr/>
                <w:p>
                  <w:pPr>
                    <w:pStyle w:val="Compact"/>
                    <w:jc w:val="left"/>
                    <w:jc w:val="center"/>
                  </w:pPr>
                  <w:r>
                    <w:t xml:space="preserve">Assimetria (momento)</w:t>
                  </w:r>
                </w:p>
              </w:tc>
              <w:tc>
                <w:tcPr/>
                <w:p>
                  <w:pPr>
                    <w:pStyle w:val="Compact"/>
                    <w:jc w:val="left"/>
                    <w:jc w:val="center"/>
                  </w:pPr>
                  <w:r>
                    <w:t xml:space="preserve">80.89</w:t>
                  </w:r>
                </w:p>
              </w:tc>
            </w:tr>
            <w:tr>
              <w:tc>
                <w:tcPr/>
                <w:p>
                  <w:pPr>
                    <w:pStyle w:val="Compact"/>
                    <w:jc w:val="left"/>
                    <w:jc w:val="center"/>
                  </w:pPr>
                  <w:r>
                    <w:t xml:space="preserve">Curtose (Pearson)</w:t>
                  </w:r>
                </w:p>
              </w:tc>
              <w:tc>
                <w:tcPr/>
                <w:p>
                  <w:pPr>
                    <w:pStyle w:val="Compact"/>
                    <w:jc w:val="left"/>
                    <w:jc w:val="center"/>
                  </w:pPr>
                  <w:r>
                    <w:t xml:space="preserve">11707</w:t>
                  </w:r>
                </w:p>
              </w:tc>
            </w:tr>
          </w:tbl>
          <w:bookmarkEnd w:id="40"/>
          <w:p/>
        </w:tc>
      </w:tr>
    </w:tbl>
    <w:p>
      <w:pPr>
        <w:pStyle w:val="BodyText"/>
      </w:pPr>
      <w:r>
        <w:t xml:space="preserve">A média é 1.145e-06 W m⁻² e a mediana é 1.292e-07 W m⁻². O máximo é 1.464e-03 W m⁻², correspondendo a 1.13337</w:t>
      </w:r>
      <w:r>
        <w:t xml:space="preserve">^{4} vezes a mediana. A assimetria empírica é 80.89 e a curtose é 1.170723</w:t>
      </w:r>
      <w:r>
        <w:t xml:space="preserve">^{4}. Esses valores quantificam a discrepância entre a região central e a cauda; não demonstram, sozinhos, uma lei de potência assintótica.</w:t>
      </w:r>
    </w:p>
    <w:p>
      <w:pPr>
        <w:pStyle w:val="BodyText"/>
      </w:pPr>
      <w:r>
        <w:t xml:space="preserve">Os gráficos de distribuição usam uma amostra aleatória de até 20.000 minutos, com semente fixa,</w:t>
      </w:r>
      <w:r>
        <w:t xml:space="preserve"> </w:t>
      </w:r>
      <w:r>
        <w:rPr>
          <w:b/>
          <w:bCs/>
        </w:rPr>
        <w:t xml:space="preserve">exclusivamente para visualização</w:t>
      </w:r>
      <w:r>
        <w:t xml:space="preserve">. Estatísticas, quantis, máximos, seleção de eventos e ajustes utilizam todos os dados pertinentes. Frequências dos histogramas são da amostra visual; sua suavização e aparência não substituem a inferência na cauda.</w:t>
      </w:r>
    </w:p>
    <w:tbl>
      <w:tblPr>
        <w:tblStyle w:val="Table"/>
        <w:tblW w:type="pct" w:w="5000"/>
        <w:tblLayout w:type="fixed"/>
        <w:tblLook w:firstRow="0" w:lastRow="0" w:firstColumn="0" w:lastColumn="0" w:noHBand="0" w:noVBand="0" w:val="0000"/>
      </w:tblPr>
      <w:tblGrid>
        <w:gridCol w:w="7920"/>
      </w:tblGrid>
      <w:tr>
        <w:tc>
          <w:tcPr/>
          <w:bookmarkStart w:id="44" w:name="fig-distribuicao-1"/>
          <w:p>
            <w:pPr>
              <w:pStyle w:val="Compact"/>
              <w:jc w:val="center"/>
            </w:pPr>
            <w:r>
              <w:drawing>
                <wp:inline>
                  <wp:extent cx="5829300" cy="2975821"/>
                  <wp:effectExtent b="0" l="0" r="0" t="0"/>
                  <wp:docPr descr="" title="" id="42" name="Picture"/>
                  <a:graphic>
                    <a:graphicData uri="http://schemas.openxmlformats.org/drawingml/2006/picture">
                      <pic:pic>
                        <pic:nvPicPr>
                          <pic:cNvPr descr="figuras/histograma.png" id="43" name="Picture"/>
                          <pic:cNvPicPr>
                            <a:picLocks noChangeArrowheads="1" noChangeAspect="1"/>
                          </pic:cNvPicPr>
                        </pic:nvPicPr>
                        <pic:blipFill>
                          <a:blip r:embed="rId41"/>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Histogramas nas escalas original e logarítmica, densidade na escala original e boxplots. O boxplot com eixo log10 resume a distribuição transformada.</w:t>
            </w:r>
          </w:p>
          <w:bookmarkEnd w:id="44"/>
        </w:tc>
      </w:tr>
    </w:tbl>
    <w:tbl>
      <w:tblPr>
        <w:tblStyle w:val="Table"/>
        <w:tblW w:type="pct" w:w="5000"/>
        <w:tblLayout w:type="fixed"/>
        <w:tblLook w:firstRow="0" w:lastRow="0" w:firstColumn="0" w:lastColumn="0" w:noHBand="0" w:noVBand="0" w:val="0000"/>
      </w:tblPr>
      <w:tblGrid>
        <w:gridCol w:w="7920"/>
      </w:tblGrid>
      <w:tr>
        <w:tc>
          <w:tcPr/>
          <w:bookmarkStart w:id="48" w:name="fig-distribuicao-2"/>
          <w:p>
            <w:pPr>
              <w:pStyle w:val="Compact"/>
              <w:jc w:val="center"/>
            </w:pPr>
            <w:r>
              <w:drawing>
                <wp:inline>
                  <wp:extent cx="5829300" cy="2975821"/>
                  <wp:effectExtent b="0" l="0" r="0" t="0"/>
                  <wp:docPr descr="" title="" id="46" name="Picture"/>
                  <a:graphic>
                    <a:graphicData uri="http://schemas.openxmlformats.org/drawingml/2006/picture">
                      <pic:pic>
                        <pic:nvPicPr>
                          <pic:cNvPr descr="figuras/histograma_log.png" id="47" name="Picture"/>
                          <pic:cNvPicPr>
                            <a:picLocks noChangeArrowheads="1" noChangeAspect="1"/>
                          </pic:cNvPicPr>
                        </pic:nvPicPr>
                        <pic:blipFill>
                          <a:blip r:embed="rId45"/>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Histogramas nas escalas original e logarítmica, densidade na escala original e boxplots. O boxplot com eixo log10 resume a distribuição transformada.</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distribuicao-3"/>
          <w:p>
            <w:pPr>
              <w:pStyle w:val="Compact"/>
              <w:jc w:val="center"/>
            </w:pPr>
            <w:r>
              <w:drawing>
                <wp:inline>
                  <wp:extent cx="5829300" cy="2975821"/>
                  <wp:effectExtent b="0" l="0" r="0" t="0"/>
                  <wp:docPr descr="" title="" id="50" name="Picture"/>
                  <a:graphic>
                    <a:graphicData uri="http://schemas.openxmlformats.org/drawingml/2006/picture">
                      <pic:pic>
                        <pic:nvPicPr>
                          <pic:cNvPr descr="figuras/densidade.png" id="51" name="Picture"/>
                          <pic:cNvPicPr>
                            <a:picLocks noChangeArrowheads="1" noChangeAspect="1"/>
                          </pic:cNvPicPr>
                        </pic:nvPicPr>
                        <pic:blipFill>
                          <a:blip r:embed="rId49"/>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Histogramas nas escalas original e logarítmica, densidade na escala original e boxplots. O boxplot com eixo log10 resume a distribuição transformada.</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distribuicao-4"/>
          <w:p>
            <w:pPr>
              <w:pStyle w:val="Compact"/>
              <w:jc w:val="center"/>
            </w:pPr>
            <w:r>
              <w:drawing>
                <wp:inline>
                  <wp:extent cx="5829300" cy="2975821"/>
                  <wp:effectExtent b="0" l="0" r="0" t="0"/>
                  <wp:docPr descr="" title="" id="54" name="Picture"/>
                  <a:graphic>
                    <a:graphicData uri="http://schemas.openxmlformats.org/drawingml/2006/picture">
                      <pic:pic>
                        <pic:nvPicPr>
                          <pic:cNvPr descr="figuras/boxplot.png" id="55" name="Picture"/>
                          <pic:cNvPicPr>
                            <a:picLocks noChangeArrowheads="1" noChangeAspect="1"/>
                          </pic:cNvPicPr>
                        </pic:nvPicPr>
                        <pic:blipFill>
                          <a:blip r:embed="rId53"/>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Histogramas nas escalas original e logarítmica, densidade na escala original e boxplots. O boxplot com eixo log10 resume a distribuição transformada.</w:t>
            </w:r>
          </w:p>
          <w:bookmarkEnd w:id="56"/>
        </w:tc>
      </w:tr>
    </w:tbl>
    <w:tbl>
      <w:tblPr>
        <w:tblStyle w:val="Table"/>
        <w:tblW w:type="pct" w:w="5000"/>
        <w:tblLayout w:type="fixed"/>
        <w:tblLook w:firstRow="0" w:lastRow="0" w:firstColumn="0" w:lastColumn="0" w:noHBand="0" w:noVBand="0" w:val="0000"/>
      </w:tblPr>
      <w:tblGrid>
        <w:gridCol w:w="7920"/>
      </w:tblGrid>
      <w:tr>
        <w:tc>
          <w:tcPr/>
          <w:bookmarkStart w:id="60" w:name="fig-distribuicao-5"/>
          <w:p>
            <w:pPr>
              <w:pStyle w:val="Compact"/>
              <w:jc w:val="center"/>
            </w:pPr>
            <w:r>
              <w:drawing>
                <wp:inline>
                  <wp:extent cx="5829300" cy="2975821"/>
                  <wp:effectExtent b="0" l="0" r="0" t="0"/>
                  <wp:docPr descr="" title="" id="58" name="Picture"/>
                  <a:graphic>
                    <a:graphicData uri="http://schemas.openxmlformats.org/drawingml/2006/picture">
                      <pic:pic>
                        <pic:nvPicPr>
                          <pic:cNvPr descr="figuras/boxplot_log.png" id="59" name="Picture"/>
                          <pic:cNvPicPr>
                            <a:picLocks noChangeArrowheads="1" noChangeAspect="1"/>
                          </pic:cNvPicPr>
                        </pic:nvPicPr>
                        <pic:blipFill>
                          <a:blip r:embed="rId57"/>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Histogramas nas escalas original e logarítmica, densidade na escala original e boxplots. O boxplot com eixo log10 resume a distribuição transformada.</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normal"/>
          <w:p>
            <w:pPr>
              <w:pStyle w:val="Compact"/>
              <w:jc w:val="center"/>
            </w:pPr>
            <w:r>
              <w:drawing>
                <wp:inline>
                  <wp:extent cx="5829300" cy="2975821"/>
                  <wp:effectExtent b="0" l="0" r="0" t="0"/>
                  <wp:docPr descr="" title="" id="62" name="Picture"/>
                  <a:graphic>
                    <a:graphicData uri="http://schemas.openxmlformats.org/drawingml/2006/picture">
                      <pic:pic>
                        <pic:nvPicPr>
                          <pic:cNvPr descr="figuras/qq_normal.png" id="63" name="Picture"/>
                          <pic:cNvPicPr>
                            <a:picLocks noChangeArrowheads="1" noChangeAspect="1"/>
                          </pic:cNvPicPr>
                        </pic:nvPicPr>
                        <pic:blipFill>
                          <a:blip r:embed="rId61"/>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8: QQ-plot contra a distribuição Normal; o afastamento sistemático da reta nas caudas deve ser avaliado junto à assimetria e à heterogeneidade temporal.</w:t>
            </w:r>
          </w:p>
          <w:bookmarkEnd w:id="64"/>
        </w:tc>
      </w:tr>
    </w:tbl>
    <w:p>
      <w:pPr>
        <w:pStyle w:val="BodyText"/>
      </w:pPr>
      <w:r>
        <w:t xml:space="preserve">A Normal é uma referência diagnóstica, não o modelo presumido do fluxo. A restrição física a valores positivos, a assimetria e os picos devem ser confrontados com o QQ-plot. Um desvio de normalidade não identifica automaticamente o domínio Fréchet: a forma da GEV e sua incerteza respondem a uma pergunta distinta, sobre máximos por blocos.</w:t>
      </w:r>
    </w:p>
    <w:bookmarkEnd w:id="65"/>
    <w:bookmarkStart w:id="104" w:name="X71f0146e9829d674a8e0ffb6a6cde81069e0aa0"/>
    <w:p>
      <w:pPr>
        <w:pStyle w:val="Heading1"/>
      </w:pPr>
      <w:r>
        <w:t xml:space="preserve">5. Análise temporal e possível mudança de distribuição</w:t>
      </w:r>
    </w:p>
    <w:tbl>
      <w:tblPr>
        <w:tblStyle w:val="Table"/>
        <w:tblW w:type="pct" w:w="5000"/>
        <w:tblLayout w:type="fixed"/>
        <w:tblLook w:firstRow="0" w:lastRow="0" w:firstColumn="0" w:lastColumn="0" w:noHBand="0" w:noVBand="0" w:val="0000"/>
      </w:tblPr>
      <w:tblGrid>
        <w:gridCol w:w="7920"/>
      </w:tblGrid>
      <w:tr>
        <w:tc>
          <w:tcPr/>
          <w:bookmarkStart w:id="69" w:name="fig-diarias-1"/>
          <w:p>
            <w:pPr>
              <w:pStyle w:val="Compact"/>
              <w:jc w:val="center"/>
            </w:pPr>
            <w:r>
              <w:drawing>
                <wp:inline>
                  <wp:extent cx="5829300" cy="2975821"/>
                  <wp:effectExtent b="0" l="0" r="0" t="0"/>
                  <wp:docPr descr="" title="" id="67" name="Picture"/>
                  <a:graphic>
                    <a:graphicData uri="http://schemas.openxmlformats.org/drawingml/2006/picture">
                      <pic:pic>
                        <pic:nvPicPr>
                          <pic:cNvPr descr="figuras/diario_mediana.png" id="68" name="Picture"/>
                          <pic:cNvPicPr>
                            <a:picLocks noChangeArrowheads="1" noChangeAspect="1"/>
                          </pic:cNvPicPr>
                        </pic:nvPicPr>
                        <pic:blipFill>
                          <a:blip r:embed="rId66"/>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9: Mediana, média e máximo diários calculados com todos os minutos válidos. Dias vazios permanecem como lacunas.</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diarias-2"/>
          <w:p>
            <w:pPr>
              <w:pStyle w:val="Compact"/>
              <w:jc w:val="center"/>
            </w:pPr>
            <w:r>
              <w:drawing>
                <wp:inline>
                  <wp:extent cx="5829300" cy="2975821"/>
                  <wp:effectExtent b="0" l="0" r="0" t="0"/>
                  <wp:docPr descr="" title="" id="71" name="Picture"/>
                  <a:graphic>
                    <a:graphicData uri="http://schemas.openxmlformats.org/drawingml/2006/picture">
                      <pic:pic>
                        <pic:nvPicPr>
                          <pic:cNvPr descr="figuras/diario_media.png" id="72" name="Picture"/>
                          <pic:cNvPicPr>
                            <a:picLocks noChangeArrowheads="1" noChangeAspect="1"/>
                          </pic:cNvPicPr>
                        </pic:nvPicPr>
                        <pic:blipFill>
                          <a:blip r:embed="rId70"/>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10: Mediana, média e máximo diários calculados com todos os minutos válidos. Dias vazios permanecem como lacunas.</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diarias-3"/>
          <w:p>
            <w:pPr>
              <w:pStyle w:val="Compact"/>
              <w:jc w:val="center"/>
            </w:pPr>
            <w:r>
              <w:drawing>
                <wp:inline>
                  <wp:extent cx="5829300" cy="2975821"/>
                  <wp:effectExtent b="0" l="0" r="0" t="0"/>
                  <wp:docPr descr="" title="" id="75" name="Picture"/>
                  <a:graphic>
                    <a:graphicData uri="http://schemas.openxmlformats.org/drawingml/2006/picture">
                      <pic:pic>
                        <pic:nvPicPr>
                          <pic:cNvPr descr="figuras/diario_maximo.png" id="76" name="Picture"/>
                          <pic:cNvPicPr>
                            <a:picLocks noChangeArrowheads="1" noChangeAspect="1"/>
                          </pic:cNvPicPr>
                        </pic:nvPicPr>
                        <pic:blipFill>
                          <a:blip r:embed="rId74"/>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11: Mediana, média e máximo diários calculados com todos os minutos válidos. Dias vazios permanecem como lacunas.</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anuais-1"/>
          <w:p>
            <w:pPr>
              <w:pStyle w:val="Compact"/>
              <w:jc w:val="center"/>
            </w:pPr>
            <w:r>
              <w:drawing>
                <wp:inline>
                  <wp:extent cx="5829300" cy="2975821"/>
                  <wp:effectExtent b="0" l="0" r="0" t="0"/>
                  <wp:docPr descr="" title="" id="79" name="Picture"/>
                  <a:graphic>
                    <a:graphicData uri="http://schemas.openxmlformats.org/drawingml/2006/picture">
                      <pic:pic>
                        <pic:nvPicPr>
                          <pic:cNvPr descr="figuras/boxplots_ano.png" id="80" name="Picture"/>
                          <pic:cNvPicPr>
                            <a:picLocks noChangeArrowheads="1" noChangeAspect="1"/>
                          </pic:cNvPicPr>
                        </pic:nvPicPr>
                        <pic:blipFill>
                          <a:blip r:embed="rId78"/>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12: Distribuições anuais na amostra visual e evolução de mediana, P95, P99 e máximo anuais calculados sobre a base completa.</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anuais-2"/>
          <w:p>
            <w:pPr>
              <w:pStyle w:val="Compact"/>
              <w:jc w:val="center"/>
            </w:pPr>
            <w:r>
              <w:drawing>
                <wp:inline>
                  <wp:extent cx="5829300" cy="2975821"/>
                  <wp:effectExtent b="0" l="0" r="0" t="0"/>
                  <wp:docPr descr="" title="" id="83" name="Picture"/>
                  <a:graphic>
                    <a:graphicData uri="http://schemas.openxmlformats.org/drawingml/2006/picture">
                      <pic:pic>
                        <pic:nvPicPr>
                          <pic:cNvPr descr="figuras/maximos_diarios_por_ano.png" id="84" name="Picture"/>
                          <pic:cNvPicPr>
                            <a:picLocks noChangeArrowheads="1" noChangeAspect="1"/>
                          </pic:cNvPicPr>
                        </pic:nvPicPr>
                        <pic:blipFill>
                          <a:blip r:embed="rId82"/>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13: Distribuições anuais na amostra visual e evolução de mediana, P95, P99 e máximo anuais calculados sobre a base completa.</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anuais-3"/>
          <w:p>
            <w:pPr>
              <w:pStyle w:val="Compact"/>
              <w:jc w:val="center"/>
            </w:pPr>
            <w:r>
              <w:drawing>
                <wp:inline>
                  <wp:extent cx="5829300" cy="2975821"/>
                  <wp:effectExtent b="0" l="0" r="0" t="0"/>
                  <wp:docPr descr="" title="" id="87" name="Picture"/>
                  <a:graphic>
                    <a:graphicData uri="http://schemas.openxmlformats.org/drawingml/2006/picture">
                      <pic:pic>
                        <pic:nvPicPr>
                          <pic:cNvPr descr="figuras/anual_mediana.png" id="88" name="Picture"/>
                          <pic:cNvPicPr>
                            <a:picLocks noChangeArrowheads="1" noChangeAspect="1"/>
                          </pic:cNvPicPr>
                        </pic:nvPicPr>
                        <pic:blipFill>
                          <a:blip r:embed="rId86"/>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14: Distribuições anuais na amostra visual e evolução de mediana, P95, P99 e máximo anuais calculados sobre a base completa.</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anuais-4"/>
          <w:p>
            <w:pPr>
              <w:pStyle w:val="Compact"/>
              <w:jc w:val="center"/>
            </w:pPr>
            <w:r>
              <w:drawing>
                <wp:inline>
                  <wp:extent cx="5829300" cy="2975821"/>
                  <wp:effectExtent b="0" l="0" r="0" t="0"/>
                  <wp:docPr descr="" title="" id="91" name="Picture"/>
                  <a:graphic>
                    <a:graphicData uri="http://schemas.openxmlformats.org/drawingml/2006/picture">
                      <pic:pic>
                        <pic:nvPicPr>
                          <pic:cNvPr descr="figuras/anual_p95.png" id="92" name="Picture"/>
                          <pic:cNvPicPr>
                            <a:picLocks noChangeArrowheads="1" noChangeAspect="1"/>
                          </pic:cNvPicPr>
                        </pic:nvPicPr>
                        <pic:blipFill>
                          <a:blip r:embed="rId90"/>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15: Distribuições anuais na amostra visual e evolução de mediana, P95, P99 e máximo anuais calculados sobre a base completa.</w:t>
            </w:r>
          </w:p>
          <w:bookmarkEnd w:id="93"/>
        </w:tc>
      </w:tr>
    </w:tbl>
    <w:tbl>
      <w:tblPr>
        <w:tblStyle w:val="Table"/>
        <w:tblW w:type="pct" w:w="5000"/>
        <w:tblLayout w:type="fixed"/>
        <w:tblLook w:firstRow="0" w:lastRow="0" w:firstColumn="0" w:lastColumn="0" w:noHBand="0" w:noVBand="0" w:val="0000"/>
      </w:tblPr>
      <w:tblGrid>
        <w:gridCol w:w="7920"/>
      </w:tblGrid>
      <w:tr>
        <w:tc>
          <w:tcPr/>
          <w:bookmarkStart w:id="97" w:name="fig-anuais-5"/>
          <w:p>
            <w:pPr>
              <w:pStyle w:val="Compact"/>
              <w:jc w:val="center"/>
            </w:pPr>
            <w:r>
              <w:drawing>
                <wp:inline>
                  <wp:extent cx="5829300" cy="2975821"/>
                  <wp:effectExtent b="0" l="0" r="0" t="0"/>
                  <wp:docPr descr="" title="" id="95" name="Picture"/>
                  <a:graphic>
                    <a:graphicData uri="http://schemas.openxmlformats.org/drawingml/2006/picture">
                      <pic:pic>
                        <pic:nvPicPr>
                          <pic:cNvPr descr="figuras/anual_p99.png" id="96" name="Picture"/>
                          <pic:cNvPicPr>
                            <a:picLocks noChangeArrowheads="1" noChangeAspect="1"/>
                          </pic:cNvPicPr>
                        </pic:nvPicPr>
                        <pic:blipFill>
                          <a:blip r:embed="rId94"/>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16: Distribuições anuais na amostra visual e evolução de mediana, P95, P99 e máximo anuais calculados sobre a base completa.</w:t>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fig-anuais-6"/>
          <w:p>
            <w:pPr>
              <w:pStyle w:val="Compact"/>
              <w:jc w:val="center"/>
            </w:pPr>
            <w:r>
              <w:drawing>
                <wp:inline>
                  <wp:extent cx="5829300" cy="2975821"/>
                  <wp:effectExtent b="0" l="0" r="0" t="0"/>
                  <wp:docPr descr="" title="" id="99" name="Picture"/>
                  <a:graphic>
                    <a:graphicData uri="http://schemas.openxmlformats.org/drawingml/2006/picture">
                      <pic:pic>
                        <pic:nvPicPr>
                          <pic:cNvPr descr="figuras/anual_maximo.png" id="100" name="Picture"/>
                          <pic:cNvPicPr>
                            <a:picLocks noChangeArrowheads="1" noChangeAspect="1"/>
                          </pic:cNvPicPr>
                        </pic:nvPicPr>
                        <pic:blipFill>
                          <a:blip r:embed="rId98"/>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17: Distribuições anuais na amostra visual e evolução de mediana, P95, P99 e máximo anuais calculados sobre a base completa.</w:t>
            </w:r>
          </w:p>
          <w:bookmarkEnd w:id="101"/>
        </w:tc>
      </w:tr>
    </w:tbl>
    <w:tbl>
      <w:tblPr>
        <w:tblStyle w:val="Table"/>
        <w:tblW w:type="pct" w:w="5000"/>
        <w:tblLayout w:type="fixed"/>
        <w:tblLook w:firstRow="0" w:lastRow="0" w:firstColumn="0" w:lastColumn="0" w:noHBand="0" w:noVBand="0" w:val="0000"/>
      </w:tblPr>
      <w:tblGrid>
        <w:gridCol w:w="7920"/>
      </w:tblGrid>
      <w:tr>
        <w:tc>
          <w:tcPr/>
          <w:bookmarkStart w:id="102" w:name="tbl-anuais"/>
          <w:p>
            <w:pPr>
              <w:jc w:val="center"/>
            </w:pPr>
            <w:pPr>
              <w:jc w:val="start"/>
              <w:spacing w:before="200"/>
              <w:pStyle w:val="ImageCaption"/>
            </w:pPr>
            <w:r>
              <w:t xml:space="preserve">Tabela 7: Intensidade anual do fluxo: estatísticas em W m⁻² e número de minutos válidos.</w:t>
            </w:r>
          </w:p>
          <w:p>
            <w:pPr>
              <w:pStyle w:val="Compact"/>
              <w:jc w:val="center"/>
            </w:pPr>
            <w:r>
              <w:t xml:space="preserve">Intensidade anual do fluxo: estatísticas em W m⁻² e número de minutos válidos.</w:t>
            </w:r>
          </w:p>
          <w:tbl>
            <w:tblPr>
              <w:tblStyle w:val="Table"/>
              <w:tblW w:type="pct" w:w="5000"/>
              <w:tblLayout w:type="fixed"/>
              <w:tblLook w:firstRow="1" w:lastRow="0" w:firstColumn="0" w:lastColumn="0" w:noHBand="0" w:noVBand="0" w:val="0020"/>
              <w:tblCaption w:val="Intensidade anual do fluxo: estatísticas em W m⁻² e número de minutos válidos."/>
            </w:tblPr>
            <w:tblGrid>
              <w:gridCol w:w="827"/>
              <w:gridCol w:w="1182"/>
              <w:gridCol w:w="1182"/>
              <w:gridCol w:w="1182"/>
              <w:gridCol w:w="1182"/>
              <w:gridCol w:w="1182"/>
              <w:gridCol w:w="1182"/>
            </w:tblGrid>
            <w:tr>
              <w:trPr>
                <w:tblHeader w:val="on"/>
              </w:trPr>
              <w:tc>
                <w:tcPr/>
                <w:p>
                  <w:pPr>
                    <w:pStyle w:val="Compact"/>
                    <w:jc w:val="left"/>
                    <w:jc w:val="center"/>
                  </w:pPr>
                  <w:r>
                    <w:t xml:space="preserve">ano</w:t>
                  </w:r>
                </w:p>
              </w:tc>
              <w:tc>
                <w:tcPr/>
                <w:p>
                  <w:pPr>
                    <w:pStyle w:val="Compact"/>
                    <w:jc w:val="left"/>
                    <w:jc w:val="center"/>
                  </w:pPr>
                  <w:r>
                    <w:t xml:space="preserve">n</w:t>
                  </w:r>
                </w:p>
              </w:tc>
              <w:tc>
                <w:tcPr/>
                <w:p>
                  <w:pPr>
                    <w:pStyle w:val="Compact"/>
                    <w:jc w:val="left"/>
                    <w:jc w:val="center"/>
                  </w:pPr>
                  <w:r>
                    <w:t xml:space="preserve">media</w:t>
                  </w:r>
                </w:p>
              </w:tc>
              <w:tc>
                <w:tcPr/>
                <w:p>
                  <w:pPr>
                    <w:pStyle w:val="Compact"/>
                    <w:jc w:val="left"/>
                    <w:jc w:val="center"/>
                  </w:pPr>
                  <w:r>
                    <w:t xml:space="preserve">mediana</w:t>
                  </w:r>
                </w:p>
              </w:tc>
              <w:tc>
                <w:tcPr/>
                <w:p>
                  <w:pPr>
                    <w:pStyle w:val="Compact"/>
                    <w:jc w:val="left"/>
                    <w:jc w:val="center"/>
                  </w:pPr>
                  <w:r>
                    <w:t xml:space="preserve">p95</w:t>
                  </w:r>
                </w:p>
              </w:tc>
              <w:tc>
                <w:tcPr/>
                <w:p>
                  <w:pPr>
                    <w:pStyle w:val="Compact"/>
                    <w:jc w:val="left"/>
                    <w:jc w:val="center"/>
                  </w:pPr>
                  <w:r>
                    <w:t xml:space="preserve">p99</w:t>
                  </w:r>
                </w:p>
              </w:tc>
              <w:tc>
                <w:tcPr/>
                <w:p>
                  <w:pPr>
                    <w:pStyle w:val="Compact"/>
                    <w:jc w:val="left"/>
                    <w:jc w:val="center"/>
                  </w:pPr>
                  <w:r>
                    <w:t xml:space="preserve">maximo</w:t>
                  </w:r>
                </w:p>
              </w:tc>
            </w:tr>
            <w:tr>
              <w:tc>
                <w:tcPr/>
                <w:p>
                  <w:pPr>
                    <w:pStyle w:val="Compact"/>
                    <w:jc w:val="left"/>
                    <w:jc w:val="center"/>
                  </w:pPr>
                  <w:r>
                    <w:t xml:space="preserve">2017</w:t>
                  </w:r>
                </w:p>
              </w:tc>
              <w:tc>
                <w:tcPr/>
                <w:p>
                  <w:pPr>
                    <w:pStyle w:val="Compact"/>
                    <w:jc w:val="left"/>
                    <w:jc w:val="center"/>
                  </w:pPr>
                  <w:r>
                    <w:t xml:space="preserve">4.243e+05</w:t>
                  </w:r>
                </w:p>
              </w:tc>
              <w:tc>
                <w:tcPr/>
                <w:p>
                  <w:pPr>
                    <w:pStyle w:val="Compact"/>
                    <w:jc w:val="left"/>
                    <w:jc w:val="center"/>
                  </w:pPr>
                  <w:r>
                    <w:t xml:space="preserve">6.164e-07</w:t>
                  </w:r>
                </w:p>
              </w:tc>
              <w:tc>
                <w:tcPr/>
                <w:p>
                  <w:pPr>
                    <w:pStyle w:val="Compact"/>
                    <w:jc w:val="left"/>
                    <w:jc w:val="center"/>
                  </w:pPr>
                  <w:r>
                    <w:t xml:space="preserve">5.821e-08</w:t>
                  </w:r>
                </w:p>
              </w:tc>
              <w:tc>
                <w:tcPr/>
                <w:p>
                  <w:pPr>
                    <w:pStyle w:val="Compact"/>
                    <w:jc w:val="left"/>
                    <w:jc w:val="center"/>
                  </w:pPr>
                  <w:r>
                    <w:t xml:space="preserve">9.310e-07</w:t>
                  </w:r>
                </w:p>
              </w:tc>
              <w:tc>
                <w:tcPr/>
                <w:p>
                  <w:pPr>
                    <w:pStyle w:val="Compact"/>
                    <w:jc w:val="left"/>
                    <w:jc w:val="center"/>
                  </w:pPr>
                  <w:r>
                    <w:t xml:space="preserve">5.563e-06</w:t>
                  </w:r>
                </w:p>
              </w:tc>
              <w:tc>
                <w:tcPr/>
                <w:p>
                  <w:pPr>
                    <w:pStyle w:val="Compact"/>
                    <w:jc w:val="left"/>
                    <w:jc w:val="center"/>
                  </w:pPr>
                  <w:r>
                    <w:t xml:space="preserve">0.001464</w:t>
                  </w:r>
                </w:p>
              </w:tc>
            </w:tr>
            <w:tr>
              <w:tc>
                <w:tcPr/>
                <w:p>
                  <w:pPr>
                    <w:pStyle w:val="Compact"/>
                    <w:jc w:val="left"/>
                    <w:jc w:val="center"/>
                  </w:pPr>
                  <w:r>
                    <w:t xml:space="preserve">2018</w:t>
                  </w:r>
                </w:p>
              </w:tc>
              <w:tc>
                <w:tcPr/>
                <w:p>
                  <w:pPr>
                    <w:pStyle w:val="Compact"/>
                    <w:jc w:val="left"/>
                    <w:jc w:val="center"/>
                  </w:pPr>
                  <w:r>
                    <w:t xml:space="preserve">5.148e+05</w:t>
                  </w:r>
                </w:p>
              </w:tc>
              <w:tc>
                <w:tcPr/>
                <w:p>
                  <w:pPr>
                    <w:pStyle w:val="Compact"/>
                    <w:jc w:val="left"/>
                    <w:jc w:val="center"/>
                  </w:pPr>
                  <w:r>
                    <w:t xml:space="preserve">2.938e-08</w:t>
                  </w:r>
                </w:p>
              </w:tc>
              <w:tc>
                <w:tcPr/>
                <w:p>
                  <w:pPr>
                    <w:pStyle w:val="Compact"/>
                    <w:jc w:val="left"/>
                    <w:jc w:val="center"/>
                  </w:pPr>
                  <w:r>
                    <w:t xml:space="preserve">1.091e-08</w:t>
                  </w:r>
                </w:p>
              </w:tc>
              <w:tc>
                <w:tcPr/>
                <w:p>
                  <w:pPr>
                    <w:pStyle w:val="Compact"/>
                    <w:jc w:val="left"/>
                    <w:jc w:val="center"/>
                  </w:pPr>
                  <w:r>
                    <w:t xml:space="preserve">1.032e-07</w:t>
                  </w:r>
                </w:p>
              </w:tc>
              <w:tc>
                <w:tcPr/>
                <w:p>
                  <w:pPr>
                    <w:pStyle w:val="Compact"/>
                    <w:jc w:val="left"/>
                    <w:jc w:val="center"/>
                  </w:pPr>
                  <w:r>
                    <w:t xml:space="preserve">2.404e-07</w:t>
                  </w:r>
                </w:p>
              </w:tc>
              <w:tc>
                <w:tcPr/>
                <w:p>
                  <w:pPr>
                    <w:pStyle w:val="Compact"/>
                    <w:jc w:val="left"/>
                    <w:jc w:val="center"/>
                  </w:pPr>
                  <w:r>
                    <w:t xml:space="preserve">1.261e-05</w:t>
                  </w:r>
                </w:p>
              </w:tc>
            </w:tr>
            <w:tr>
              <w:tc>
                <w:tcPr/>
                <w:p>
                  <w:pPr>
                    <w:pStyle w:val="Compact"/>
                    <w:jc w:val="left"/>
                    <w:jc w:val="center"/>
                  </w:pPr>
                  <w:r>
                    <w:t xml:space="preserve">2019</w:t>
                  </w:r>
                </w:p>
              </w:tc>
              <w:tc>
                <w:tcPr/>
                <w:p>
                  <w:pPr>
                    <w:pStyle w:val="Compact"/>
                    <w:jc w:val="left"/>
                    <w:jc w:val="center"/>
                  </w:pPr>
                  <w:r>
                    <w:t xml:space="preserve">5.154e+05</w:t>
                  </w:r>
                </w:p>
              </w:tc>
              <w:tc>
                <w:tcPr/>
                <w:p>
                  <w:pPr>
                    <w:pStyle w:val="Compact"/>
                    <w:jc w:val="left"/>
                    <w:jc w:val="center"/>
                  </w:pPr>
                  <w:r>
                    <w:t xml:space="preserve">2.626e-08</w:t>
                  </w:r>
                </w:p>
              </w:tc>
              <w:tc>
                <w:tcPr/>
                <w:p>
                  <w:pPr>
                    <w:pStyle w:val="Compact"/>
                    <w:jc w:val="left"/>
                    <w:jc w:val="center"/>
                  </w:pPr>
                  <w:r>
                    <w:t xml:space="preserve">5.415e-09</w:t>
                  </w:r>
                </w:p>
              </w:tc>
              <w:tc>
                <w:tcPr/>
                <w:p>
                  <w:pPr>
                    <w:pStyle w:val="Compact"/>
                    <w:jc w:val="left"/>
                    <w:jc w:val="center"/>
                  </w:pPr>
                  <w:r>
                    <w:t xml:space="preserve">1.058e-07</w:t>
                  </w:r>
                </w:p>
              </w:tc>
              <w:tc>
                <w:tcPr/>
                <w:p>
                  <w:pPr>
                    <w:pStyle w:val="Compact"/>
                    <w:jc w:val="left"/>
                    <w:jc w:val="center"/>
                  </w:pPr>
                  <w:r>
                    <w:t xml:space="preserve">3.600e-07</w:t>
                  </w:r>
                </w:p>
              </w:tc>
              <w:tc>
                <w:tcPr/>
                <w:p>
                  <w:pPr>
                    <w:pStyle w:val="Compact"/>
                    <w:jc w:val="left"/>
                    <w:jc w:val="center"/>
                  </w:pPr>
                  <w:r>
                    <w:t xml:space="preserve">1.514e-05</w:t>
                  </w:r>
                </w:p>
              </w:tc>
            </w:tr>
            <w:tr>
              <w:tc>
                <w:tcPr/>
                <w:p>
                  <w:pPr>
                    <w:pStyle w:val="Compact"/>
                    <w:jc w:val="left"/>
                    <w:jc w:val="center"/>
                  </w:pPr>
                  <w:r>
                    <w:t xml:space="preserve">2020</w:t>
                  </w:r>
                </w:p>
              </w:tc>
              <w:tc>
                <w:tcPr/>
                <w:p>
                  <w:pPr>
                    <w:pStyle w:val="Compact"/>
                    <w:jc w:val="left"/>
                    <w:jc w:val="center"/>
                  </w:pPr>
                  <w:r>
                    <w:t xml:space="preserve">5.190e+05</w:t>
                  </w:r>
                </w:p>
              </w:tc>
              <w:tc>
                <w:tcPr/>
                <w:p>
                  <w:pPr>
                    <w:pStyle w:val="Compact"/>
                    <w:jc w:val="left"/>
                    <w:jc w:val="center"/>
                  </w:pPr>
                  <w:r>
                    <w:t xml:space="preserve">6.125e-08</w:t>
                  </w:r>
                </w:p>
              </w:tc>
              <w:tc>
                <w:tcPr/>
                <w:p>
                  <w:pPr>
                    <w:pStyle w:val="Compact"/>
                    <w:jc w:val="left"/>
                    <w:jc w:val="center"/>
                  </w:pPr>
                  <w:r>
                    <w:t xml:space="preserve">1.118e-08</w:t>
                  </w:r>
                </w:p>
              </w:tc>
              <w:tc>
                <w:tcPr/>
                <w:p>
                  <w:pPr>
                    <w:pStyle w:val="Compact"/>
                    <w:jc w:val="left"/>
                    <w:jc w:val="center"/>
                  </w:pPr>
                  <w:r>
                    <w:t xml:space="preserve">3.053e-07</w:t>
                  </w:r>
                </w:p>
              </w:tc>
              <w:tc>
                <w:tcPr/>
                <w:p>
                  <w:pPr>
                    <w:pStyle w:val="Compact"/>
                    <w:jc w:val="left"/>
                    <w:jc w:val="center"/>
                  </w:pPr>
                  <w:r>
                    <w:t xml:space="preserve">6.129e-07</w:t>
                  </w:r>
                </w:p>
              </w:tc>
              <w:tc>
                <w:tcPr/>
                <w:p>
                  <w:pPr>
                    <w:pStyle w:val="Compact"/>
                    <w:jc w:val="left"/>
                    <w:jc w:val="center"/>
                  </w:pPr>
                  <w:r>
                    <w:t xml:space="preserve">4.435e-05</w:t>
                  </w:r>
                </w:p>
              </w:tc>
            </w:tr>
            <w:tr>
              <w:tc>
                <w:tcPr/>
                <w:p>
                  <w:pPr>
                    <w:pStyle w:val="Compact"/>
                    <w:jc w:val="left"/>
                    <w:jc w:val="center"/>
                  </w:pPr>
                  <w:r>
                    <w:t xml:space="preserve">2021</w:t>
                  </w:r>
                </w:p>
              </w:tc>
              <w:tc>
                <w:tcPr/>
                <w:p>
                  <w:pPr>
                    <w:pStyle w:val="Compact"/>
                    <w:jc w:val="left"/>
                    <w:jc w:val="center"/>
                  </w:pPr>
                  <w:r>
                    <w:t xml:space="preserve">5.161e+05</w:t>
                  </w:r>
                </w:p>
              </w:tc>
              <w:tc>
                <w:tcPr/>
                <w:p>
                  <w:pPr>
                    <w:pStyle w:val="Compact"/>
                    <w:jc w:val="left"/>
                    <w:jc w:val="center"/>
                  </w:pPr>
                  <w:r>
                    <w:t xml:space="preserve">2.157e-07</w:t>
                  </w:r>
                </w:p>
              </w:tc>
              <w:tc>
                <w:tcPr/>
                <w:p>
                  <w:pPr>
                    <w:pStyle w:val="Compact"/>
                    <w:jc w:val="left"/>
                    <w:jc w:val="center"/>
                  </w:pPr>
                  <w:r>
                    <w:t xml:space="preserve">7.527e-08</w:t>
                  </w:r>
                </w:p>
              </w:tc>
              <w:tc>
                <w:tcPr/>
                <w:p>
                  <w:pPr>
                    <w:pStyle w:val="Compact"/>
                    <w:jc w:val="left"/>
                    <w:jc w:val="center"/>
                  </w:pPr>
                  <w:r>
                    <w:t xml:space="preserve">7.402e-07</w:t>
                  </w:r>
                </w:p>
              </w:tc>
              <w:tc>
                <w:tcPr/>
                <w:p>
                  <w:pPr>
                    <w:pStyle w:val="Compact"/>
                    <w:jc w:val="left"/>
                    <w:jc w:val="center"/>
                  </w:pPr>
                  <w:r>
                    <w:t xml:space="preserve">2.008e-06</w:t>
                  </w:r>
                </w:p>
              </w:tc>
              <w:tc>
                <w:tcPr/>
                <w:p>
                  <w:pPr>
                    <w:pStyle w:val="Compact"/>
                    <w:jc w:val="left"/>
                    <w:jc w:val="center"/>
                  </w:pPr>
                  <w:r>
                    <w:t xml:space="preserve">1.591e-04</w:t>
                  </w:r>
                </w:p>
              </w:tc>
            </w:tr>
            <w:tr>
              <w:tc>
                <w:tcPr/>
                <w:p>
                  <w:pPr>
                    <w:pStyle w:val="Compact"/>
                    <w:jc w:val="left"/>
                    <w:jc w:val="center"/>
                  </w:pPr>
                  <w:r>
                    <w:t xml:space="preserve">2022</w:t>
                  </w:r>
                </w:p>
              </w:tc>
              <w:tc>
                <w:tcPr/>
                <w:p>
                  <w:pPr>
                    <w:pStyle w:val="Compact"/>
                    <w:jc w:val="left"/>
                    <w:jc w:val="center"/>
                  </w:pPr>
                  <w:r>
                    <w:t xml:space="preserve">5.155e+05</w:t>
                  </w:r>
                </w:p>
              </w:tc>
              <w:tc>
                <w:tcPr/>
                <w:p>
                  <w:pPr>
                    <w:pStyle w:val="Compact"/>
                    <w:jc w:val="left"/>
                    <w:jc w:val="center"/>
                  </w:pPr>
                  <w:r>
                    <w:t xml:space="preserve">1.239e-06</w:t>
                  </w:r>
                </w:p>
              </w:tc>
              <w:tc>
                <w:tcPr/>
                <w:p>
                  <w:pPr>
                    <w:pStyle w:val="Compact"/>
                    <w:jc w:val="left"/>
                    <w:jc w:val="center"/>
                  </w:pPr>
                  <w:r>
                    <w:t xml:space="preserve">7.425e-07</w:t>
                  </w:r>
                </w:p>
              </w:tc>
              <w:tc>
                <w:tcPr/>
                <w:p>
                  <w:pPr>
                    <w:pStyle w:val="Compact"/>
                    <w:jc w:val="left"/>
                    <w:jc w:val="center"/>
                  </w:pPr>
                  <w:r>
                    <w:t xml:space="preserve">3.220e-06</w:t>
                  </w:r>
                </w:p>
              </w:tc>
              <w:tc>
                <w:tcPr/>
                <w:p>
                  <w:pPr>
                    <w:pStyle w:val="Compact"/>
                    <w:jc w:val="left"/>
                    <w:jc w:val="center"/>
                  </w:pPr>
                  <w:r>
                    <w:t xml:space="preserve">9.452e-06</w:t>
                  </w:r>
                </w:p>
              </w:tc>
              <w:tc>
                <w:tcPr/>
                <w:p>
                  <w:pPr>
                    <w:pStyle w:val="Compact"/>
                    <w:jc w:val="left"/>
                    <w:jc w:val="center"/>
                  </w:pPr>
                  <w:r>
                    <w:t xml:space="preserve">2.243e-04</w:t>
                  </w:r>
                </w:p>
              </w:tc>
            </w:tr>
            <w:tr>
              <w:tc>
                <w:tcPr/>
                <w:p>
                  <w:pPr>
                    <w:pStyle w:val="Compact"/>
                    <w:jc w:val="left"/>
                    <w:jc w:val="center"/>
                  </w:pPr>
                  <w:r>
                    <w:t xml:space="preserve">2023</w:t>
                  </w:r>
                </w:p>
              </w:tc>
              <w:tc>
                <w:tcPr/>
                <w:p>
                  <w:pPr>
                    <w:pStyle w:val="Compact"/>
                    <w:jc w:val="left"/>
                    <w:jc w:val="center"/>
                  </w:pPr>
                  <w:r>
                    <w:t xml:space="preserve">5.173e+05</w:t>
                  </w:r>
                </w:p>
              </w:tc>
              <w:tc>
                <w:tcPr/>
                <w:p>
                  <w:pPr>
                    <w:pStyle w:val="Compact"/>
                    <w:jc w:val="left"/>
                    <w:jc w:val="center"/>
                  </w:pPr>
                  <w:r>
                    <w:t xml:space="preserve">2.188e-06</w:t>
                  </w:r>
                </w:p>
              </w:tc>
              <w:tc>
                <w:tcPr/>
                <w:p>
                  <w:pPr>
                    <w:pStyle w:val="Compact"/>
                    <w:jc w:val="left"/>
                    <w:jc w:val="center"/>
                  </w:pPr>
                  <w:r>
                    <w:t xml:space="preserve">1.416e-06</w:t>
                  </w:r>
                </w:p>
              </w:tc>
              <w:tc>
                <w:tcPr/>
                <w:p>
                  <w:pPr>
                    <w:pStyle w:val="Compact"/>
                    <w:jc w:val="left"/>
                    <w:jc w:val="center"/>
                  </w:pPr>
                  <w:r>
                    <w:t xml:space="preserve">5.228e-06</w:t>
                  </w:r>
                </w:p>
              </w:tc>
              <w:tc>
                <w:tcPr/>
                <w:p>
                  <w:pPr>
                    <w:pStyle w:val="Compact"/>
                    <w:jc w:val="left"/>
                    <w:jc w:val="center"/>
                  </w:pPr>
                  <w:r>
                    <w:t xml:space="preserve">1.390e-05</w:t>
                  </w:r>
                </w:p>
              </w:tc>
              <w:tc>
                <w:tcPr/>
                <w:p>
                  <w:pPr>
                    <w:pStyle w:val="Compact"/>
                    <w:jc w:val="left"/>
                    <w:jc w:val="center"/>
                  </w:pPr>
                  <w:r>
                    <w:t xml:space="preserve">4.947e-04</w:t>
                  </w:r>
                </w:p>
              </w:tc>
            </w:tr>
            <w:tr>
              <w:tc>
                <w:tcPr/>
                <w:p>
                  <w:pPr>
                    <w:pStyle w:val="Compact"/>
                    <w:jc w:val="left"/>
                    <w:jc w:val="center"/>
                  </w:pPr>
                  <w:r>
                    <w:t xml:space="preserve">2024</w:t>
                  </w:r>
                </w:p>
              </w:tc>
              <w:tc>
                <w:tcPr/>
                <w:p>
                  <w:pPr>
                    <w:pStyle w:val="Compact"/>
                    <w:jc w:val="left"/>
                    <w:jc w:val="center"/>
                  </w:pPr>
                  <w:r>
                    <w:t xml:space="preserve">5.150e+05</w:t>
                  </w:r>
                </w:p>
              </w:tc>
              <w:tc>
                <w:tcPr/>
                <w:p>
                  <w:pPr>
                    <w:pStyle w:val="Compact"/>
                    <w:jc w:val="left"/>
                    <w:jc w:val="center"/>
                  </w:pPr>
                  <w:r>
                    <w:t xml:space="preserve">4.336e-06</w:t>
                  </w:r>
                </w:p>
              </w:tc>
              <w:tc>
                <w:tcPr/>
                <w:p>
                  <w:pPr>
                    <w:pStyle w:val="Compact"/>
                    <w:jc w:val="left"/>
                    <w:jc w:val="center"/>
                  </w:pPr>
                  <w:r>
                    <w:t xml:space="preserve">2.529e-06</w:t>
                  </w:r>
                </w:p>
              </w:tc>
              <w:tc>
                <w:tcPr/>
                <w:p>
                  <w:pPr>
                    <w:pStyle w:val="Compact"/>
                    <w:jc w:val="left"/>
                    <w:jc w:val="center"/>
                  </w:pPr>
                  <w:r>
                    <w:t xml:space="preserve">1.062e-05</w:t>
                  </w:r>
                </w:p>
              </w:tc>
              <w:tc>
                <w:tcPr/>
                <w:p>
                  <w:pPr>
                    <w:pStyle w:val="Compact"/>
                    <w:jc w:val="left"/>
                    <w:jc w:val="center"/>
                  </w:pPr>
                  <w:r>
                    <w:t xml:space="preserve">3.570e-05</w:t>
                  </w:r>
                </w:p>
              </w:tc>
              <w:tc>
                <w:tcPr/>
                <w:p>
                  <w:pPr>
                    <w:pStyle w:val="Compact"/>
                    <w:jc w:val="left"/>
                    <w:jc w:val="center"/>
                  </w:pPr>
                  <w:r>
                    <w:t xml:space="preserve">8.943e-04</w:t>
                  </w:r>
                </w:p>
              </w:tc>
            </w:tr>
            <w:tr>
              <w:tc>
                <w:tcPr/>
                <w:p>
                  <w:pPr>
                    <w:pStyle w:val="Compact"/>
                    <w:jc w:val="left"/>
                    <w:jc w:val="center"/>
                  </w:pPr>
                  <w:r>
                    <w:t xml:space="preserve">2025</w:t>
                  </w:r>
                </w:p>
              </w:tc>
              <w:tc>
                <w:tcPr/>
                <w:p>
                  <w:pPr>
                    <w:pStyle w:val="Compact"/>
                    <w:jc w:val="left"/>
                    <w:jc w:val="center"/>
                  </w:pPr>
                  <w:r>
                    <w:t xml:space="preserve">1.355e+05</w:t>
                  </w:r>
                </w:p>
              </w:tc>
              <w:tc>
                <w:tcPr/>
                <w:p>
                  <w:pPr>
                    <w:pStyle w:val="Compact"/>
                    <w:jc w:val="left"/>
                    <w:jc w:val="center"/>
                  </w:pPr>
                  <w:r>
                    <w:t xml:space="preserve">2.528e-06</w:t>
                  </w:r>
                </w:p>
              </w:tc>
              <w:tc>
                <w:tcPr/>
                <w:p>
                  <w:pPr>
                    <w:pStyle w:val="Compact"/>
                    <w:jc w:val="left"/>
                    <w:jc w:val="center"/>
                  </w:pPr>
                  <w:r>
                    <w:t xml:space="preserve">1.754e-06</w:t>
                  </w:r>
                </w:p>
              </w:tc>
              <w:tc>
                <w:tcPr/>
                <w:p>
                  <w:pPr>
                    <w:pStyle w:val="Compact"/>
                    <w:jc w:val="left"/>
                    <w:jc w:val="center"/>
                  </w:pPr>
                  <w:r>
                    <w:t xml:space="preserve">5.756e-06</w:t>
                  </w:r>
                </w:p>
              </w:tc>
              <w:tc>
                <w:tcPr/>
                <w:p>
                  <w:pPr>
                    <w:pStyle w:val="Compact"/>
                    <w:jc w:val="left"/>
                    <w:jc w:val="center"/>
                  </w:pPr>
                  <w:r>
                    <w:t xml:space="preserve">1.504e-05</w:t>
                  </w:r>
                </w:p>
              </w:tc>
              <w:tc>
                <w:tcPr/>
                <w:p>
                  <w:pPr>
                    <w:pStyle w:val="Compact"/>
                    <w:jc w:val="left"/>
                    <w:jc w:val="center"/>
                  </w:pPr>
                  <w:r>
                    <w:t xml:space="preserve">1.999e-04</w:t>
                  </w:r>
                </w:p>
              </w:tc>
            </w:tr>
          </w:tbl>
          <w:bookmarkEnd w:id="1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tbl-anuais-eventos"/>
          <w:p>
            <w:pPr>
              <w:jc w:val="center"/>
            </w:pPr>
            <w:pPr>
              <w:jc w:val="start"/>
              <w:spacing w:before="200"/>
              <w:pStyle w:val="ImageCaption"/>
            </w:pPr>
            <w:r>
              <w:t xml:space="preserve">Tabela 8: Contagens anuais: minutos acima do P99,9 global e episódios separados pela regra principal de 6 horas.</w:t>
            </w:r>
          </w:p>
          <w:p>
            <w:pPr>
              <w:pStyle w:val="Compact"/>
              <w:jc w:val="center"/>
            </w:pPr>
            <w:r>
              <w:t xml:space="preserve">Contagens anuais: minutos acima do P99,9 global e episódios separados pela regra principal de 6 horas.</w:t>
            </w:r>
          </w:p>
          <w:tbl>
            <w:tblPr>
              <w:tblStyle w:val="Table"/>
              <w:tblW w:type="pct" w:w="5000"/>
              <w:tblLayout w:type="fixed"/>
              <w:tblLook w:firstRow="1" w:lastRow="0" w:firstColumn="0" w:lastColumn="0" w:noHBand="0" w:noVBand="0" w:val="0020"/>
              <w:tblCaption w:val="Contagens anuais: minutos acima do P99,9 global e episódios separados pela regra principal de 6 horas."/>
            </w:tblPr>
            <w:tblGrid>
              <w:gridCol w:w="2310"/>
              <w:gridCol w:w="2970"/>
              <w:gridCol w:w="2640"/>
            </w:tblGrid>
            <w:tr>
              <w:trPr>
                <w:tblHeader w:val="on"/>
              </w:trPr>
              <w:tc>
                <w:tcPr/>
                <w:p>
                  <w:pPr>
                    <w:pStyle w:val="Compact"/>
                    <w:jc w:val="left"/>
                    <w:jc w:val="center"/>
                  </w:pPr>
                  <w:r>
                    <w:t xml:space="preserve">ano</w:t>
                  </w:r>
                </w:p>
              </w:tc>
              <w:tc>
                <w:tcPr/>
                <w:p>
                  <w:pPr>
                    <w:pStyle w:val="Compact"/>
                    <w:jc w:val="left"/>
                    <w:jc w:val="center"/>
                  </w:pPr>
                  <w:r>
                    <w:t xml:space="preserve">minutos extremos</w:t>
                  </w:r>
                </w:p>
              </w:tc>
              <w:tc>
                <w:tcPr/>
                <w:p>
                  <w:pPr>
                    <w:pStyle w:val="Compact"/>
                    <w:jc w:val="left"/>
                    <w:jc w:val="center"/>
                  </w:pPr>
                  <w:r>
                    <w:t xml:space="preserve">eventos</w:t>
                  </w:r>
                </w:p>
              </w:tc>
            </w:tr>
            <w:tr>
              <w:tc>
                <w:tcPr/>
                <w:p>
                  <w:pPr>
                    <w:pStyle w:val="Compact"/>
                    <w:jc w:val="left"/>
                    <w:jc w:val="center"/>
                  </w:pPr>
                  <w:r>
                    <w:t xml:space="preserve">2017</w:t>
                  </w:r>
                </w:p>
              </w:tc>
              <w:tc>
                <w:tcPr/>
                <w:p>
                  <w:pPr>
                    <w:pStyle w:val="Compact"/>
                    <w:jc w:val="left"/>
                    <w:jc w:val="center"/>
                  </w:pPr>
                  <w:r>
                    <w:t xml:space="preserve">522</w:t>
                  </w:r>
                </w:p>
              </w:tc>
              <w:tc>
                <w:tcPr/>
                <w:p>
                  <w:pPr>
                    <w:pStyle w:val="Compact"/>
                    <w:jc w:val="left"/>
                    <w:jc w:val="center"/>
                  </w:pPr>
                  <w:r>
                    <w:t xml:space="preserve">11</w:t>
                  </w:r>
                </w:p>
              </w:tc>
            </w:tr>
            <w:tr>
              <w:tc>
                <w:tcPr/>
                <w:p>
                  <w:pPr>
                    <w:pStyle w:val="Compact"/>
                    <w:jc w:val="left"/>
                    <w:jc w:val="center"/>
                  </w:pPr>
                  <w:r>
                    <w:t xml:space="preserve">2018</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2019</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2020</w:t>
                  </w:r>
                </w:p>
              </w:tc>
              <w:tc>
                <w:tcPr/>
                <w:p>
                  <w:pPr>
                    <w:pStyle w:val="Compact"/>
                    <w:jc w:val="left"/>
                    <w:jc w:val="center"/>
                  </w:pPr>
                  <w:r>
                    <w:t xml:space="preserve">0</w:t>
                  </w:r>
                </w:p>
              </w:tc>
              <w:tc>
                <w:tcPr/>
                <w:p>
                  <w:pPr>
                    <w:pStyle w:val="Compact"/>
                    <w:jc w:val="left"/>
                    <w:jc w:val="center"/>
                  </w:pPr>
                  <w:r>
                    <w:t xml:space="preserve">0</w:t>
                  </w:r>
                </w:p>
              </w:tc>
            </w:tr>
            <w:tr>
              <w:tc>
                <w:tcPr/>
                <w:p>
                  <w:pPr>
                    <w:pStyle w:val="Compact"/>
                    <w:jc w:val="left"/>
                    <w:jc w:val="center"/>
                  </w:pPr>
                  <w:r>
                    <w:t xml:space="preserve">2021</w:t>
                  </w:r>
                </w:p>
              </w:tc>
              <w:tc>
                <w:tcPr/>
                <w:p>
                  <w:pPr>
                    <w:pStyle w:val="Compact"/>
                    <w:jc w:val="left"/>
                    <w:jc w:val="center"/>
                  </w:pPr>
                  <w:r>
                    <w:t xml:space="preserve">21</w:t>
                  </w:r>
                </w:p>
              </w:tc>
              <w:tc>
                <w:tcPr/>
                <w:p>
                  <w:pPr>
                    <w:pStyle w:val="Compact"/>
                    <w:jc w:val="left"/>
                    <w:jc w:val="center"/>
                  </w:pPr>
                  <w:r>
                    <w:t xml:space="preserve">2</w:t>
                  </w:r>
                </w:p>
              </w:tc>
            </w:tr>
            <w:tr>
              <w:tc>
                <w:tcPr/>
                <w:p>
                  <w:pPr>
                    <w:pStyle w:val="Compact"/>
                    <w:jc w:val="left"/>
                    <w:jc w:val="center"/>
                  </w:pPr>
                  <w:r>
                    <w:t xml:space="preserve">2022</w:t>
                  </w:r>
                </w:p>
              </w:tc>
              <w:tc>
                <w:tcPr/>
                <w:p>
                  <w:pPr>
                    <w:pStyle w:val="Compact"/>
                    <w:jc w:val="left"/>
                    <w:jc w:val="center"/>
                  </w:pPr>
                  <w:r>
                    <w:t xml:space="preserve">156</w:t>
                  </w:r>
                </w:p>
              </w:tc>
              <w:tc>
                <w:tcPr/>
                <w:p>
                  <w:pPr>
                    <w:pStyle w:val="Compact"/>
                    <w:jc w:val="left"/>
                    <w:jc w:val="center"/>
                  </w:pPr>
                  <w:r>
                    <w:t xml:space="preserve">19</w:t>
                  </w:r>
                </w:p>
              </w:tc>
            </w:tr>
            <w:tr>
              <w:tc>
                <w:tcPr/>
                <w:p>
                  <w:pPr>
                    <w:pStyle w:val="Compact"/>
                    <w:jc w:val="left"/>
                    <w:jc w:val="center"/>
                  </w:pPr>
                  <w:r>
                    <w:t xml:space="preserve">2023</w:t>
                  </w:r>
                </w:p>
              </w:tc>
              <w:tc>
                <w:tcPr/>
                <w:p>
                  <w:pPr>
                    <w:pStyle w:val="Compact"/>
                    <w:jc w:val="left"/>
                    <w:jc w:val="center"/>
                  </w:pPr>
                  <w:r>
                    <w:t xml:space="preserve">576</w:t>
                  </w:r>
                </w:p>
              </w:tc>
              <w:tc>
                <w:tcPr/>
                <w:p>
                  <w:pPr>
                    <w:pStyle w:val="Compact"/>
                    <w:jc w:val="left"/>
                    <w:jc w:val="center"/>
                  </w:pPr>
                  <w:r>
                    <w:t xml:space="preserve">32</w:t>
                  </w:r>
                </w:p>
              </w:tc>
            </w:tr>
            <w:tr>
              <w:tc>
                <w:tcPr/>
                <w:p>
                  <w:pPr>
                    <w:pStyle w:val="Compact"/>
                    <w:jc w:val="left"/>
                    <w:jc w:val="center"/>
                  </w:pPr>
                  <w:r>
                    <w:t xml:space="preserve">2024</w:t>
                  </w:r>
                </w:p>
              </w:tc>
              <w:tc>
                <w:tcPr/>
                <w:p>
                  <w:pPr>
                    <w:pStyle w:val="Compact"/>
                    <w:jc w:val="left"/>
                    <w:jc w:val="center"/>
                  </w:pPr>
                  <w:r>
                    <w:t xml:space="preserve">2759</w:t>
                  </w:r>
                </w:p>
              </w:tc>
              <w:tc>
                <w:tcPr/>
                <w:p>
                  <w:pPr>
                    <w:pStyle w:val="Compact"/>
                    <w:jc w:val="left"/>
                    <w:jc w:val="center"/>
                  </w:pPr>
                  <w:r>
                    <w:t xml:space="preserve">86</w:t>
                  </w:r>
                </w:p>
              </w:tc>
            </w:tr>
            <w:tr>
              <w:tc>
                <w:tcPr/>
                <w:p>
                  <w:pPr>
                    <w:pStyle w:val="Compact"/>
                    <w:jc w:val="left"/>
                    <w:jc w:val="center"/>
                  </w:pPr>
                  <w:r>
                    <w:t xml:space="preserve">2025</w:t>
                  </w:r>
                </w:p>
              </w:tc>
              <w:tc>
                <w:tcPr/>
                <w:p>
                  <w:pPr>
                    <w:pStyle w:val="Compact"/>
                    <w:jc w:val="left"/>
                    <w:jc w:val="center"/>
                  </w:pPr>
                  <w:r>
                    <w:t xml:space="preserve">139</w:t>
                  </w:r>
                </w:p>
              </w:tc>
              <w:tc>
                <w:tcPr/>
                <w:p>
                  <w:pPr>
                    <w:pStyle w:val="Compact"/>
                    <w:jc w:val="left"/>
                    <w:jc w:val="center"/>
                  </w:pPr>
                  <w:r>
                    <w:t xml:space="preserve">11</w:t>
                  </w:r>
                </w:p>
              </w:tc>
            </w:tr>
          </w:tbl>
          <w:bookmarkEnd w:id="103"/>
          <w:p/>
        </w:tc>
      </w:tr>
    </w:tbl>
    <w:p>
      <w:pPr>
        <w:pStyle w:val="BodyText"/>
      </w:pPr>
      <w:r>
        <w:t xml:space="preserve">O maior máximo anual ocorreu em 2017. As medianas anuais variam de 5.415e-09 a 2.529e-06 W m⁻². O ano do maior pico não coincide com o ano de maior mediana: o nível de atividade habitual e a intensidade do episódio mais raro são aspectos distintos da distribuição. Contagens anuais de minutos e episódios dependem da exposição e da cobertura; não devem ser interpretadas como taxas comparáveis sem consultar essa exposição.</w:t>
      </w:r>
    </w:p>
    <w:p>
      <w:pPr>
        <w:pStyle w:val="BodyText"/>
      </w:pPr>
      <w:r>
        <w:t xml:space="preserve">A razão entre a maior e a menor mediana anual é 467.1. O período de menor mediana foi 2019, e o de maior mediana foi 2024. Essa heterogeneidade alcança o centro e os quantis altos; a frequência de minutos extremos também se concentra de modo desigual. Não é razoável interpretar toda a série como uma sequência de episódios com a mesma distribuição somente porque um modelo linear de localização deixa de rejeitar sua hipótese nula.</w:t>
      </w:r>
    </w:p>
    <w:p>
      <w:pPr>
        <w:pStyle w:val="BodyText"/>
      </w:pPr>
      <w:r>
        <w:t xml:space="preserve">Uma comparação exploratória das médias anuais de log10 da mediana diária usa permutação de segmentos de 27 dias, em vez de tratar cada minuto como uma réplica independente. A estatística é a fração da soma de quadrados associada às diferenças entre anos, e o valor p de permutação é 0.002. A janela de 27 dias é uma escolha metodológica para preservar dependência local, não uma medição do ciclo solar. O teste depende da permutabilidade dos segmentos sob a hipótese nula, não controla toda a dependência de longo alcance, e não demonstra estacionariedade quando deixa de rejeitar. A extensão GEV avalia outra evidência, restrita à localização linear dos máximos. Variações de escala, curvatura e mudanças entre regimes podem escapar a esse modelo.</w:t>
      </w:r>
    </w:p>
    <w:bookmarkEnd w:id="104"/>
    <w:bookmarkStart w:id="123" w:name="análise-de-dependência"/>
    <w:p>
      <w:pPr>
        <w:pStyle w:val="Heading1"/>
      </w:pPr>
      <w:r>
        <w:t xml:space="preserve">6. Análise de dependência</w:t>
      </w:r>
    </w:p>
    <w:p>
      <w:pPr>
        <w:pStyle w:val="FirstParagraph"/>
      </w:pPr>
      <w:r>
        <w:t xml:space="preserve">ACF e PACF são calculadas sobre log10 das séries para reduzir a dominância de alguns picos. A transformação não é usada no ajuste da GEV. Para evitar autocorrelações artificiais, cada análise usa o maior trecho</w:t>
      </w:r>
      <w:r>
        <w:t xml:space="preserve"> </w:t>
      </w:r>
      <w:r>
        <w:rPr>
          <w:b/>
          <w:bCs/>
        </w:rPr>
        <w:t xml:space="preserve">contíguo</w:t>
      </w:r>
      <w:r>
        <w:t xml:space="preserve"> </w:t>
      </w:r>
      <w:r>
        <w:t xml:space="preserve">sem lacunas na grade regular. A tabela informa quanto da série foi efetivamente utilizado; a dependência pode diferir fora desse trecho. Para a comparação entre tamanhos de bloco, usa-se adicionalmente a correlação dos pares adjacentes válidos em toda a grade, sem aproximar observações separadas por lacunas. Isso evita selecionar um tamanho de bloco apenas por apresentar um trecho contíguo pertencente a outra fase solar. ACF/PACF e Ljung–Box continuam restritos ao trecho completo, como exigem suas implementações regulares.</w:t>
      </w:r>
    </w:p>
    <w:tbl>
      <w:tblPr>
        <w:tblStyle w:val="Table"/>
        <w:tblW w:type="pct" w:w="5000"/>
        <w:tblLayout w:type="fixed"/>
        <w:tblLook w:firstRow="0" w:lastRow="0" w:firstColumn="0" w:lastColumn="0" w:noHBand="0" w:noVBand="0" w:val="0000"/>
      </w:tblPr>
      <w:tblGrid>
        <w:gridCol w:w="7920"/>
      </w:tblGrid>
      <w:tr>
        <w:tc>
          <w:tcPr/>
          <w:bookmarkStart w:id="105" w:name="tbl-trechos"/>
          <w:p>
            <w:pPr>
              <w:jc w:val="center"/>
            </w:pPr>
            <w:pPr>
              <w:jc w:val="start"/>
              <w:spacing w:before="200"/>
              <w:pStyle w:val="ImageCaption"/>
            </w:pPr>
            <w:r>
              <w:t xml:space="preserve">Tabela 9: Grade, maior trecho contíguo, ausências e correlação dos pares adjacentes de toda a grade; correlações de log10.</w:t>
            </w:r>
          </w:p>
          <w:p>
            <w:pPr>
              <w:pStyle w:val="Compact"/>
              <w:jc w:val="center"/>
            </w:pPr>
            <w:r>
              <w:t xml:space="preserve">Grade, maior trecho contíguo, ausências e correlação dos pares adjacentes de toda a grade; correlações de log10.</w:t>
            </w:r>
          </w:p>
          <w:tbl>
            <w:tblPr>
              <w:tblStyle w:val="Table"/>
              <w:tblW w:type="pct" w:w="5000"/>
              <w:tblLayout w:type="fixed"/>
              <w:tblLook w:firstRow="1" w:lastRow="0" w:firstColumn="0" w:lastColumn="0" w:noHBand="0" w:noVBand="0" w:val="0020"/>
              <w:tblCaption w:val="Grade, maior trecho contíguo, ausências e correlação dos pares adjacentes de toda a grade; correlações de log10."/>
            </w:tblPr>
            <w:tblGrid>
              <w:gridCol w:w="2390"/>
              <w:gridCol w:w="1046"/>
              <w:gridCol w:w="1046"/>
              <w:gridCol w:w="1344"/>
              <w:gridCol w:w="1046"/>
              <w:gridCol w:w="1046"/>
            </w:tblGrid>
            <w:tr>
              <w:trPr>
                <w:tblHeader w:val="on"/>
              </w:trPr>
              <w:tc>
                <w:tcPr/>
                <w:p>
                  <w:pPr>
                    <w:pStyle w:val="Compact"/>
                    <w:jc w:val="left"/>
                    <w:jc w:val="center"/>
                  </w:pPr>
                  <w:r>
                    <w:t xml:space="preserve">serie</w:t>
                  </w:r>
                </w:p>
              </w:tc>
              <w:tc>
                <w:tcPr/>
                <w:p>
                  <w:pPr>
                    <w:pStyle w:val="Compact"/>
                    <w:jc w:val="left"/>
                    <w:jc w:val="center"/>
                  </w:pPr>
                  <w:r>
                    <w:t xml:space="preserve">total</w:t>
                  </w:r>
                </w:p>
              </w:tc>
              <w:tc>
                <w:tcPr/>
                <w:p>
                  <w:pPr>
                    <w:pStyle w:val="Compact"/>
                    <w:jc w:val="left"/>
                    <w:jc w:val="center"/>
                  </w:pPr>
                  <w:r>
                    <w:t xml:space="preserve">trecho</w:t>
                  </w:r>
                </w:p>
              </w:tc>
              <w:tc>
                <w:tcPr/>
                <w:p>
                  <w:pPr>
                    <w:pStyle w:val="Compact"/>
                    <w:jc w:val="left"/>
                    <w:jc w:val="center"/>
                  </w:pPr>
                  <w:r>
                    <w:t xml:space="preserve">ausentes</w:t>
                  </w:r>
                </w:p>
              </w:tc>
              <w:tc>
                <w:tcPr/>
                <w:p>
                  <w:pPr>
                    <w:pStyle w:val="Compact"/>
                    <w:jc w:val="left"/>
                    <w:jc w:val="center"/>
                  </w:pPr>
                  <w:r>
                    <w:t xml:space="preserve">n pares</w:t>
                  </w:r>
                </w:p>
              </w:tc>
              <w:tc>
                <w:tcPr/>
                <w:p>
                  <w:pPr>
                    <w:pStyle w:val="Compact"/>
                    <w:jc w:val="left"/>
                    <w:jc w:val="center"/>
                  </w:pPr>
                  <w:r>
                    <w:t xml:space="preserve">cor pares</w:t>
                  </w:r>
                </w:p>
              </w:tc>
            </w:tr>
            <w:tr>
              <w:tc>
                <w:tcPr/>
                <w:p>
                  <w:pPr>
                    <w:pStyle w:val="Compact"/>
                    <w:jc w:val="left"/>
                    <w:jc w:val="center"/>
                  </w:pPr>
                  <w:r>
                    <w:t xml:space="preserve">mediana_diaria</w:t>
                  </w:r>
                </w:p>
              </w:tc>
              <w:tc>
                <w:tcPr/>
                <w:p>
                  <w:pPr>
                    <w:pStyle w:val="Compact"/>
                    <w:jc w:val="left"/>
                    <w:jc w:val="center"/>
                  </w:pPr>
                  <w:r>
                    <w:t xml:space="preserve">2982</w:t>
                  </w:r>
                </w:p>
              </w:tc>
              <w:tc>
                <w:tcPr/>
                <w:p>
                  <w:pPr>
                    <w:pStyle w:val="Compact"/>
                    <w:jc w:val="left"/>
                    <w:jc w:val="center"/>
                  </w:pPr>
                  <w:r>
                    <w:t xml:space="preserve">1840</w:t>
                  </w:r>
                </w:p>
              </w:tc>
              <w:tc>
                <w:tcPr/>
                <w:p>
                  <w:pPr>
                    <w:pStyle w:val="Compact"/>
                    <w:jc w:val="left"/>
                    <w:jc w:val="center"/>
                  </w:pPr>
                  <w:r>
                    <w:t xml:space="preserve">20</w:t>
                  </w:r>
                </w:p>
              </w:tc>
              <w:tc>
                <w:tcPr/>
                <w:p>
                  <w:pPr>
                    <w:pStyle w:val="Compact"/>
                    <w:jc w:val="left"/>
                    <w:jc w:val="center"/>
                  </w:pPr>
                  <w:r>
                    <w:t xml:space="preserve">2958</w:t>
                  </w:r>
                </w:p>
              </w:tc>
              <w:tc>
                <w:tcPr/>
                <w:p>
                  <w:pPr>
                    <w:pStyle w:val="Compact"/>
                    <w:jc w:val="left"/>
                    <w:jc w:val="center"/>
                  </w:pPr>
                  <w:r>
                    <w:t xml:space="preserve">0.9847</w:t>
                  </w:r>
                </w:p>
              </w:tc>
            </w:tr>
            <w:tr>
              <w:tc>
                <w:tcPr/>
                <w:p>
                  <w:pPr>
                    <w:pStyle w:val="Compact"/>
                    <w:jc w:val="left"/>
                    <w:jc w:val="center"/>
                  </w:pPr>
                  <w:r>
                    <w:t xml:space="preserve">maximos_diario</w:t>
                  </w:r>
                </w:p>
              </w:tc>
              <w:tc>
                <w:tcPr/>
                <w:p>
                  <w:pPr>
                    <w:pStyle w:val="Compact"/>
                    <w:jc w:val="left"/>
                    <w:jc w:val="center"/>
                  </w:pPr>
                  <w:r>
                    <w:t xml:space="preserve">2982</w:t>
                  </w:r>
                </w:p>
              </w:tc>
              <w:tc>
                <w:tcPr/>
                <w:p>
                  <w:pPr>
                    <w:pStyle w:val="Compact"/>
                    <w:jc w:val="left"/>
                    <w:jc w:val="center"/>
                  </w:pPr>
                  <w:r>
                    <w:t xml:space="preserve">365</w:t>
                  </w:r>
                </w:p>
              </w:tc>
              <w:tc>
                <w:tcPr/>
                <w:p>
                  <w:pPr>
                    <w:pStyle w:val="Compact"/>
                    <w:jc w:val="left"/>
                    <w:jc w:val="center"/>
                  </w:pPr>
                  <w:r>
                    <w:t xml:space="preserve">77</w:t>
                  </w:r>
                </w:p>
              </w:tc>
              <w:tc>
                <w:tcPr/>
                <w:p>
                  <w:pPr>
                    <w:pStyle w:val="Compact"/>
                    <w:jc w:val="left"/>
                    <w:jc w:val="center"/>
                  </w:pPr>
                  <w:r>
                    <w:t xml:space="preserve">2861</w:t>
                  </w:r>
                </w:p>
              </w:tc>
              <w:tc>
                <w:tcPr/>
                <w:p>
                  <w:pPr>
                    <w:pStyle w:val="Compact"/>
                    <w:jc w:val="left"/>
                    <w:jc w:val="center"/>
                  </w:pPr>
                  <w:r>
                    <w:t xml:space="preserve">0.9108</w:t>
                  </w:r>
                </w:p>
              </w:tc>
            </w:tr>
            <w:tr>
              <w:tc>
                <w:tcPr/>
                <w:p>
                  <w:pPr>
                    <w:pStyle w:val="Compact"/>
                    <w:jc w:val="left"/>
                    <w:jc w:val="center"/>
                  </w:pPr>
                  <w:r>
                    <w:t xml:space="preserve">maximos_semanal</w:t>
                  </w:r>
                </w:p>
              </w:tc>
              <w:tc>
                <w:tcPr/>
                <w:p>
                  <w:pPr>
                    <w:pStyle w:val="Compact"/>
                    <w:jc w:val="left"/>
                    <w:jc w:val="center"/>
                  </w:pPr>
                  <w:r>
                    <w:t xml:space="preserve">427</w:t>
                  </w:r>
                </w:p>
              </w:tc>
              <w:tc>
                <w:tcPr/>
                <w:p>
                  <w:pPr>
                    <w:pStyle w:val="Compact"/>
                    <w:jc w:val="left"/>
                    <w:jc w:val="center"/>
                  </w:pPr>
                  <w:r>
                    <w:t xml:space="preserve">109</w:t>
                  </w:r>
                </w:p>
              </w:tc>
              <w:tc>
                <w:tcPr/>
                <w:p>
                  <w:pPr>
                    <w:pStyle w:val="Compact"/>
                    <w:jc w:val="left"/>
                    <w:jc w:val="center"/>
                  </w:pPr>
                  <w:r>
                    <w:t xml:space="preserve">18</w:t>
                  </w:r>
                </w:p>
              </w:tc>
              <w:tc>
                <w:tcPr/>
                <w:p>
                  <w:pPr>
                    <w:pStyle w:val="Compact"/>
                    <w:jc w:val="left"/>
                    <w:jc w:val="center"/>
                  </w:pPr>
                  <w:r>
                    <w:t xml:space="preserve">398</w:t>
                  </w:r>
                </w:p>
              </w:tc>
              <w:tc>
                <w:tcPr/>
                <w:p>
                  <w:pPr>
                    <w:pStyle w:val="Compact"/>
                    <w:jc w:val="left"/>
                    <w:jc w:val="center"/>
                  </w:pPr>
                  <w:r>
                    <w:t xml:space="preserve">0.8159</w:t>
                  </w:r>
                </w:p>
              </w:tc>
            </w:tr>
            <w:tr>
              <w:tc>
                <w:tcPr/>
                <w:p>
                  <w:pPr>
                    <w:pStyle w:val="Compact"/>
                    <w:jc w:val="left"/>
                    <w:jc w:val="center"/>
                  </w:pPr>
                  <w:r>
                    <w:t xml:space="preserve">maximos_mensal</w:t>
                  </w:r>
                </w:p>
              </w:tc>
              <w:tc>
                <w:tcPr/>
                <w:p>
                  <w:pPr>
                    <w:pStyle w:val="Compact"/>
                    <w:jc w:val="left"/>
                    <w:jc w:val="center"/>
                  </w:pPr>
                  <w:r>
                    <w:t xml:space="preserve">99</w:t>
                  </w:r>
                </w:p>
              </w:tc>
              <w:tc>
                <w:tcPr/>
                <w:p>
                  <w:pPr>
                    <w:pStyle w:val="Compact"/>
                    <w:jc w:val="left"/>
                    <w:jc w:val="center"/>
                  </w:pPr>
                  <w:r>
                    <w:t xml:space="preserve">87</w:t>
                  </w:r>
                </w:p>
              </w:tc>
              <w:tc>
                <w:tcPr/>
                <w:p>
                  <w:pPr>
                    <w:pStyle w:val="Compact"/>
                    <w:jc w:val="left"/>
                    <w:jc w:val="center"/>
                  </w:pPr>
                  <w:r>
                    <w:t xml:space="preserve">5</w:t>
                  </w:r>
                </w:p>
              </w:tc>
              <w:tc>
                <w:tcPr/>
                <w:p>
                  <w:pPr>
                    <w:pStyle w:val="Compact"/>
                    <w:jc w:val="left"/>
                    <w:jc w:val="center"/>
                  </w:pPr>
                  <w:r>
                    <w:t xml:space="preserve">91</w:t>
                  </w:r>
                </w:p>
              </w:tc>
              <w:tc>
                <w:tcPr/>
                <w:p>
                  <w:pPr>
                    <w:pStyle w:val="Compact"/>
                    <w:jc w:val="left"/>
                    <w:jc w:val="center"/>
                  </w:pPr>
                  <w:r>
                    <w:t xml:space="preserve">0.7952</w:t>
                  </w:r>
                </w:p>
              </w:tc>
            </w:tr>
          </w:tbl>
          <w:bookmarkEnd w:id="1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tbl-ljung"/>
          <w:p>
            <w:pPr>
              <w:jc w:val="center"/>
            </w:pPr>
            <w:pPr>
              <w:jc w:val="start"/>
              <w:spacing w:before="200"/>
              <w:pStyle w:val="ImageCaption"/>
            </w:pPr>
            <w:r>
              <w:t xml:space="preserve">Tabela 10: Ljung–Box em diferentes lags; valores p exploratórios, sem correção por multiplicidade.</w:t>
            </w:r>
          </w:p>
          <w:p>
            <w:pPr>
              <w:pStyle w:val="Compact"/>
              <w:jc w:val="center"/>
            </w:pPr>
            <w:r>
              <w:t xml:space="preserve">Ljung–Box em diferentes lags; valores p exploratórios, sem correção por multiplicidade.</w:t>
            </w:r>
          </w:p>
          <w:tbl>
            <w:tblPr>
              <w:tblStyle w:val="Table"/>
              <w:tblW w:type="pct" w:w="5000"/>
              <w:tblLayout w:type="fixed"/>
              <w:tblLook w:firstRow="1" w:lastRow="0" w:firstColumn="0" w:lastColumn="0" w:noHBand="0" w:noVBand="0" w:val="0020"/>
              <w:tblCaption w:val="Ljung–Box em diferentes lags; valores p exploratórios, sem correção por multiplicidade."/>
            </w:tblPr>
            <w:tblGrid>
              <w:gridCol w:w="2223"/>
              <w:gridCol w:w="972"/>
              <w:gridCol w:w="972"/>
              <w:gridCol w:w="1667"/>
              <w:gridCol w:w="1111"/>
              <w:gridCol w:w="972"/>
            </w:tblGrid>
            <w:tr>
              <w:trPr>
                <w:tblHeader w:val="on"/>
              </w:trPr>
              <w:tc>
                <w:tcPr/>
                <w:p>
                  <w:pPr>
                    <w:pStyle w:val="Compact"/>
                    <w:jc w:val="left"/>
                    <w:jc w:val="center"/>
                  </w:pPr>
                  <w:r>
                    <w:t xml:space="preserve">serie</w:t>
                  </w:r>
                </w:p>
              </w:tc>
              <w:tc>
                <w:tcPr/>
                <w:p>
                  <w:pPr>
                    <w:pStyle w:val="Compact"/>
                    <w:jc w:val="left"/>
                    <w:jc w:val="center"/>
                  </w:pPr>
                  <w:r>
                    <w:t xml:space="preserve">n</w:t>
                  </w:r>
                </w:p>
              </w:tc>
              <w:tc>
                <w:tcPr/>
                <w:p>
                  <w:pPr>
                    <w:pStyle w:val="Compact"/>
                    <w:jc w:val="left"/>
                    <w:jc w:val="center"/>
                  </w:pPr>
                  <w:r>
                    <w:t xml:space="preserve">lag</w:t>
                  </w:r>
                </w:p>
              </w:tc>
              <w:tc>
                <w:tcPr/>
                <w:p>
                  <w:pPr>
                    <w:pStyle w:val="Compact"/>
                    <w:jc w:val="left"/>
                    <w:jc w:val="center"/>
                  </w:pPr>
                  <w:r>
                    <w:t xml:space="preserve">estatistica</w:t>
                  </w:r>
                </w:p>
              </w:tc>
              <w:tc>
                <w:tcPr/>
                <w:p>
                  <w:pPr>
                    <w:pStyle w:val="Compact"/>
                    <w:jc w:val="left"/>
                    <w:jc w:val="center"/>
                  </w:pPr>
                  <w:r>
                    <w:t xml:space="preserve">p</w:t>
                  </w:r>
                </w:p>
              </w:tc>
              <w:tc>
                <w:tcPr/>
                <w:p>
                  <w:pPr>
                    <w:pStyle w:val="Compact"/>
                    <w:jc w:val="left"/>
                    <w:jc w:val="center"/>
                  </w:pPr>
                  <w:r>
                    <w:t xml:space="preserve">acf1</w:t>
                  </w:r>
                </w:p>
              </w:tc>
            </w:tr>
            <w:tr>
              <w:tc>
                <w:tcPr/>
                <w:p>
                  <w:pPr>
                    <w:pStyle w:val="Compact"/>
                    <w:jc w:val="left"/>
                    <w:jc w:val="center"/>
                  </w:pPr>
                  <w:r>
                    <w:t xml:space="preserve">mediana_diaria</w:t>
                  </w:r>
                </w:p>
              </w:tc>
              <w:tc>
                <w:tcPr/>
                <w:p>
                  <w:pPr>
                    <w:pStyle w:val="Compact"/>
                    <w:jc w:val="left"/>
                    <w:jc w:val="center"/>
                  </w:pPr>
                  <w:r>
                    <w:t xml:space="preserve">1840</w:t>
                  </w:r>
                </w:p>
              </w:tc>
              <w:tc>
                <w:tcPr/>
                <w:p>
                  <w:pPr>
                    <w:pStyle w:val="Compact"/>
                    <w:jc w:val="left"/>
                    <w:jc w:val="center"/>
                  </w:pPr>
                  <w:r>
                    <w:t xml:space="preserve">1</w:t>
                  </w:r>
                </w:p>
              </w:tc>
              <w:tc>
                <w:tcPr/>
                <w:p>
                  <w:pPr>
                    <w:pStyle w:val="Compact"/>
                    <w:jc w:val="left"/>
                    <w:jc w:val="center"/>
                  </w:pPr>
                  <w:r>
                    <w:t xml:space="preserve">1752</w:t>
                  </w:r>
                </w:p>
              </w:tc>
              <w:tc>
                <w:tcPr/>
                <w:p>
                  <w:pPr>
                    <w:pStyle w:val="Compact"/>
                    <w:jc w:val="left"/>
                    <w:jc w:val="center"/>
                  </w:pPr>
                  <w:r>
                    <w:t xml:space="preserve">&lt; 0,001</w:t>
                  </w:r>
                </w:p>
              </w:tc>
              <w:tc>
                <w:tcPr/>
                <w:p>
                  <w:pPr>
                    <w:pStyle w:val="Compact"/>
                    <w:jc w:val="left"/>
                    <w:jc w:val="center"/>
                  </w:pPr>
                  <w:r>
                    <w:t xml:space="preserve">0.9751</w:t>
                  </w:r>
                </w:p>
              </w:tc>
            </w:tr>
            <w:tr>
              <w:tc>
                <w:tcPr/>
                <w:p>
                  <w:pPr>
                    <w:pStyle w:val="Compact"/>
                    <w:jc w:val="left"/>
                    <w:jc w:val="center"/>
                  </w:pPr>
                  <w:r>
                    <w:t xml:space="preserve">mediana_diaria</w:t>
                  </w:r>
                </w:p>
              </w:tc>
              <w:tc>
                <w:tcPr/>
                <w:p>
                  <w:pPr>
                    <w:pStyle w:val="Compact"/>
                    <w:jc w:val="left"/>
                    <w:jc w:val="center"/>
                  </w:pPr>
                  <w:r>
                    <w:t xml:space="preserve">1840</w:t>
                  </w:r>
                </w:p>
              </w:tc>
              <w:tc>
                <w:tcPr/>
                <w:p>
                  <w:pPr>
                    <w:pStyle w:val="Compact"/>
                    <w:jc w:val="left"/>
                    <w:jc w:val="center"/>
                  </w:pPr>
                  <w:r>
                    <w:t xml:space="preserve">3</w:t>
                  </w:r>
                </w:p>
              </w:tc>
              <w:tc>
                <w:tcPr/>
                <w:p>
                  <w:pPr>
                    <w:pStyle w:val="Compact"/>
                    <w:jc w:val="left"/>
                    <w:jc w:val="center"/>
                  </w:pPr>
                  <w:r>
                    <w:t xml:space="preserve">4953</w:t>
                  </w:r>
                </w:p>
              </w:tc>
              <w:tc>
                <w:tcPr/>
                <w:p>
                  <w:pPr>
                    <w:pStyle w:val="Compact"/>
                    <w:jc w:val="left"/>
                    <w:jc w:val="center"/>
                  </w:pPr>
                  <w:r>
                    <w:t xml:space="preserve">&lt; 0,001</w:t>
                  </w:r>
                </w:p>
              </w:tc>
              <w:tc>
                <w:tcPr/>
                <w:p>
                  <w:pPr>
                    <w:pStyle w:val="Compact"/>
                    <w:jc w:val="left"/>
                    <w:jc w:val="center"/>
                  </w:pPr>
                  <w:r>
                    <w:t xml:space="preserve">0.9751</w:t>
                  </w:r>
                </w:p>
              </w:tc>
            </w:tr>
            <w:tr>
              <w:tc>
                <w:tcPr/>
                <w:p>
                  <w:pPr>
                    <w:pStyle w:val="Compact"/>
                    <w:jc w:val="left"/>
                    <w:jc w:val="center"/>
                  </w:pPr>
                  <w:r>
                    <w:t xml:space="preserve">mediana_diaria</w:t>
                  </w:r>
                </w:p>
              </w:tc>
              <w:tc>
                <w:tcPr/>
                <w:p>
                  <w:pPr>
                    <w:pStyle w:val="Compact"/>
                    <w:jc w:val="left"/>
                    <w:jc w:val="center"/>
                  </w:pPr>
                  <w:r>
                    <w:t xml:space="preserve">1840</w:t>
                  </w:r>
                </w:p>
              </w:tc>
              <w:tc>
                <w:tcPr/>
                <w:p>
                  <w:pPr>
                    <w:pStyle w:val="Compact"/>
                    <w:jc w:val="left"/>
                    <w:jc w:val="center"/>
                  </w:pPr>
                  <w:r>
                    <w:t xml:space="preserve">6</w:t>
                  </w:r>
                </w:p>
              </w:tc>
              <w:tc>
                <w:tcPr/>
                <w:p>
                  <w:pPr>
                    <w:pStyle w:val="Compact"/>
                    <w:jc w:val="left"/>
                    <w:jc w:val="center"/>
                  </w:pPr>
                  <w:r>
                    <w:t xml:space="preserve">9121</w:t>
                  </w:r>
                </w:p>
              </w:tc>
              <w:tc>
                <w:tcPr/>
                <w:p>
                  <w:pPr>
                    <w:pStyle w:val="Compact"/>
                    <w:jc w:val="left"/>
                    <w:jc w:val="center"/>
                  </w:pPr>
                  <w:r>
                    <w:t xml:space="preserve">&lt; 0,001</w:t>
                  </w:r>
                </w:p>
              </w:tc>
              <w:tc>
                <w:tcPr/>
                <w:p>
                  <w:pPr>
                    <w:pStyle w:val="Compact"/>
                    <w:jc w:val="left"/>
                    <w:jc w:val="center"/>
                  </w:pPr>
                  <w:r>
                    <w:t xml:space="preserve">0.9751</w:t>
                  </w:r>
                </w:p>
              </w:tc>
            </w:tr>
            <w:tr>
              <w:tc>
                <w:tcPr/>
                <w:p>
                  <w:pPr>
                    <w:pStyle w:val="Compact"/>
                    <w:jc w:val="left"/>
                    <w:jc w:val="center"/>
                  </w:pPr>
                  <w:r>
                    <w:t xml:space="preserve">mediana_diaria</w:t>
                  </w:r>
                </w:p>
              </w:tc>
              <w:tc>
                <w:tcPr/>
                <w:p>
                  <w:pPr>
                    <w:pStyle w:val="Compact"/>
                    <w:jc w:val="left"/>
                    <w:jc w:val="center"/>
                  </w:pPr>
                  <w:r>
                    <w:t xml:space="preserve">1840</w:t>
                  </w:r>
                </w:p>
              </w:tc>
              <w:tc>
                <w:tcPr/>
                <w:p>
                  <w:pPr>
                    <w:pStyle w:val="Compact"/>
                    <w:jc w:val="left"/>
                    <w:jc w:val="center"/>
                  </w:pPr>
                  <w:r>
                    <w:t xml:space="preserve">12</w:t>
                  </w:r>
                </w:p>
              </w:tc>
              <w:tc>
                <w:tcPr/>
                <w:p>
                  <w:pPr>
                    <w:pStyle w:val="Compact"/>
                    <w:jc w:val="left"/>
                    <w:jc w:val="center"/>
                  </w:pPr>
                  <w:r>
                    <w:t xml:space="preserve">16038</w:t>
                  </w:r>
                </w:p>
              </w:tc>
              <w:tc>
                <w:tcPr/>
                <w:p>
                  <w:pPr>
                    <w:pStyle w:val="Compact"/>
                    <w:jc w:val="left"/>
                    <w:jc w:val="center"/>
                  </w:pPr>
                  <w:r>
                    <w:t xml:space="preserve">&lt; 0,001</w:t>
                  </w:r>
                </w:p>
              </w:tc>
              <w:tc>
                <w:tcPr/>
                <w:p>
                  <w:pPr>
                    <w:pStyle w:val="Compact"/>
                    <w:jc w:val="left"/>
                    <w:jc w:val="center"/>
                  </w:pPr>
                  <w:r>
                    <w:t xml:space="preserve">0.9751</w:t>
                  </w:r>
                </w:p>
              </w:tc>
            </w:tr>
            <w:tr>
              <w:tc>
                <w:tcPr/>
                <w:p>
                  <w:pPr>
                    <w:pStyle w:val="Compact"/>
                    <w:jc w:val="left"/>
                    <w:jc w:val="center"/>
                  </w:pPr>
                  <w:r>
                    <w:t xml:space="preserve">mediana_diaria</w:t>
                  </w:r>
                </w:p>
              </w:tc>
              <w:tc>
                <w:tcPr/>
                <w:p>
                  <w:pPr>
                    <w:pStyle w:val="Compact"/>
                    <w:jc w:val="left"/>
                    <w:jc w:val="center"/>
                  </w:pPr>
                  <w:r>
                    <w:t xml:space="preserve">1840</w:t>
                  </w:r>
                </w:p>
              </w:tc>
              <w:tc>
                <w:tcPr/>
                <w:p>
                  <w:pPr>
                    <w:pStyle w:val="Compact"/>
                    <w:jc w:val="left"/>
                    <w:jc w:val="center"/>
                  </w:pPr>
                  <w:r>
                    <w:t xml:space="preserve">24</w:t>
                  </w:r>
                </w:p>
              </w:tc>
              <w:tc>
                <w:tcPr/>
                <w:p>
                  <w:pPr>
                    <w:pStyle w:val="Compact"/>
                    <w:jc w:val="left"/>
                    <w:jc w:val="center"/>
                  </w:pPr>
                  <w:r>
                    <w:t xml:space="preserve">29951</w:t>
                  </w:r>
                </w:p>
              </w:tc>
              <w:tc>
                <w:tcPr/>
                <w:p>
                  <w:pPr>
                    <w:pStyle w:val="Compact"/>
                    <w:jc w:val="left"/>
                    <w:jc w:val="center"/>
                  </w:pPr>
                  <w:r>
                    <w:t xml:space="preserve">&lt; 0,001</w:t>
                  </w:r>
                </w:p>
              </w:tc>
              <w:tc>
                <w:tcPr/>
                <w:p>
                  <w:pPr>
                    <w:pStyle w:val="Compact"/>
                    <w:jc w:val="left"/>
                    <w:jc w:val="center"/>
                  </w:pPr>
                  <w:r>
                    <w:t xml:space="preserve">0.9751</w:t>
                  </w:r>
                </w:p>
              </w:tc>
            </w:tr>
            <w:tr>
              <w:tc>
                <w:tcPr/>
                <w:p>
                  <w:pPr>
                    <w:pStyle w:val="Compact"/>
                    <w:jc w:val="left"/>
                    <w:jc w:val="center"/>
                  </w:pPr>
                  <w:r>
                    <w:t xml:space="preserve">maximos_diario</w:t>
                  </w:r>
                </w:p>
              </w:tc>
              <w:tc>
                <w:tcPr/>
                <w:p>
                  <w:pPr>
                    <w:pStyle w:val="Compact"/>
                    <w:jc w:val="left"/>
                    <w:jc w:val="center"/>
                  </w:pPr>
                  <w:r>
                    <w:t xml:space="preserve">365</w:t>
                  </w:r>
                </w:p>
              </w:tc>
              <w:tc>
                <w:tcPr/>
                <w:p>
                  <w:pPr>
                    <w:pStyle w:val="Compact"/>
                    <w:jc w:val="left"/>
                    <w:jc w:val="center"/>
                  </w:pPr>
                  <w:r>
                    <w:t xml:space="preserve">1</w:t>
                  </w:r>
                </w:p>
              </w:tc>
              <w:tc>
                <w:tcPr/>
                <w:p>
                  <w:pPr>
                    <w:pStyle w:val="Compact"/>
                    <w:jc w:val="left"/>
                    <w:jc w:val="center"/>
                  </w:pPr>
                  <w:r>
                    <w:t xml:space="preserve">152.7</w:t>
                  </w:r>
                </w:p>
              </w:tc>
              <w:tc>
                <w:tcPr/>
                <w:p>
                  <w:pPr>
                    <w:pStyle w:val="Compact"/>
                    <w:jc w:val="left"/>
                    <w:jc w:val="center"/>
                  </w:pPr>
                  <w:r>
                    <w:t xml:space="preserve">&lt; 0,001</w:t>
                  </w:r>
                </w:p>
              </w:tc>
              <w:tc>
                <w:tcPr/>
                <w:p>
                  <w:pPr>
                    <w:pStyle w:val="Compact"/>
                    <w:jc w:val="left"/>
                    <w:jc w:val="center"/>
                  </w:pPr>
                  <w:r>
                    <w:t xml:space="preserve">0.6441</w:t>
                  </w:r>
                </w:p>
              </w:tc>
            </w:tr>
            <w:tr>
              <w:tc>
                <w:tcPr/>
                <w:p>
                  <w:pPr>
                    <w:pStyle w:val="Compact"/>
                    <w:jc w:val="left"/>
                    <w:jc w:val="center"/>
                  </w:pPr>
                  <w:r>
                    <w:t xml:space="preserve">maximos_diario</w:t>
                  </w:r>
                </w:p>
              </w:tc>
              <w:tc>
                <w:tcPr/>
                <w:p>
                  <w:pPr>
                    <w:pStyle w:val="Compact"/>
                    <w:jc w:val="left"/>
                    <w:jc w:val="center"/>
                  </w:pPr>
                  <w:r>
                    <w:t xml:space="preserve">365</w:t>
                  </w:r>
                </w:p>
              </w:tc>
              <w:tc>
                <w:tcPr/>
                <w:p>
                  <w:pPr>
                    <w:pStyle w:val="Compact"/>
                    <w:jc w:val="left"/>
                    <w:jc w:val="center"/>
                  </w:pPr>
                  <w:r>
                    <w:t xml:space="preserve">3</w:t>
                  </w:r>
                </w:p>
              </w:tc>
              <w:tc>
                <w:tcPr/>
                <w:p>
                  <w:pPr>
                    <w:pStyle w:val="Compact"/>
                    <w:jc w:val="left"/>
                    <w:jc w:val="center"/>
                  </w:pPr>
                  <w:r>
                    <w:t xml:space="preserve">355.9</w:t>
                  </w:r>
                </w:p>
              </w:tc>
              <w:tc>
                <w:tcPr/>
                <w:p>
                  <w:pPr>
                    <w:pStyle w:val="Compact"/>
                    <w:jc w:val="left"/>
                    <w:jc w:val="center"/>
                  </w:pPr>
                  <w:r>
                    <w:t xml:space="preserve">&lt; 0,001</w:t>
                  </w:r>
                </w:p>
              </w:tc>
              <w:tc>
                <w:tcPr/>
                <w:p>
                  <w:pPr>
                    <w:pStyle w:val="Compact"/>
                    <w:jc w:val="left"/>
                    <w:jc w:val="center"/>
                  </w:pPr>
                  <w:r>
                    <w:t xml:space="preserve">0.6441</w:t>
                  </w:r>
                </w:p>
              </w:tc>
            </w:tr>
            <w:tr>
              <w:tc>
                <w:tcPr/>
                <w:p>
                  <w:pPr>
                    <w:pStyle w:val="Compact"/>
                    <w:jc w:val="left"/>
                    <w:jc w:val="center"/>
                  </w:pPr>
                  <w:r>
                    <w:t xml:space="preserve">maximos_diario</w:t>
                  </w:r>
                </w:p>
              </w:tc>
              <w:tc>
                <w:tcPr/>
                <w:p>
                  <w:pPr>
                    <w:pStyle w:val="Compact"/>
                    <w:jc w:val="left"/>
                    <w:jc w:val="center"/>
                  </w:pPr>
                  <w:r>
                    <w:t xml:space="preserve">365</w:t>
                  </w:r>
                </w:p>
              </w:tc>
              <w:tc>
                <w:tcPr/>
                <w:p>
                  <w:pPr>
                    <w:pStyle w:val="Compact"/>
                    <w:jc w:val="left"/>
                    <w:jc w:val="center"/>
                  </w:pPr>
                  <w:r>
                    <w:t xml:space="preserve">6</w:t>
                  </w:r>
                </w:p>
              </w:tc>
              <w:tc>
                <w:tcPr/>
                <w:p>
                  <w:pPr>
                    <w:pStyle w:val="Compact"/>
                    <w:jc w:val="left"/>
                    <w:jc w:val="center"/>
                  </w:pPr>
                  <w:r>
                    <w:t xml:space="preserve">511.7</w:t>
                  </w:r>
                </w:p>
              </w:tc>
              <w:tc>
                <w:tcPr/>
                <w:p>
                  <w:pPr>
                    <w:pStyle w:val="Compact"/>
                    <w:jc w:val="left"/>
                    <w:jc w:val="center"/>
                  </w:pPr>
                  <w:r>
                    <w:t xml:space="preserve">&lt; 0,001</w:t>
                  </w:r>
                </w:p>
              </w:tc>
              <w:tc>
                <w:tcPr/>
                <w:p>
                  <w:pPr>
                    <w:pStyle w:val="Compact"/>
                    <w:jc w:val="left"/>
                    <w:jc w:val="center"/>
                  </w:pPr>
                  <w:r>
                    <w:t xml:space="preserve">0.6441</w:t>
                  </w:r>
                </w:p>
              </w:tc>
            </w:tr>
            <w:tr>
              <w:tc>
                <w:tcPr/>
                <w:p>
                  <w:pPr>
                    <w:pStyle w:val="Compact"/>
                    <w:jc w:val="left"/>
                    <w:jc w:val="center"/>
                  </w:pPr>
                  <w:r>
                    <w:t xml:space="preserve">maximos_diario</w:t>
                  </w:r>
                </w:p>
              </w:tc>
              <w:tc>
                <w:tcPr/>
                <w:p>
                  <w:pPr>
                    <w:pStyle w:val="Compact"/>
                    <w:jc w:val="left"/>
                    <w:jc w:val="center"/>
                  </w:pPr>
                  <w:r>
                    <w:t xml:space="preserve">365</w:t>
                  </w:r>
                </w:p>
              </w:tc>
              <w:tc>
                <w:tcPr/>
                <w:p>
                  <w:pPr>
                    <w:pStyle w:val="Compact"/>
                    <w:jc w:val="left"/>
                    <w:jc w:val="center"/>
                  </w:pPr>
                  <w:r>
                    <w:t xml:space="preserve">12</w:t>
                  </w:r>
                </w:p>
              </w:tc>
              <w:tc>
                <w:tcPr/>
                <w:p>
                  <w:pPr>
                    <w:pStyle w:val="Compact"/>
                    <w:jc w:val="left"/>
                    <w:jc w:val="center"/>
                  </w:pPr>
                  <w:r>
                    <w:t xml:space="preserve">650</w:t>
                  </w:r>
                </w:p>
              </w:tc>
              <w:tc>
                <w:tcPr/>
                <w:p>
                  <w:pPr>
                    <w:pStyle w:val="Compact"/>
                    <w:jc w:val="left"/>
                    <w:jc w:val="center"/>
                  </w:pPr>
                  <w:r>
                    <w:t xml:space="preserve">&lt; 0,001</w:t>
                  </w:r>
                </w:p>
              </w:tc>
              <w:tc>
                <w:tcPr/>
                <w:p>
                  <w:pPr>
                    <w:pStyle w:val="Compact"/>
                    <w:jc w:val="left"/>
                    <w:jc w:val="center"/>
                  </w:pPr>
                  <w:r>
                    <w:t xml:space="preserve">0.6441</w:t>
                  </w:r>
                </w:p>
              </w:tc>
            </w:tr>
            <w:tr>
              <w:tc>
                <w:tcPr/>
                <w:p>
                  <w:pPr>
                    <w:pStyle w:val="Compact"/>
                    <w:jc w:val="left"/>
                    <w:jc w:val="center"/>
                  </w:pPr>
                  <w:r>
                    <w:t xml:space="preserve">maximos_diario</w:t>
                  </w:r>
                </w:p>
              </w:tc>
              <w:tc>
                <w:tcPr/>
                <w:p>
                  <w:pPr>
                    <w:pStyle w:val="Compact"/>
                    <w:jc w:val="left"/>
                    <w:jc w:val="center"/>
                  </w:pPr>
                  <w:r>
                    <w:t xml:space="preserve">365</w:t>
                  </w:r>
                </w:p>
              </w:tc>
              <w:tc>
                <w:tcPr/>
                <w:p>
                  <w:pPr>
                    <w:pStyle w:val="Compact"/>
                    <w:jc w:val="left"/>
                    <w:jc w:val="center"/>
                  </w:pPr>
                  <w:r>
                    <w:t xml:space="preserve">24</w:t>
                  </w:r>
                </w:p>
              </w:tc>
              <w:tc>
                <w:tcPr/>
                <w:p>
                  <w:pPr>
                    <w:pStyle w:val="Compact"/>
                    <w:jc w:val="left"/>
                    <w:jc w:val="center"/>
                  </w:pPr>
                  <w:r>
                    <w:t xml:space="preserve">714.4</w:t>
                  </w:r>
                </w:p>
              </w:tc>
              <w:tc>
                <w:tcPr/>
                <w:p>
                  <w:pPr>
                    <w:pStyle w:val="Compact"/>
                    <w:jc w:val="left"/>
                    <w:jc w:val="center"/>
                  </w:pPr>
                  <w:r>
                    <w:t xml:space="preserve">&lt; 0,001</w:t>
                  </w:r>
                </w:p>
              </w:tc>
              <w:tc>
                <w:tcPr/>
                <w:p>
                  <w:pPr>
                    <w:pStyle w:val="Compact"/>
                    <w:jc w:val="left"/>
                    <w:jc w:val="center"/>
                  </w:pPr>
                  <w:r>
                    <w:t xml:space="preserve">0.6441</w:t>
                  </w:r>
                </w:p>
              </w:tc>
            </w:tr>
            <w:tr>
              <w:tc>
                <w:tcPr/>
                <w:p>
                  <w:pPr>
                    <w:pStyle w:val="Compact"/>
                    <w:jc w:val="left"/>
                    <w:jc w:val="center"/>
                  </w:pPr>
                  <w:r>
                    <w:t xml:space="preserve">maximos_semanal</w:t>
                  </w:r>
                </w:p>
              </w:tc>
              <w:tc>
                <w:tcPr/>
                <w:p>
                  <w:pPr>
                    <w:pStyle w:val="Compact"/>
                    <w:jc w:val="left"/>
                    <w:jc w:val="center"/>
                  </w:pPr>
                  <w:r>
                    <w:t xml:space="preserve">109</w:t>
                  </w:r>
                </w:p>
              </w:tc>
              <w:tc>
                <w:tcPr/>
                <w:p>
                  <w:pPr>
                    <w:pStyle w:val="Compact"/>
                    <w:jc w:val="left"/>
                    <w:jc w:val="center"/>
                  </w:pPr>
                  <w:r>
                    <w:t xml:space="preserve">1</w:t>
                  </w:r>
                </w:p>
              </w:tc>
              <w:tc>
                <w:tcPr/>
                <w:p>
                  <w:pPr>
                    <w:pStyle w:val="Compact"/>
                    <w:jc w:val="left"/>
                    <w:jc w:val="center"/>
                  </w:pPr>
                  <w:r>
                    <w:t xml:space="preserve">35.82</w:t>
                  </w:r>
                </w:p>
              </w:tc>
              <w:tc>
                <w:tcPr/>
                <w:p>
                  <w:pPr>
                    <w:pStyle w:val="Compact"/>
                    <w:jc w:val="left"/>
                    <w:jc w:val="center"/>
                  </w:pPr>
                  <w:r>
                    <w:t xml:space="preserve">&lt; 0,001</w:t>
                  </w:r>
                </w:p>
              </w:tc>
              <w:tc>
                <w:tcPr/>
                <w:p>
                  <w:pPr>
                    <w:pStyle w:val="Compact"/>
                    <w:jc w:val="left"/>
                    <w:jc w:val="center"/>
                  </w:pPr>
                  <w:r>
                    <w:t xml:space="preserve">0.5655</w:t>
                  </w:r>
                </w:p>
              </w:tc>
            </w:tr>
            <w:tr>
              <w:tc>
                <w:tcPr/>
                <w:p>
                  <w:pPr>
                    <w:pStyle w:val="Compact"/>
                    <w:jc w:val="left"/>
                    <w:jc w:val="center"/>
                  </w:pPr>
                  <w:r>
                    <w:t xml:space="preserve">maximos_semanal</w:t>
                  </w:r>
                </w:p>
              </w:tc>
              <w:tc>
                <w:tcPr/>
                <w:p>
                  <w:pPr>
                    <w:pStyle w:val="Compact"/>
                    <w:jc w:val="left"/>
                    <w:jc w:val="center"/>
                  </w:pPr>
                  <w:r>
                    <w:t xml:space="preserve">109</w:t>
                  </w:r>
                </w:p>
              </w:tc>
              <w:tc>
                <w:tcPr/>
                <w:p>
                  <w:pPr>
                    <w:pStyle w:val="Compact"/>
                    <w:jc w:val="left"/>
                    <w:jc w:val="center"/>
                  </w:pPr>
                  <w:r>
                    <w:t xml:space="preserve">3</w:t>
                  </w:r>
                </w:p>
              </w:tc>
              <w:tc>
                <w:tcPr/>
                <w:p>
                  <w:pPr>
                    <w:pStyle w:val="Compact"/>
                    <w:jc w:val="left"/>
                    <w:jc w:val="center"/>
                  </w:pPr>
                  <w:r>
                    <w:t xml:space="preserve">82.32</w:t>
                  </w:r>
                </w:p>
              </w:tc>
              <w:tc>
                <w:tcPr/>
                <w:p>
                  <w:pPr>
                    <w:pStyle w:val="Compact"/>
                    <w:jc w:val="left"/>
                    <w:jc w:val="center"/>
                  </w:pPr>
                  <w:r>
                    <w:t xml:space="preserve">&lt; 0,001</w:t>
                  </w:r>
                </w:p>
              </w:tc>
              <w:tc>
                <w:tcPr/>
                <w:p>
                  <w:pPr>
                    <w:pStyle w:val="Compact"/>
                    <w:jc w:val="left"/>
                    <w:jc w:val="center"/>
                  </w:pPr>
                  <w:r>
                    <w:t xml:space="preserve">0.5655</w:t>
                  </w:r>
                </w:p>
              </w:tc>
            </w:tr>
            <w:tr>
              <w:tc>
                <w:tcPr/>
                <w:p>
                  <w:pPr>
                    <w:pStyle w:val="Compact"/>
                    <w:jc w:val="left"/>
                    <w:jc w:val="center"/>
                  </w:pPr>
                  <w:r>
                    <w:t xml:space="preserve">maximos_semanal</w:t>
                  </w:r>
                </w:p>
              </w:tc>
              <w:tc>
                <w:tcPr/>
                <w:p>
                  <w:pPr>
                    <w:pStyle w:val="Compact"/>
                    <w:jc w:val="left"/>
                    <w:jc w:val="center"/>
                  </w:pPr>
                  <w:r>
                    <w:t xml:space="preserve">109</w:t>
                  </w:r>
                </w:p>
              </w:tc>
              <w:tc>
                <w:tcPr/>
                <w:p>
                  <w:pPr>
                    <w:pStyle w:val="Compact"/>
                    <w:jc w:val="left"/>
                    <w:jc w:val="center"/>
                  </w:pPr>
                  <w:r>
                    <w:t xml:space="preserve">6</w:t>
                  </w:r>
                </w:p>
              </w:tc>
              <w:tc>
                <w:tcPr/>
                <w:p>
                  <w:pPr>
                    <w:pStyle w:val="Compact"/>
                    <w:jc w:val="left"/>
                    <w:jc w:val="center"/>
                  </w:pPr>
                  <w:r>
                    <w:t xml:space="preserve">117.6</w:t>
                  </w:r>
                </w:p>
              </w:tc>
              <w:tc>
                <w:tcPr/>
                <w:p>
                  <w:pPr>
                    <w:pStyle w:val="Compact"/>
                    <w:jc w:val="left"/>
                    <w:jc w:val="center"/>
                  </w:pPr>
                  <w:r>
                    <w:t xml:space="preserve">&lt; 0,001</w:t>
                  </w:r>
                </w:p>
              </w:tc>
              <w:tc>
                <w:tcPr/>
                <w:p>
                  <w:pPr>
                    <w:pStyle w:val="Compact"/>
                    <w:jc w:val="left"/>
                    <w:jc w:val="center"/>
                  </w:pPr>
                  <w:r>
                    <w:t xml:space="preserve">0.5655</w:t>
                  </w:r>
                </w:p>
              </w:tc>
            </w:tr>
            <w:tr>
              <w:tc>
                <w:tcPr/>
                <w:p>
                  <w:pPr>
                    <w:pStyle w:val="Compact"/>
                    <w:jc w:val="left"/>
                    <w:jc w:val="center"/>
                  </w:pPr>
                  <w:r>
                    <w:t xml:space="preserve">maximos_semanal</w:t>
                  </w:r>
                </w:p>
              </w:tc>
              <w:tc>
                <w:tcPr/>
                <w:p>
                  <w:pPr>
                    <w:pStyle w:val="Compact"/>
                    <w:jc w:val="left"/>
                    <w:jc w:val="center"/>
                  </w:pPr>
                  <w:r>
                    <w:t xml:space="preserve">109</w:t>
                  </w:r>
                </w:p>
              </w:tc>
              <w:tc>
                <w:tcPr/>
                <w:p>
                  <w:pPr>
                    <w:pStyle w:val="Compact"/>
                    <w:jc w:val="left"/>
                    <w:jc w:val="center"/>
                  </w:pPr>
                  <w:r>
                    <w:t xml:space="preserve">12</w:t>
                  </w:r>
                </w:p>
              </w:tc>
              <w:tc>
                <w:tcPr/>
                <w:p>
                  <w:pPr>
                    <w:pStyle w:val="Compact"/>
                    <w:jc w:val="left"/>
                    <w:jc w:val="center"/>
                  </w:pPr>
                  <w:r>
                    <w:t xml:space="preserve">160.3</w:t>
                  </w:r>
                </w:p>
              </w:tc>
              <w:tc>
                <w:tcPr/>
                <w:p>
                  <w:pPr>
                    <w:pStyle w:val="Compact"/>
                    <w:jc w:val="left"/>
                    <w:jc w:val="center"/>
                  </w:pPr>
                  <w:r>
                    <w:t xml:space="preserve">&lt; 0,001</w:t>
                  </w:r>
                </w:p>
              </w:tc>
              <w:tc>
                <w:tcPr/>
                <w:p>
                  <w:pPr>
                    <w:pStyle w:val="Compact"/>
                    <w:jc w:val="left"/>
                    <w:jc w:val="center"/>
                  </w:pPr>
                  <w:r>
                    <w:t xml:space="preserve">0.5655</w:t>
                  </w:r>
                </w:p>
              </w:tc>
            </w:tr>
            <w:tr>
              <w:tc>
                <w:tcPr/>
                <w:p>
                  <w:pPr>
                    <w:pStyle w:val="Compact"/>
                    <w:jc w:val="left"/>
                    <w:jc w:val="center"/>
                  </w:pPr>
                  <w:r>
                    <w:t xml:space="preserve">maximos_semanal</w:t>
                  </w:r>
                </w:p>
              </w:tc>
              <w:tc>
                <w:tcPr/>
                <w:p>
                  <w:pPr>
                    <w:pStyle w:val="Compact"/>
                    <w:jc w:val="left"/>
                    <w:jc w:val="center"/>
                  </w:pPr>
                  <w:r>
                    <w:t xml:space="preserve">109</w:t>
                  </w:r>
                </w:p>
              </w:tc>
              <w:tc>
                <w:tcPr/>
                <w:p>
                  <w:pPr>
                    <w:pStyle w:val="Compact"/>
                    <w:jc w:val="left"/>
                    <w:jc w:val="center"/>
                  </w:pPr>
                  <w:r>
                    <w:t xml:space="preserve">24</w:t>
                  </w:r>
                </w:p>
              </w:tc>
              <w:tc>
                <w:tcPr/>
                <w:p>
                  <w:pPr>
                    <w:pStyle w:val="Compact"/>
                    <w:jc w:val="left"/>
                    <w:jc w:val="center"/>
                  </w:pPr>
                  <w:r>
                    <w:t xml:space="preserve">179.6</w:t>
                  </w:r>
                </w:p>
              </w:tc>
              <w:tc>
                <w:tcPr/>
                <w:p>
                  <w:pPr>
                    <w:pStyle w:val="Compact"/>
                    <w:jc w:val="left"/>
                    <w:jc w:val="center"/>
                  </w:pPr>
                  <w:r>
                    <w:t xml:space="preserve">&lt; 0,001</w:t>
                  </w:r>
                </w:p>
              </w:tc>
              <w:tc>
                <w:tcPr/>
                <w:p>
                  <w:pPr>
                    <w:pStyle w:val="Compact"/>
                    <w:jc w:val="left"/>
                    <w:jc w:val="center"/>
                  </w:pPr>
                  <w:r>
                    <w:t xml:space="preserve">0.5655</w:t>
                  </w:r>
                </w:p>
              </w:tc>
            </w:tr>
            <w:tr>
              <w:tc>
                <w:tcPr/>
                <w:p>
                  <w:pPr>
                    <w:pStyle w:val="Compact"/>
                    <w:jc w:val="left"/>
                    <w:jc w:val="center"/>
                  </w:pPr>
                  <w:r>
                    <w:t xml:space="preserve">maximos_mensal</w:t>
                  </w:r>
                </w:p>
              </w:tc>
              <w:tc>
                <w:tcPr/>
                <w:p>
                  <w:pPr>
                    <w:pStyle w:val="Compact"/>
                    <w:jc w:val="left"/>
                    <w:jc w:val="center"/>
                  </w:pPr>
                  <w:r>
                    <w:t xml:space="preserve">87</w:t>
                  </w:r>
                </w:p>
              </w:tc>
              <w:tc>
                <w:tcPr/>
                <w:p>
                  <w:pPr>
                    <w:pStyle w:val="Compact"/>
                    <w:jc w:val="left"/>
                    <w:jc w:val="center"/>
                  </w:pPr>
                  <w:r>
                    <w:t xml:space="preserve">1</w:t>
                  </w:r>
                </w:p>
              </w:tc>
              <w:tc>
                <w:tcPr/>
                <w:p>
                  <w:pPr>
                    <w:pStyle w:val="Compact"/>
                    <w:jc w:val="left"/>
                    <w:jc w:val="center"/>
                  </w:pPr>
                  <w:r>
                    <w:t xml:space="preserve">60.3</w:t>
                  </w:r>
                </w:p>
              </w:tc>
              <w:tc>
                <w:tcPr/>
                <w:p>
                  <w:pPr>
                    <w:pStyle w:val="Compact"/>
                    <w:jc w:val="left"/>
                    <w:jc w:val="center"/>
                  </w:pPr>
                  <w:r>
                    <w:t xml:space="preserve">&lt; 0,001</w:t>
                  </w:r>
                </w:p>
              </w:tc>
              <w:tc>
                <w:tcPr/>
                <w:p>
                  <w:pPr>
                    <w:pStyle w:val="Compact"/>
                    <w:jc w:val="left"/>
                    <w:jc w:val="center"/>
                  </w:pPr>
                  <w:r>
                    <w:t xml:space="preserve">0.8184</w:t>
                  </w:r>
                </w:p>
              </w:tc>
            </w:tr>
            <w:tr>
              <w:tc>
                <w:tcPr/>
                <w:p>
                  <w:pPr>
                    <w:pStyle w:val="Compact"/>
                    <w:jc w:val="left"/>
                    <w:jc w:val="center"/>
                  </w:pPr>
                  <w:r>
                    <w:t xml:space="preserve">maximos_mensal</w:t>
                  </w:r>
                </w:p>
              </w:tc>
              <w:tc>
                <w:tcPr/>
                <w:p>
                  <w:pPr>
                    <w:pStyle w:val="Compact"/>
                    <w:jc w:val="left"/>
                    <w:jc w:val="center"/>
                  </w:pPr>
                  <w:r>
                    <w:t xml:space="preserve">87</w:t>
                  </w:r>
                </w:p>
              </w:tc>
              <w:tc>
                <w:tcPr/>
                <w:p>
                  <w:pPr>
                    <w:pStyle w:val="Compact"/>
                    <w:jc w:val="left"/>
                    <w:jc w:val="center"/>
                  </w:pPr>
                  <w:r>
                    <w:t xml:space="preserve">3</w:t>
                  </w:r>
                </w:p>
              </w:tc>
              <w:tc>
                <w:tcPr/>
                <w:p>
                  <w:pPr>
                    <w:pStyle w:val="Compact"/>
                    <w:jc w:val="left"/>
                    <w:jc w:val="center"/>
                  </w:pPr>
                  <w:r>
                    <w:t xml:space="preserve">176</w:t>
                  </w:r>
                </w:p>
              </w:tc>
              <w:tc>
                <w:tcPr/>
                <w:p>
                  <w:pPr>
                    <w:pStyle w:val="Compact"/>
                    <w:jc w:val="left"/>
                    <w:jc w:val="center"/>
                  </w:pPr>
                  <w:r>
                    <w:t xml:space="preserve">&lt; 0,001</w:t>
                  </w:r>
                </w:p>
              </w:tc>
              <w:tc>
                <w:tcPr/>
                <w:p>
                  <w:pPr>
                    <w:pStyle w:val="Compact"/>
                    <w:jc w:val="left"/>
                    <w:jc w:val="center"/>
                  </w:pPr>
                  <w:r>
                    <w:t xml:space="preserve">0.8184</w:t>
                  </w:r>
                </w:p>
              </w:tc>
            </w:tr>
            <w:tr>
              <w:tc>
                <w:tcPr/>
                <w:p>
                  <w:pPr>
                    <w:pStyle w:val="Compact"/>
                    <w:jc w:val="left"/>
                    <w:jc w:val="center"/>
                  </w:pPr>
                  <w:r>
                    <w:t xml:space="preserve">maximos_mensal</w:t>
                  </w:r>
                </w:p>
              </w:tc>
              <w:tc>
                <w:tcPr/>
                <w:p>
                  <w:pPr>
                    <w:pStyle w:val="Compact"/>
                    <w:jc w:val="left"/>
                    <w:jc w:val="center"/>
                  </w:pPr>
                  <w:r>
                    <w:t xml:space="preserve">87</w:t>
                  </w:r>
                </w:p>
              </w:tc>
              <w:tc>
                <w:tcPr/>
                <w:p>
                  <w:pPr>
                    <w:pStyle w:val="Compact"/>
                    <w:jc w:val="left"/>
                    <w:jc w:val="center"/>
                  </w:pPr>
                  <w:r>
                    <w:t xml:space="preserve">6</w:t>
                  </w:r>
                </w:p>
              </w:tc>
              <w:tc>
                <w:tcPr/>
                <w:p>
                  <w:pPr>
                    <w:pStyle w:val="Compact"/>
                    <w:jc w:val="left"/>
                    <w:jc w:val="center"/>
                  </w:pPr>
                  <w:r>
                    <w:t xml:space="preserve">322.6</w:t>
                  </w:r>
                </w:p>
              </w:tc>
              <w:tc>
                <w:tcPr/>
                <w:p>
                  <w:pPr>
                    <w:pStyle w:val="Compact"/>
                    <w:jc w:val="left"/>
                    <w:jc w:val="center"/>
                  </w:pPr>
                  <w:r>
                    <w:t xml:space="preserve">&lt; 0,001</w:t>
                  </w:r>
                </w:p>
              </w:tc>
              <w:tc>
                <w:tcPr/>
                <w:p>
                  <w:pPr>
                    <w:pStyle w:val="Compact"/>
                    <w:jc w:val="left"/>
                    <w:jc w:val="center"/>
                  </w:pPr>
                  <w:r>
                    <w:t xml:space="preserve">0.8184</w:t>
                  </w:r>
                </w:p>
              </w:tc>
            </w:tr>
            <w:tr>
              <w:tc>
                <w:tcPr/>
                <w:p>
                  <w:pPr>
                    <w:pStyle w:val="Compact"/>
                    <w:jc w:val="left"/>
                    <w:jc w:val="center"/>
                  </w:pPr>
                  <w:r>
                    <w:t xml:space="preserve">maximos_mensal</w:t>
                  </w:r>
                </w:p>
              </w:tc>
              <w:tc>
                <w:tcPr/>
                <w:p>
                  <w:pPr>
                    <w:pStyle w:val="Compact"/>
                    <w:jc w:val="left"/>
                    <w:jc w:val="center"/>
                  </w:pPr>
                  <w:r>
                    <w:t xml:space="preserve">87</w:t>
                  </w:r>
                </w:p>
              </w:tc>
              <w:tc>
                <w:tcPr/>
                <w:p>
                  <w:pPr>
                    <w:pStyle w:val="Compact"/>
                    <w:jc w:val="left"/>
                    <w:jc w:val="center"/>
                  </w:pPr>
                  <w:r>
                    <w:t xml:space="preserve">12</w:t>
                  </w:r>
                </w:p>
              </w:tc>
              <w:tc>
                <w:tcPr/>
                <w:p>
                  <w:pPr>
                    <w:pStyle w:val="Compact"/>
                    <w:jc w:val="left"/>
                    <w:jc w:val="center"/>
                  </w:pPr>
                  <w:r>
                    <w:t xml:space="preserve">534.4</w:t>
                  </w:r>
                </w:p>
              </w:tc>
              <w:tc>
                <w:tcPr/>
                <w:p>
                  <w:pPr>
                    <w:pStyle w:val="Compact"/>
                    <w:jc w:val="left"/>
                    <w:jc w:val="center"/>
                  </w:pPr>
                  <w:r>
                    <w:t xml:space="preserve">&lt; 0,001</w:t>
                  </w:r>
                </w:p>
              </w:tc>
              <w:tc>
                <w:tcPr/>
                <w:p>
                  <w:pPr>
                    <w:pStyle w:val="Compact"/>
                    <w:jc w:val="left"/>
                    <w:jc w:val="center"/>
                  </w:pPr>
                  <w:r>
                    <w:t xml:space="preserve">0.8184</w:t>
                  </w:r>
                </w:p>
              </w:tc>
            </w:tr>
          </w:tbl>
          <w:bookmarkEnd w:id="106"/>
          <w:p/>
        </w:tc>
      </w:tr>
    </w:tbl>
    <w:tbl>
      <w:tblPr>
        <w:tblStyle w:val="Table"/>
        <w:tblW w:type="pct" w:w="5000"/>
        <w:tblLayout w:type="fixed"/>
        <w:tblLook w:firstRow="0" w:lastRow="0" w:firstColumn="0" w:lastColumn="0" w:noHBand="0" w:noVBand="0" w:val="0000"/>
      </w:tblPr>
      <w:tblGrid>
        <w:gridCol w:w="7920"/>
      </w:tblGrid>
      <w:tr>
        <w:tc>
          <w:tcPr/>
          <w:bookmarkStart w:id="110" w:name="fig-dependencia-1"/>
          <w:p>
            <w:pPr>
              <w:pStyle w:val="Compact"/>
              <w:jc w:val="center"/>
            </w:pPr>
            <w:r>
              <w:drawing>
                <wp:inline>
                  <wp:extent cx="5829300" cy="2975821"/>
                  <wp:effectExtent b="0" l="0" r="0" t="0"/>
                  <wp:docPr descr="" title="" id="108" name="Picture"/>
                  <a:graphic>
                    <a:graphicData uri="http://schemas.openxmlformats.org/drawingml/2006/picture">
                      <pic:pic>
                        <pic:nvPicPr>
                          <pic:cNvPr descr="figuras/dependencia_mediana_diaria.png" id="109" name="Picture"/>
                          <pic:cNvPicPr>
                            <a:picLocks noChangeArrowheads="1" noChangeAspect="1"/>
                          </pic:cNvPicPr>
                        </pic:nvPicPr>
                        <pic:blipFill>
                          <a:blip r:embed="rId107"/>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18: ACF/PACF das séries logarítmicas no maior trecho contíguo. Bandas pontuais aproximadas sob ruído branco; não são simultâneas.</w:t>
            </w:r>
          </w:p>
          <w:bookmarkEnd w:id="110"/>
        </w:tc>
      </w:tr>
    </w:tbl>
    <w:tbl>
      <w:tblPr>
        <w:tblStyle w:val="Table"/>
        <w:tblW w:type="pct" w:w="5000"/>
        <w:tblLayout w:type="fixed"/>
        <w:tblLook w:firstRow="0" w:lastRow="0" w:firstColumn="0" w:lastColumn="0" w:noHBand="0" w:noVBand="0" w:val="0000"/>
      </w:tblPr>
      <w:tblGrid>
        <w:gridCol w:w="7920"/>
      </w:tblGrid>
      <w:tr>
        <w:tc>
          <w:tcPr/>
          <w:bookmarkStart w:id="114" w:name="fig-dependencia-2"/>
          <w:p>
            <w:pPr>
              <w:pStyle w:val="Compact"/>
              <w:jc w:val="center"/>
            </w:pPr>
            <w:r>
              <w:drawing>
                <wp:inline>
                  <wp:extent cx="5829300" cy="2975821"/>
                  <wp:effectExtent b="0" l="0" r="0" t="0"/>
                  <wp:docPr descr="" title="" id="112" name="Picture"/>
                  <a:graphic>
                    <a:graphicData uri="http://schemas.openxmlformats.org/drawingml/2006/picture">
                      <pic:pic>
                        <pic:nvPicPr>
                          <pic:cNvPr descr="figuras/dependencia_maximos_diario.png" id="113" name="Picture"/>
                          <pic:cNvPicPr>
                            <a:picLocks noChangeArrowheads="1" noChangeAspect="1"/>
                          </pic:cNvPicPr>
                        </pic:nvPicPr>
                        <pic:blipFill>
                          <a:blip r:embed="rId111"/>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19: ACF/PACF das séries logarítmicas no maior trecho contíguo. Bandas pontuais aproximadas sob ruído branco; não são simultâneas.</w:t>
            </w:r>
          </w:p>
          <w:bookmarkEnd w:id="114"/>
        </w:tc>
      </w:tr>
    </w:tbl>
    <w:tbl>
      <w:tblPr>
        <w:tblStyle w:val="Table"/>
        <w:tblW w:type="pct" w:w="5000"/>
        <w:tblLayout w:type="fixed"/>
        <w:tblLook w:firstRow="0" w:lastRow="0" w:firstColumn="0" w:lastColumn="0" w:noHBand="0" w:noVBand="0" w:val="0000"/>
      </w:tblPr>
      <w:tblGrid>
        <w:gridCol w:w="7920"/>
      </w:tblGrid>
      <w:tr>
        <w:tc>
          <w:tcPr/>
          <w:bookmarkStart w:id="118" w:name="fig-dependencia-3"/>
          <w:p>
            <w:pPr>
              <w:pStyle w:val="Compact"/>
              <w:jc w:val="center"/>
            </w:pPr>
            <w:r>
              <w:drawing>
                <wp:inline>
                  <wp:extent cx="5829300" cy="2975821"/>
                  <wp:effectExtent b="0" l="0" r="0" t="0"/>
                  <wp:docPr descr="" title="" id="116" name="Picture"/>
                  <a:graphic>
                    <a:graphicData uri="http://schemas.openxmlformats.org/drawingml/2006/picture">
                      <pic:pic>
                        <pic:nvPicPr>
                          <pic:cNvPr descr="figuras/dependencia_maximos_semanal.png" id="117" name="Picture"/>
                          <pic:cNvPicPr>
                            <a:picLocks noChangeArrowheads="1" noChangeAspect="1"/>
                          </pic:cNvPicPr>
                        </pic:nvPicPr>
                        <pic:blipFill>
                          <a:blip r:embed="rId115"/>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20: ACF/PACF das séries logarítmicas no maior trecho contíguo. Bandas pontuais aproximadas sob ruído branco; não são simultâneas.</w:t>
            </w:r>
          </w:p>
          <w:bookmarkEnd w:id="118"/>
        </w:tc>
      </w:tr>
    </w:tbl>
    <w:tbl>
      <w:tblPr>
        <w:tblStyle w:val="Table"/>
        <w:tblW w:type="pct" w:w="5000"/>
        <w:tblLayout w:type="fixed"/>
        <w:tblLook w:firstRow="0" w:lastRow="0" w:firstColumn="0" w:lastColumn="0" w:noHBand="0" w:noVBand="0" w:val="0000"/>
      </w:tblPr>
      <w:tblGrid>
        <w:gridCol w:w="7920"/>
      </w:tblGrid>
      <w:tr>
        <w:tc>
          <w:tcPr/>
          <w:bookmarkStart w:id="122" w:name="fig-dependencia-4"/>
          <w:p>
            <w:pPr>
              <w:pStyle w:val="Compact"/>
              <w:jc w:val="center"/>
            </w:pPr>
            <w:r>
              <w:drawing>
                <wp:inline>
                  <wp:extent cx="5829300" cy="2975821"/>
                  <wp:effectExtent b="0" l="0" r="0" t="0"/>
                  <wp:docPr descr="" title="" id="120" name="Picture"/>
                  <a:graphic>
                    <a:graphicData uri="http://schemas.openxmlformats.org/drawingml/2006/picture">
                      <pic:pic>
                        <pic:nvPicPr>
                          <pic:cNvPr descr="figuras/dependencia_maximos_mensal.png" id="121" name="Picture"/>
                          <pic:cNvPicPr>
                            <a:picLocks noChangeArrowheads="1" noChangeAspect="1"/>
                          </pic:cNvPicPr>
                        </pic:nvPicPr>
                        <pic:blipFill>
                          <a:blip r:embed="rId119"/>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21: ACF/PACF das séries logarítmicas no maior trecho contíguo. Bandas pontuais aproximadas sob ruído branco; não são simultâneas.</w:t>
            </w:r>
          </w:p>
          <w:bookmarkEnd w:id="122"/>
        </w:tc>
      </w:tr>
    </w:tbl>
    <w:p>
      <w:pPr>
        <w:pStyle w:val="BodyText"/>
      </w:pPr>
      <w:r>
        <w:t xml:space="preserve">Ljung–Box avalia um conjunto de autocorrelações, não todas as formas de dependência. Um valor p superior a 0,05 não prova independência. Tendência ou variação da atividade solar também podem produzir autocorrelação, enquanto episódios solares podem agrupar excedências mesmo quando a correlação linear parece pequena. Por isso, a escolha dos blocos não foi feita procurando o primeiro valor p não significativo, procedimento empregado como critério no trabalho de referência.</w:t>
      </w:r>
    </w:p>
    <w:bookmarkEnd w:id="123"/>
    <w:bookmarkStart w:id="140" w:name="seleção-dos-blocos"/>
    <w:p>
      <w:pPr>
        <w:pStyle w:val="Heading1"/>
      </w:pPr>
      <w:r>
        <w:t xml:space="preserve">7. Seleção dos blocos</w:t>
      </w:r>
    </w:p>
    <w:p>
      <w:pPr>
        <w:pStyle w:val="FirstParagraph"/>
      </w:pPr>
      <w:r>
        <w:t xml:space="preserve">Dias UTC, semanas de segunda a domingo e meses de calendário são considerados. Um bloco só é elegível quando tem pelo menos 90% dos minutos esperados no</w:t>
      </w:r>
      <w:r>
        <w:t xml:space="preserve"> </w:t>
      </w:r>
      <w:r>
        <w:rPr>
          <w:b/>
          <w:bCs/>
        </w:rPr>
        <w:t xml:space="preserve">intervalo completo</w:t>
      </w:r>
      <w:r>
        <w:t xml:space="preserve">, inclusive nas bordas do arquivo. Assim, uma semana parcial não é artificialmente tratada como completa. Blocos vazios são registrados e permanecem como lacunas.</w:t>
      </w:r>
    </w:p>
    <w:tbl>
      <w:tblPr>
        <w:tblStyle w:val="Table"/>
        <w:tblW w:type="pct" w:w="5000"/>
        <w:tblLayout w:type="fixed"/>
        <w:tblLook w:firstRow="0" w:lastRow="0" w:firstColumn="0" w:lastColumn="0" w:noHBand="0" w:noVBand="0" w:val="0000"/>
      </w:tblPr>
      <w:tblGrid>
        <w:gridCol w:w="7920"/>
      </w:tblGrid>
      <w:tr>
        <w:tc>
          <w:tcPr/>
          <w:bookmarkStart w:id="124" w:name="tbl-blocos"/>
          <w:p>
            <w:pPr>
              <w:jc w:val="center"/>
            </w:pPr>
            <w:pPr>
              <w:jc w:val="start"/>
              <w:spacing w:before="200"/>
              <w:pStyle w:val="ImageCaption"/>
            </w:pPr>
            <w:r>
              <w:t xml:space="preserve">Tabela 11: Parâmetros por bloco. Localização/escala em W m⁻²; AIC descritivo, não comparável para seleção entre blocos diferentes.</w:t>
            </w:r>
          </w:p>
          <w:p>
            <w:pPr>
              <w:pStyle w:val="Compact"/>
              <w:jc w:val="center"/>
            </w:pPr>
            <w:r>
              <w:t xml:space="preserve">Parâmetros por bloco. Localização/escala em W m⁻²; AIC descritivo, não comparável para seleção entre blocos diferentes.</w:t>
            </w:r>
          </w:p>
          <w:tbl>
            <w:tblPr>
              <w:tblStyle w:val="Table"/>
              <w:tblW w:type="pct" w:w="5000"/>
              <w:tblLayout w:type="fixed"/>
              <w:tblLook w:firstRow="1" w:lastRow="0" w:firstColumn="0" w:lastColumn="0" w:noHBand="0" w:noVBand="0" w:val="0020"/>
              <w:tblCaption w:val="Parâmetros por bloco. Localização/escala em W m⁻²; AIC descritivo, não comparável para seleção entre blocos diferentes."/>
            </w:tblPr>
            <w:tblGrid>
              <w:gridCol w:w="1111"/>
              <w:gridCol w:w="972"/>
              <w:gridCol w:w="1389"/>
              <w:gridCol w:w="1389"/>
              <w:gridCol w:w="972"/>
              <w:gridCol w:w="1111"/>
              <w:gridCol w:w="972"/>
            </w:tblGrid>
            <w:tr>
              <w:trPr>
                <w:tblHeader w:val="on"/>
              </w:trPr>
              <w:tc>
                <w:tcPr/>
                <w:p>
                  <w:pPr>
                    <w:pStyle w:val="Compact"/>
                    <w:jc w:val="left"/>
                    <w:jc w:val="center"/>
                  </w:pPr>
                  <w:r>
                    <w:t xml:space="preserve">bloco</w:t>
                  </w:r>
                </w:p>
              </w:tc>
              <w:tc>
                <w:tcPr/>
                <w:p>
                  <w:pPr>
                    <w:pStyle w:val="Compact"/>
                    <w:jc w:val="left"/>
                    <w:jc w:val="center"/>
                  </w:pPr>
                  <w:r>
                    <w:t xml:space="preserve">n</w:t>
                  </w:r>
                </w:p>
              </w:tc>
              <w:tc>
                <w:tcPr/>
                <w:p>
                  <w:pPr>
                    <w:pStyle w:val="Compact"/>
                    <w:jc w:val="left"/>
                    <w:jc w:val="center"/>
                  </w:pPr>
                  <w:r>
                    <w:t xml:space="preserve">mu</w:t>
                  </w:r>
                </w:p>
              </w:tc>
              <w:tc>
                <w:tcPr/>
                <w:p>
                  <w:pPr>
                    <w:pStyle w:val="Compact"/>
                    <w:jc w:val="left"/>
                    <w:jc w:val="center"/>
                  </w:pPr>
                  <w:r>
                    <w:t xml:space="preserve">sigma</w:t>
                  </w:r>
                </w:p>
              </w:tc>
              <w:tc>
                <w:tcPr/>
                <w:p>
                  <w:pPr>
                    <w:pStyle w:val="Compact"/>
                    <w:jc w:val="left"/>
                    <w:jc w:val="center"/>
                  </w:pPr>
                  <w:r>
                    <w:t xml:space="preserve">xi</w:t>
                  </w:r>
                </w:p>
              </w:tc>
              <w:tc>
                <w:tcPr/>
                <w:p>
                  <w:pPr>
                    <w:pStyle w:val="Compact"/>
                    <w:jc w:val="left"/>
                    <w:jc w:val="center"/>
                  </w:pPr>
                  <w:r>
                    <w:t xml:space="preserve">ep xi</w:t>
                  </w:r>
                </w:p>
              </w:tc>
              <w:tc>
                <w:tcPr/>
                <w:p>
                  <w:pPr>
                    <w:pStyle w:val="Compact"/>
                    <w:jc w:val="left"/>
                    <w:jc w:val="center"/>
                  </w:pPr>
                  <w:r>
                    <w:t xml:space="preserve">AIC</w:t>
                  </w:r>
                </w:p>
              </w:tc>
            </w:tr>
            <w:tr>
              <w:tc>
                <w:tcPr/>
                <w:p>
                  <w:pPr>
                    <w:pStyle w:val="Compact"/>
                    <w:jc w:val="left"/>
                    <w:jc w:val="center"/>
                  </w:pPr>
                  <w:r>
                    <w:t xml:space="preserve">diario</w:t>
                  </w:r>
                </w:p>
              </w:tc>
              <w:tc>
                <w:tcPr/>
                <w:p>
                  <w:pPr>
                    <w:pStyle w:val="Compact"/>
                    <w:jc w:val="left"/>
                    <w:jc w:val="center"/>
                  </w:pPr>
                  <w:r>
                    <w:t xml:space="preserve">2905</w:t>
                  </w:r>
                </w:p>
              </w:tc>
              <w:tc>
                <w:tcPr/>
                <w:p>
                  <w:pPr>
                    <w:pStyle w:val="Compact"/>
                    <w:jc w:val="left"/>
                    <w:jc w:val="center"/>
                  </w:pPr>
                  <w:r>
                    <w:t xml:space="preserve">1.344e-07</w:t>
                  </w:r>
                </w:p>
              </w:tc>
              <w:tc>
                <w:tcPr/>
                <w:p>
                  <w:pPr>
                    <w:pStyle w:val="Compact"/>
                    <w:jc w:val="left"/>
                    <w:jc w:val="center"/>
                  </w:pPr>
                  <w:r>
                    <w:t xml:space="preserve">3.669e-07</w:t>
                  </w:r>
                </w:p>
              </w:tc>
              <w:tc>
                <w:tcPr/>
                <w:p>
                  <w:pPr>
                    <w:pStyle w:val="Compact"/>
                    <w:jc w:val="left"/>
                    <w:jc w:val="center"/>
                  </w:pPr>
                  <w:r>
                    <w:t xml:space="preserve">2.813</w:t>
                  </w:r>
                </w:p>
              </w:tc>
              <w:tc>
                <w:tcPr/>
                <w:p>
                  <w:pPr>
                    <w:pStyle w:val="Compact"/>
                    <w:jc w:val="left"/>
                    <w:jc w:val="center"/>
                  </w:pPr>
                  <w:r>
                    <w:t xml:space="preserve">0.03958</w:t>
                  </w:r>
                </w:p>
              </w:tc>
              <w:tc>
                <w:tcPr/>
                <w:p>
                  <w:pPr>
                    <w:pStyle w:val="Compact"/>
                    <w:jc w:val="left"/>
                    <w:jc w:val="center"/>
                  </w:pPr>
                  <w:r>
                    <w:t xml:space="preserve">13256</w:t>
                  </w:r>
                </w:p>
              </w:tc>
            </w:tr>
            <w:tr>
              <w:tc>
                <w:tcPr/>
                <w:p>
                  <w:pPr>
                    <w:pStyle w:val="Compact"/>
                    <w:jc w:val="left"/>
                    <w:jc w:val="center"/>
                  </w:pPr>
                  <w:r>
                    <w:t xml:space="preserve">semanal</w:t>
                  </w:r>
                </w:p>
              </w:tc>
              <w:tc>
                <w:tcPr/>
                <w:p>
                  <w:pPr>
                    <w:pStyle w:val="Compact"/>
                    <w:jc w:val="left"/>
                    <w:jc w:val="center"/>
                  </w:pPr>
                  <w:r>
                    <w:t xml:space="preserve">409</w:t>
                  </w:r>
                </w:p>
              </w:tc>
              <w:tc>
                <w:tcPr/>
                <w:p>
                  <w:pPr>
                    <w:pStyle w:val="Compact"/>
                    <w:jc w:val="left"/>
                    <w:jc w:val="center"/>
                  </w:pPr>
                  <w:r>
                    <w:t xml:space="preserve">5.528e-07</w:t>
                  </w:r>
                </w:p>
              </w:tc>
              <w:tc>
                <w:tcPr/>
                <w:p>
                  <w:pPr>
                    <w:pStyle w:val="Compact"/>
                    <w:jc w:val="left"/>
                    <w:jc w:val="center"/>
                  </w:pPr>
                  <w:r>
                    <w:t xml:space="preserve">1.666e-06</w:t>
                  </w:r>
                </w:p>
              </w:tc>
              <w:tc>
                <w:tcPr/>
                <w:p>
                  <w:pPr>
                    <w:pStyle w:val="Compact"/>
                    <w:jc w:val="left"/>
                    <w:jc w:val="center"/>
                  </w:pPr>
                  <w:r>
                    <w:t xml:space="preserve">3.044</w:t>
                  </w:r>
                </w:p>
              </w:tc>
              <w:tc>
                <w:tcPr/>
                <w:p>
                  <w:pPr>
                    <w:pStyle w:val="Compact"/>
                    <w:jc w:val="left"/>
                    <w:jc w:val="center"/>
                  </w:pPr>
                  <w:r>
                    <w:t xml:space="preserve">0.1275</w:t>
                  </w:r>
                </w:p>
              </w:tc>
              <w:tc>
                <w:tcPr/>
                <w:p>
                  <w:pPr>
                    <w:pStyle w:val="Compact"/>
                    <w:jc w:val="left"/>
                    <w:jc w:val="center"/>
                  </w:pPr>
                  <w:r>
                    <w:t xml:space="preserve">1658</w:t>
                  </w:r>
                </w:p>
              </w:tc>
            </w:tr>
            <w:tr>
              <w:tc>
                <w:tcPr/>
                <w:p>
                  <w:pPr>
                    <w:pStyle w:val="Compact"/>
                    <w:jc w:val="left"/>
                    <w:jc w:val="center"/>
                  </w:pPr>
                  <w:r>
                    <w:t xml:space="preserve">mensal</w:t>
                  </w:r>
                </w:p>
              </w:tc>
              <w:tc>
                <w:tcPr/>
                <w:p>
                  <w:pPr>
                    <w:pStyle w:val="Compact"/>
                    <w:jc w:val="left"/>
                    <w:jc w:val="center"/>
                  </w:pPr>
                  <w:r>
                    <w:t xml:space="preserve">94</w:t>
                  </w:r>
                </w:p>
              </w:tc>
              <w:tc>
                <w:tcPr/>
                <w:p>
                  <w:pPr>
                    <w:pStyle w:val="Compact"/>
                    <w:jc w:val="left"/>
                    <w:jc w:val="center"/>
                  </w:pPr>
                  <w:r>
                    <w:t xml:space="preserve">2.979e-06</w:t>
                  </w:r>
                </w:p>
              </w:tc>
              <w:tc>
                <w:tcPr/>
                <w:p>
                  <w:pPr>
                    <w:pStyle w:val="Compact"/>
                    <w:jc w:val="left"/>
                    <w:jc w:val="center"/>
                  </w:pPr>
                  <w:r>
                    <w:t xml:space="preserve">8.208e-06</w:t>
                  </w:r>
                </w:p>
              </w:tc>
              <w:tc>
                <w:tcPr/>
                <w:p>
                  <w:pPr>
                    <w:pStyle w:val="Compact"/>
                    <w:jc w:val="left"/>
                    <w:jc w:val="center"/>
                  </w:pPr>
                  <w:r>
                    <w:t xml:space="preserve">2.772</w:t>
                  </w:r>
                </w:p>
              </w:tc>
              <w:tc>
                <w:tcPr/>
                <w:p>
                  <w:pPr>
                    <w:pStyle w:val="Compact"/>
                    <w:jc w:val="left"/>
                    <w:jc w:val="center"/>
                  </w:pPr>
                  <w:r>
                    <w:t xml:space="preserve">0.2629</w:t>
                  </w:r>
                </w:p>
              </w:tc>
              <w:tc>
                <w:tcPr/>
                <w:p>
                  <w:pPr>
                    <w:pStyle w:val="Compact"/>
                    <w:jc w:val="left"/>
                    <w:jc w:val="center"/>
                  </w:pPr>
                  <w:r>
                    <w:t xml:space="preserve">397.8</w:t>
                  </w:r>
                </w:p>
              </w:tc>
            </w:tr>
          </w:tbl>
          <w:bookmarkEnd w:id="1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tbl-blocos-diagnosticos"/>
          <w:p>
            <w:pPr>
              <w:jc w:val="center"/>
            </w:pPr>
            <w:pPr>
              <w:jc w:val="start"/>
              <w:spacing w:before="200"/>
              <w:pStyle w:val="ImageCaption"/>
            </w:pPr>
            <w:r>
              <w:t xml:space="preserve">Tabela 12: Disponibilidade, retenção (proporção), dependência e diagnóstico PP por bloco.</w:t>
            </w:r>
          </w:p>
          <w:p>
            <w:pPr>
              <w:pStyle w:val="Compact"/>
              <w:jc w:val="center"/>
            </w:pPr>
            <w:r>
              <w:t xml:space="preserve">Disponibilidade, retenção (proporção), dependência e diagnóstico PP por bloco.</w:t>
            </w:r>
          </w:p>
          <w:tbl>
            <w:tblPr>
              <w:tblStyle w:val="Table"/>
              <w:tblW w:type="pct" w:w="5000"/>
              <w:tblLayout w:type="fixed"/>
              <w:tblLook w:firstRow="1" w:lastRow="0" w:firstColumn="0" w:lastColumn="0" w:noHBand="0" w:noVBand="0" w:val="0020"/>
              <w:tblCaption w:val="Disponibilidade, retenção (proporção), dependência e diagnóstico PP por bloco."/>
            </w:tblPr>
            <w:tblGrid>
              <w:gridCol w:w="1173"/>
              <w:gridCol w:w="1026"/>
              <w:gridCol w:w="1026"/>
              <w:gridCol w:w="1026"/>
              <w:gridCol w:w="1026"/>
              <w:gridCol w:w="1173"/>
              <w:gridCol w:w="1466"/>
            </w:tblGrid>
            <w:tr>
              <w:trPr>
                <w:tblHeader w:val="on"/>
              </w:trPr>
              <w:tc>
                <w:tcPr/>
                <w:p>
                  <w:pPr>
                    <w:pStyle w:val="Compact"/>
                    <w:jc w:val="left"/>
                    <w:jc w:val="center"/>
                  </w:pPr>
                  <w:r>
                    <w:t xml:space="preserve">bloco</w:t>
                  </w:r>
                </w:p>
              </w:tc>
              <w:tc>
                <w:tcPr/>
                <w:p>
                  <w:pPr>
                    <w:pStyle w:val="Compact"/>
                    <w:jc w:val="left"/>
                    <w:jc w:val="center"/>
                  </w:pPr>
                  <w:r>
                    <w:t xml:space="preserve">total</w:t>
                  </w:r>
                </w:p>
              </w:tc>
              <w:tc>
                <w:tcPr/>
                <w:p>
                  <w:pPr>
                    <w:pStyle w:val="Compact"/>
                    <w:jc w:val="left"/>
                    <w:jc w:val="center"/>
                  </w:pPr>
                  <w:r>
                    <w:t xml:space="preserve">n</w:t>
                  </w:r>
                </w:p>
              </w:tc>
              <w:tc>
                <w:tcPr/>
                <w:p>
                  <w:pPr>
                    <w:pStyle w:val="Compact"/>
                    <w:jc w:val="left"/>
                    <w:jc w:val="center"/>
                  </w:pPr>
                  <w:r>
                    <w:t xml:space="preserve">fracao retida</w:t>
                  </w:r>
                </w:p>
              </w:tc>
              <w:tc>
                <w:tcPr/>
                <w:p>
                  <w:pPr>
                    <w:pStyle w:val="Compact"/>
                    <w:jc w:val="left"/>
                    <w:jc w:val="center"/>
                  </w:pPr>
                  <w:r>
                    <w:t xml:space="preserve">acf1 pares</w:t>
                  </w:r>
                </w:p>
              </w:tc>
              <w:tc>
                <w:tcPr/>
                <w:p>
                  <w:pPr>
                    <w:pStyle w:val="Compact"/>
                    <w:jc w:val="left"/>
                    <w:jc w:val="center"/>
                  </w:pPr>
                  <w:r>
                    <w:t xml:space="preserve">rmse pp</w:t>
                  </w:r>
                </w:p>
              </w:tc>
              <w:tc>
                <w:tcPr/>
                <w:p>
                  <w:pPr>
                    <w:pStyle w:val="Compact"/>
                    <w:jc w:val="left"/>
                    <w:jc w:val="center"/>
                  </w:pPr>
                  <w:r>
                    <w:t xml:space="preserve">convergiu</w:t>
                  </w:r>
                </w:p>
              </w:tc>
            </w:tr>
            <w:tr>
              <w:tc>
                <w:tcPr/>
                <w:p>
                  <w:pPr>
                    <w:pStyle w:val="Compact"/>
                    <w:jc w:val="left"/>
                    <w:jc w:val="center"/>
                  </w:pPr>
                  <w:r>
                    <w:t xml:space="preserve">diario</w:t>
                  </w:r>
                </w:p>
              </w:tc>
              <w:tc>
                <w:tcPr/>
                <w:p>
                  <w:pPr>
                    <w:pStyle w:val="Compact"/>
                    <w:jc w:val="left"/>
                    <w:jc w:val="center"/>
                  </w:pPr>
                  <w:r>
                    <w:t xml:space="preserve">2982</w:t>
                  </w:r>
                </w:p>
              </w:tc>
              <w:tc>
                <w:tcPr/>
                <w:p>
                  <w:pPr>
                    <w:pStyle w:val="Compact"/>
                    <w:jc w:val="left"/>
                    <w:jc w:val="center"/>
                  </w:pPr>
                  <w:r>
                    <w:t xml:space="preserve">2905</w:t>
                  </w:r>
                </w:p>
              </w:tc>
              <w:tc>
                <w:tcPr/>
                <w:p>
                  <w:pPr>
                    <w:pStyle w:val="Compact"/>
                    <w:jc w:val="left"/>
                    <w:jc w:val="center"/>
                  </w:pPr>
                  <w:r>
                    <w:t xml:space="preserve">0.9742</w:t>
                  </w:r>
                </w:p>
              </w:tc>
              <w:tc>
                <w:tcPr/>
                <w:p>
                  <w:pPr>
                    <w:pStyle w:val="Compact"/>
                    <w:jc w:val="left"/>
                    <w:jc w:val="center"/>
                  </w:pPr>
                  <w:r>
                    <w:t xml:space="preserve">0.9108</w:t>
                  </w:r>
                </w:p>
              </w:tc>
              <w:tc>
                <w:tcPr/>
                <w:p>
                  <w:pPr>
                    <w:pStyle w:val="Compact"/>
                    <w:jc w:val="left"/>
                    <w:jc w:val="center"/>
                  </w:pPr>
                  <w:r>
                    <w:t xml:space="preserve">0.05576</w:t>
                  </w:r>
                </w:p>
              </w:tc>
              <w:tc>
                <w:tcPr/>
                <w:p>
                  <w:pPr>
                    <w:pStyle w:val="Compact"/>
                    <w:jc w:val="left"/>
                    <w:jc w:val="center"/>
                  </w:pPr>
                  <w:r>
                    <w:t xml:space="preserve">TRUE</w:t>
                  </w:r>
                </w:p>
              </w:tc>
            </w:tr>
            <w:tr>
              <w:tc>
                <w:tcPr/>
                <w:p>
                  <w:pPr>
                    <w:pStyle w:val="Compact"/>
                    <w:jc w:val="left"/>
                    <w:jc w:val="center"/>
                  </w:pPr>
                  <w:r>
                    <w:t xml:space="preserve">semanal</w:t>
                  </w:r>
                </w:p>
              </w:tc>
              <w:tc>
                <w:tcPr/>
                <w:p>
                  <w:pPr>
                    <w:pStyle w:val="Compact"/>
                    <w:jc w:val="left"/>
                    <w:jc w:val="center"/>
                  </w:pPr>
                  <w:r>
                    <w:t xml:space="preserve">427</w:t>
                  </w:r>
                </w:p>
              </w:tc>
              <w:tc>
                <w:tcPr/>
                <w:p>
                  <w:pPr>
                    <w:pStyle w:val="Compact"/>
                    <w:jc w:val="left"/>
                    <w:jc w:val="center"/>
                  </w:pPr>
                  <w:r>
                    <w:t xml:space="preserve">409</w:t>
                  </w:r>
                </w:p>
              </w:tc>
              <w:tc>
                <w:tcPr/>
                <w:p>
                  <w:pPr>
                    <w:pStyle w:val="Compact"/>
                    <w:jc w:val="left"/>
                    <w:jc w:val="center"/>
                  </w:pPr>
                  <w:r>
                    <w:t xml:space="preserve">0.9578</w:t>
                  </w:r>
                </w:p>
              </w:tc>
              <w:tc>
                <w:tcPr/>
                <w:p>
                  <w:pPr>
                    <w:pStyle w:val="Compact"/>
                    <w:jc w:val="left"/>
                    <w:jc w:val="center"/>
                  </w:pPr>
                  <w:r>
                    <w:t xml:space="preserve">0.8159</w:t>
                  </w:r>
                </w:p>
              </w:tc>
              <w:tc>
                <w:tcPr/>
                <w:p>
                  <w:pPr>
                    <w:pStyle w:val="Compact"/>
                    <w:jc w:val="left"/>
                    <w:jc w:val="center"/>
                  </w:pPr>
                  <w:r>
                    <w:t xml:space="preserve">0.06626</w:t>
                  </w:r>
                </w:p>
              </w:tc>
              <w:tc>
                <w:tcPr/>
                <w:p>
                  <w:pPr>
                    <w:pStyle w:val="Compact"/>
                    <w:jc w:val="left"/>
                    <w:jc w:val="center"/>
                  </w:pPr>
                  <w:r>
                    <w:t xml:space="preserve">TRUE</w:t>
                  </w:r>
                </w:p>
              </w:tc>
            </w:tr>
            <w:tr>
              <w:tc>
                <w:tcPr/>
                <w:p>
                  <w:pPr>
                    <w:pStyle w:val="Compact"/>
                    <w:jc w:val="left"/>
                    <w:jc w:val="center"/>
                  </w:pPr>
                  <w:r>
                    <w:t xml:space="preserve">mensal</w:t>
                  </w:r>
                </w:p>
              </w:tc>
              <w:tc>
                <w:tcPr/>
                <w:p>
                  <w:pPr>
                    <w:pStyle w:val="Compact"/>
                    <w:jc w:val="left"/>
                    <w:jc w:val="center"/>
                  </w:pPr>
                  <w:r>
                    <w:t xml:space="preserve">99</w:t>
                  </w:r>
                </w:p>
              </w:tc>
              <w:tc>
                <w:tcPr/>
                <w:p>
                  <w:pPr>
                    <w:pStyle w:val="Compact"/>
                    <w:jc w:val="left"/>
                    <w:jc w:val="center"/>
                  </w:pPr>
                  <w:r>
                    <w:t xml:space="preserve">94</w:t>
                  </w:r>
                </w:p>
              </w:tc>
              <w:tc>
                <w:tcPr/>
                <w:p>
                  <w:pPr>
                    <w:pStyle w:val="Compact"/>
                    <w:jc w:val="left"/>
                    <w:jc w:val="center"/>
                  </w:pPr>
                  <w:r>
                    <w:t xml:space="preserve">0.9495</w:t>
                  </w:r>
                </w:p>
              </w:tc>
              <w:tc>
                <w:tcPr/>
                <w:p>
                  <w:pPr>
                    <w:pStyle w:val="Compact"/>
                    <w:jc w:val="left"/>
                    <w:jc w:val="center"/>
                  </w:pPr>
                  <w:r>
                    <w:t xml:space="preserve">0.7952</w:t>
                  </w:r>
                </w:p>
              </w:tc>
              <w:tc>
                <w:tcPr/>
                <w:p>
                  <w:pPr>
                    <w:pStyle w:val="Compact"/>
                    <w:jc w:val="left"/>
                    <w:jc w:val="center"/>
                  </w:pPr>
                  <w:r>
                    <w:t xml:space="preserve">0.07587</w:t>
                  </w:r>
                </w:p>
              </w:tc>
              <w:tc>
                <w:tcPr/>
                <w:p>
                  <w:pPr>
                    <w:pStyle w:val="Compact"/>
                    <w:jc w:val="left"/>
                    <w:jc w:val="center"/>
                  </w:pPr>
                  <w:r>
                    <w:t xml:space="preserve">TRUE</w:t>
                  </w:r>
                </w:p>
              </w:tc>
            </w:tr>
          </w:tbl>
          <w:bookmarkEnd w:id="1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tbl-cobertura-sens"/>
          <w:p>
            <w:pPr>
              <w:jc w:val="center"/>
            </w:pPr>
            <w:pPr>
              <w:jc w:val="start"/>
              <w:spacing w:before="200"/>
              <w:pStyle w:val="ImageCaption"/>
            </w:pPr>
            <w:r>
              <w:t xml:space="preserve">Tabela 13: Sensibilidade da quantidade de blocos disponíveis ao limite de cobertura.</w:t>
            </w:r>
          </w:p>
          <w:p>
            <w:pPr>
              <w:pStyle w:val="Compact"/>
              <w:jc w:val="center"/>
            </w:pPr>
            <w:r>
              <w:t xml:space="preserve">Sensibilidade da quantidade de blocos disponíveis ao limite de cobertura.</w:t>
            </w:r>
          </w:p>
          <w:tbl>
            <w:tblPr>
              <w:tblStyle w:val="Table"/>
              <w:tblW w:type="pct" w:w="5000"/>
              <w:tblLayout w:type="fixed"/>
              <w:tblLook w:firstRow="1" w:lastRow="0" w:firstColumn="0" w:lastColumn="0" w:noHBand="0" w:noVBand="0" w:val="0020"/>
              <w:tblCaption w:val="Sensibilidade da quantidade de blocos disponíveis ao limite de cobertura."/>
            </w:tblPr>
            <w:tblGrid>
              <w:gridCol w:w="2043"/>
              <w:gridCol w:w="1788"/>
              <w:gridCol w:w="1788"/>
              <w:gridCol w:w="2299"/>
            </w:tblGrid>
            <w:tr>
              <w:trPr>
                <w:tblHeader w:val="on"/>
              </w:trPr>
              <w:tc>
                <w:tcPr/>
                <w:p>
                  <w:pPr>
                    <w:pStyle w:val="Compact"/>
                    <w:jc w:val="left"/>
                    <w:jc w:val="center"/>
                  </w:pPr>
                  <w:r>
                    <w:t xml:space="preserve">bloco</w:t>
                  </w:r>
                </w:p>
              </w:tc>
              <w:tc>
                <w:tcPr/>
                <w:p>
                  <w:pPr>
                    <w:pStyle w:val="Compact"/>
                    <w:jc w:val="left"/>
                    <w:jc w:val="center"/>
                  </w:pPr>
                  <w:r>
                    <w:t xml:space="preserve">corte</w:t>
                  </w:r>
                </w:p>
              </w:tc>
              <w:tc>
                <w:tcPr/>
                <w:p>
                  <w:pPr>
                    <w:pStyle w:val="Compact"/>
                    <w:jc w:val="left"/>
                    <w:jc w:val="center"/>
                  </w:pPr>
                  <w:r>
                    <w:t xml:space="preserve">n total</w:t>
                  </w:r>
                </w:p>
              </w:tc>
              <w:tc>
                <w:tcPr/>
                <w:p>
                  <w:pPr>
                    <w:pStyle w:val="Compact"/>
                    <w:jc w:val="left"/>
                    <w:jc w:val="center"/>
                  </w:pPr>
                  <w:r>
                    <w:t xml:space="preserve">n elegivel</w:t>
                  </w:r>
                </w:p>
              </w:tc>
            </w:tr>
            <w:tr>
              <w:tc>
                <w:tcPr/>
                <w:p>
                  <w:pPr>
                    <w:pStyle w:val="Compact"/>
                    <w:jc w:val="left"/>
                    <w:jc w:val="center"/>
                  </w:pPr>
                  <w:r>
                    <w:t xml:space="preserve">diario</w:t>
                  </w:r>
                </w:p>
              </w:tc>
              <w:tc>
                <w:tcPr/>
                <w:p>
                  <w:pPr>
                    <w:pStyle w:val="Compact"/>
                    <w:jc w:val="left"/>
                    <w:jc w:val="center"/>
                  </w:pPr>
                  <w:r>
                    <w:t xml:space="preserve">0.8</w:t>
                  </w:r>
                </w:p>
              </w:tc>
              <w:tc>
                <w:tcPr/>
                <w:p>
                  <w:pPr>
                    <w:pStyle w:val="Compact"/>
                    <w:jc w:val="left"/>
                    <w:jc w:val="center"/>
                  </w:pPr>
                  <w:r>
                    <w:t xml:space="preserve">2982</w:t>
                  </w:r>
                </w:p>
              </w:tc>
              <w:tc>
                <w:tcPr/>
                <w:p>
                  <w:pPr>
                    <w:pStyle w:val="Compact"/>
                    <w:jc w:val="left"/>
                    <w:jc w:val="center"/>
                  </w:pPr>
                  <w:r>
                    <w:t xml:space="preserve">2940</w:t>
                  </w:r>
                </w:p>
              </w:tc>
            </w:tr>
            <w:tr>
              <w:tc>
                <w:tcPr/>
                <w:p>
                  <w:pPr>
                    <w:pStyle w:val="Compact"/>
                    <w:jc w:val="left"/>
                    <w:jc w:val="center"/>
                  </w:pPr>
                  <w:r>
                    <w:t xml:space="preserve">diario</w:t>
                  </w:r>
                </w:p>
              </w:tc>
              <w:tc>
                <w:tcPr/>
                <w:p>
                  <w:pPr>
                    <w:pStyle w:val="Compact"/>
                    <w:jc w:val="left"/>
                    <w:jc w:val="center"/>
                  </w:pPr>
                  <w:r>
                    <w:t xml:space="preserve">0.9</w:t>
                  </w:r>
                </w:p>
              </w:tc>
              <w:tc>
                <w:tcPr/>
                <w:p>
                  <w:pPr>
                    <w:pStyle w:val="Compact"/>
                    <w:jc w:val="left"/>
                    <w:jc w:val="center"/>
                  </w:pPr>
                  <w:r>
                    <w:t xml:space="preserve">2982</w:t>
                  </w:r>
                </w:p>
              </w:tc>
              <w:tc>
                <w:tcPr/>
                <w:p>
                  <w:pPr>
                    <w:pStyle w:val="Compact"/>
                    <w:jc w:val="left"/>
                    <w:jc w:val="center"/>
                  </w:pPr>
                  <w:r>
                    <w:t xml:space="preserve">2905</w:t>
                  </w:r>
                </w:p>
              </w:tc>
            </w:tr>
            <w:tr>
              <w:tc>
                <w:tcPr/>
                <w:p>
                  <w:pPr>
                    <w:pStyle w:val="Compact"/>
                    <w:jc w:val="left"/>
                    <w:jc w:val="center"/>
                  </w:pPr>
                  <w:r>
                    <w:t xml:space="preserve">diario</w:t>
                  </w:r>
                </w:p>
              </w:tc>
              <w:tc>
                <w:tcPr/>
                <w:p>
                  <w:pPr>
                    <w:pStyle w:val="Compact"/>
                    <w:jc w:val="left"/>
                    <w:jc w:val="center"/>
                  </w:pPr>
                  <w:r>
                    <w:t xml:space="preserve">0.95</w:t>
                  </w:r>
                </w:p>
              </w:tc>
              <w:tc>
                <w:tcPr/>
                <w:p>
                  <w:pPr>
                    <w:pStyle w:val="Compact"/>
                    <w:jc w:val="left"/>
                    <w:jc w:val="center"/>
                  </w:pPr>
                  <w:r>
                    <w:t xml:space="preserve">2982</w:t>
                  </w:r>
                </w:p>
              </w:tc>
              <w:tc>
                <w:tcPr/>
                <w:p>
                  <w:pPr>
                    <w:pStyle w:val="Compact"/>
                    <w:jc w:val="left"/>
                    <w:jc w:val="center"/>
                  </w:pPr>
                  <w:r>
                    <w:t xml:space="preserve">2417</w:t>
                  </w:r>
                </w:p>
              </w:tc>
            </w:tr>
            <w:tr>
              <w:tc>
                <w:tcPr/>
                <w:p>
                  <w:pPr>
                    <w:pStyle w:val="Compact"/>
                    <w:jc w:val="left"/>
                    <w:jc w:val="center"/>
                  </w:pPr>
                  <w:r>
                    <w:t xml:space="preserve">semanal</w:t>
                  </w:r>
                </w:p>
              </w:tc>
              <w:tc>
                <w:tcPr/>
                <w:p>
                  <w:pPr>
                    <w:pStyle w:val="Compact"/>
                    <w:jc w:val="left"/>
                    <w:jc w:val="center"/>
                  </w:pPr>
                  <w:r>
                    <w:t xml:space="preserve">0.8</w:t>
                  </w:r>
                </w:p>
              </w:tc>
              <w:tc>
                <w:tcPr/>
                <w:p>
                  <w:pPr>
                    <w:pStyle w:val="Compact"/>
                    <w:jc w:val="left"/>
                    <w:jc w:val="center"/>
                  </w:pPr>
                  <w:r>
                    <w:t xml:space="preserve">427</w:t>
                  </w:r>
                </w:p>
              </w:tc>
              <w:tc>
                <w:tcPr/>
                <w:p>
                  <w:pPr>
                    <w:pStyle w:val="Compact"/>
                    <w:jc w:val="left"/>
                    <w:jc w:val="center"/>
                  </w:pPr>
                  <w:r>
                    <w:t xml:space="preserve">418</w:t>
                  </w:r>
                </w:p>
              </w:tc>
            </w:tr>
            <w:tr>
              <w:tc>
                <w:tcPr/>
                <w:p>
                  <w:pPr>
                    <w:pStyle w:val="Compact"/>
                    <w:jc w:val="left"/>
                    <w:jc w:val="center"/>
                  </w:pPr>
                  <w:r>
                    <w:t xml:space="preserve">semanal</w:t>
                  </w:r>
                </w:p>
              </w:tc>
              <w:tc>
                <w:tcPr/>
                <w:p>
                  <w:pPr>
                    <w:pStyle w:val="Compact"/>
                    <w:jc w:val="left"/>
                    <w:jc w:val="center"/>
                  </w:pPr>
                  <w:r>
                    <w:t xml:space="preserve">0.9</w:t>
                  </w:r>
                </w:p>
              </w:tc>
              <w:tc>
                <w:tcPr/>
                <w:p>
                  <w:pPr>
                    <w:pStyle w:val="Compact"/>
                    <w:jc w:val="left"/>
                    <w:jc w:val="center"/>
                  </w:pPr>
                  <w:r>
                    <w:t xml:space="preserve">427</w:t>
                  </w:r>
                </w:p>
              </w:tc>
              <w:tc>
                <w:tcPr/>
                <w:p>
                  <w:pPr>
                    <w:pStyle w:val="Compact"/>
                    <w:jc w:val="left"/>
                    <w:jc w:val="center"/>
                  </w:pPr>
                  <w:r>
                    <w:t xml:space="preserve">409</w:t>
                  </w:r>
                </w:p>
              </w:tc>
            </w:tr>
            <w:tr>
              <w:tc>
                <w:tcPr/>
                <w:p>
                  <w:pPr>
                    <w:pStyle w:val="Compact"/>
                    <w:jc w:val="left"/>
                    <w:jc w:val="center"/>
                  </w:pPr>
                  <w:r>
                    <w:t xml:space="preserve">semanal</w:t>
                  </w:r>
                </w:p>
              </w:tc>
              <w:tc>
                <w:tcPr/>
                <w:p>
                  <w:pPr>
                    <w:pStyle w:val="Compact"/>
                    <w:jc w:val="left"/>
                    <w:jc w:val="center"/>
                  </w:pPr>
                  <w:r>
                    <w:t xml:space="preserve">0.95</w:t>
                  </w:r>
                </w:p>
              </w:tc>
              <w:tc>
                <w:tcPr/>
                <w:p>
                  <w:pPr>
                    <w:pStyle w:val="Compact"/>
                    <w:jc w:val="left"/>
                    <w:jc w:val="center"/>
                  </w:pPr>
                  <w:r>
                    <w:t xml:space="preserve">427</w:t>
                  </w:r>
                </w:p>
              </w:tc>
              <w:tc>
                <w:tcPr/>
                <w:p>
                  <w:pPr>
                    <w:pStyle w:val="Compact"/>
                    <w:jc w:val="left"/>
                    <w:jc w:val="center"/>
                  </w:pPr>
                  <w:r>
                    <w:t xml:space="preserve">343</w:t>
                  </w:r>
                </w:p>
              </w:tc>
            </w:tr>
            <w:tr>
              <w:tc>
                <w:tcPr/>
                <w:p>
                  <w:pPr>
                    <w:pStyle w:val="Compact"/>
                    <w:jc w:val="left"/>
                    <w:jc w:val="center"/>
                  </w:pPr>
                  <w:r>
                    <w:t xml:space="preserve">mensal</w:t>
                  </w:r>
                </w:p>
              </w:tc>
              <w:tc>
                <w:tcPr/>
                <w:p>
                  <w:pPr>
                    <w:pStyle w:val="Compact"/>
                    <w:jc w:val="left"/>
                    <w:jc w:val="center"/>
                  </w:pPr>
                  <w:r>
                    <w:t xml:space="preserve">0.8</w:t>
                  </w:r>
                </w:p>
              </w:tc>
              <w:tc>
                <w:tcPr/>
                <w:p>
                  <w:pPr>
                    <w:pStyle w:val="Compact"/>
                    <w:jc w:val="left"/>
                    <w:jc w:val="center"/>
                  </w:pPr>
                  <w:r>
                    <w:t xml:space="preserve">99</w:t>
                  </w:r>
                </w:p>
              </w:tc>
              <w:tc>
                <w:tcPr/>
                <w:p>
                  <w:pPr>
                    <w:pStyle w:val="Compact"/>
                    <w:jc w:val="left"/>
                    <w:jc w:val="center"/>
                  </w:pPr>
                  <w:r>
                    <w:t xml:space="preserve">95</w:t>
                  </w:r>
                </w:p>
              </w:tc>
            </w:tr>
            <w:tr>
              <w:tc>
                <w:tcPr/>
                <w:p>
                  <w:pPr>
                    <w:pStyle w:val="Compact"/>
                    <w:jc w:val="left"/>
                    <w:jc w:val="center"/>
                  </w:pPr>
                  <w:r>
                    <w:t xml:space="preserve">mensal</w:t>
                  </w:r>
                </w:p>
              </w:tc>
              <w:tc>
                <w:tcPr/>
                <w:p>
                  <w:pPr>
                    <w:pStyle w:val="Compact"/>
                    <w:jc w:val="left"/>
                    <w:jc w:val="center"/>
                  </w:pPr>
                  <w:r>
                    <w:t xml:space="preserve">0.9</w:t>
                  </w:r>
                </w:p>
              </w:tc>
              <w:tc>
                <w:tcPr/>
                <w:p>
                  <w:pPr>
                    <w:pStyle w:val="Compact"/>
                    <w:jc w:val="left"/>
                    <w:jc w:val="center"/>
                  </w:pPr>
                  <w:r>
                    <w:t xml:space="preserve">99</w:t>
                  </w:r>
                </w:p>
              </w:tc>
              <w:tc>
                <w:tcPr/>
                <w:p>
                  <w:pPr>
                    <w:pStyle w:val="Compact"/>
                    <w:jc w:val="left"/>
                    <w:jc w:val="center"/>
                  </w:pPr>
                  <w:r>
                    <w:t xml:space="preserve">94</w:t>
                  </w:r>
                </w:p>
              </w:tc>
            </w:tr>
            <w:tr>
              <w:tc>
                <w:tcPr/>
                <w:p>
                  <w:pPr>
                    <w:pStyle w:val="Compact"/>
                    <w:jc w:val="left"/>
                    <w:jc w:val="center"/>
                  </w:pPr>
                  <w:r>
                    <w:t xml:space="preserve">mensal</w:t>
                  </w:r>
                </w:p>
              </w:tc>
              <w:tc>
                <w:tcPr/>
                <w:p>
                  <w:pPr>
                    <w:pStyle w:val="Compact"/>
                    <w:jc w:val="left"/>
                    <w:jc w:val="center"/>
                  </w:pPr>
                  <w:r>
                    <w:t xml:space="preserve">0.95</w:t>
                  </w:r>
                </w:p>
              </w:tc>
              <w:tc>
                <w:tcPr/>
                <w:p>
                  <w:pPr>
                    <w:pStyle w:val="Compact"/>
                    <w:jc w:val="left"/>
                    <w:jc w:val="center"/>
                  </w:pPr>
                  <w:r>
                    <w:t xml:space="preserve">99</w:t>
                  </w:r>
                </w:p>
              </w:tc>
              <w:tc>
                <w:tcPr/>
                <w:p>
                  <w:pPr>
                    <w:pStyle w:val="Compact"/>
                    <w:jc w:val="left"/>
                    <w:jc w:val="center"/>
                  </w:pPr>
                  <w:r>
                    <w:t xml:space="preserve">76</w:t>
                  </w:r>
                </w:p>
              </w:tc>
            </w:tr>
          </w:tbl>
          <w:bookmarkEnd w:id="126"/>
          <w:p/>
        </w:tc>
      </w:tr>
    </w:tbl>
    <w:tbl>
      <w:tblPr>
        <w:tblStyle w:val="Table"/>
        <w:tblW w:type="pct" w:w="5000"/>
        <w:tblLayout w:type="fixed"/>
        <w:tblLook w:firstRow="0" w:lastRow="0" w:firstColumn="0" w:lastColumn="0" w:noHBand="0" w:noVBand="0" w:val="0000"/>
      </w:tblPr>
      <w:tblGrid>
        <w:gridCol w:w="7920"/>
      </w:tblGrid>
      <w:tr>
        <w:tc>
          <w:tcPr/>
          <w:bookmarkStart w:id="130" w:name="fig-maximos-1"/>
          <w:p>
            <w:pPr>
              <w:pStyle w:val="Compact"/>
              <w:jc w:val="center"/>
            </w:pPr>
            <w:r>
              <w:drawing>
                <wp:inline>
                  <wp:extent cx="5829300" cy="2975821"/>
                  <wp:effectExtent b="0" l="0" r="0" t="0"/>
                  <wp:docPr descr="" title="" id="128" name="Picture"/>
                  <a:graphic>
                    <a:graphicData uri="http://schemas.openxmlformats.org/drawingml/2006/picture">
                      <pic:pic>
                        <pic:nvPicPr>
                          <pic:cNvPr descr="figuras/maximos_diario.png" id="129" name="Picture"/>
                          <pic:cNvPicPr>
                            <a:picLocks noChangeArrowheads="1" noChangeAspect="1"/>
                          </pic:cNvPicPr>
                        </pic:nvPicPr>
                        <pic:blipFill>
                          <a:blip r:embed="rId127"/>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22: Máximos elegíveis nas três agregações. Blocos rejeitados interrompem as linhas.</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maximos-2"/>
          <w:p>
            <w:pPr>
              <w:pStyle w:val="Compact"/>
              <w:jc w:val="center"/>
            </w:pPr>
            <w:r>
              <w:drawing>
                <wp:inline>
                  <wp:extent cx="5829300" cy="2975821"/>
                  <wp:effectExtent b="0" l="0" r="0" t="0"/>
                  <wp:docPr descr="" title="" id="132" name="Picture"/>
                  <a:graphic>
                    <a:graphicData uri="http://schemas.openxmlformats.org/drawingml/2006/picture">
                      <pic:pic>
                        <pic:nvPicPr>
                          <pic:cNvPr descr="figuras/maximos_semanal.png" id="133" name="Picture"/>
                          <pic:cNvPicPr>
                            <a:picLocks noChangeArrowheads="1" noChangeAspect="1"/>
                          </pic:cNvPicPr>
                        </pic:nvPicPr>
                        <pic:blipFill>
                          <a:blip r:embed="rId131"/>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23: Máximos elegíveis nas três agregações. Blocos rejeitados interrompem as linhas.</w:t>
            </w:r>
          </w:p>
          <w:bookmarkEnd w:id="134"/>
        </w:tc>
      </w:tr>
    </w:tbl>
    <w:tbl>
      <w:tblPr>
        <w:tblStyle w:val="Table"/>
        <w:tblW w:type="pct" w:w="5000"/>
        <w:tblLayout w:type="fixed"/>
        <w:tblLook w:firstRow="0" w:lastRow="0" w:firstColumn="0" w:lastColumn="0" w:noHBand="0" w:noVBand="0" w:val="0000"/>
      </w:tblPr>
      <w:tblGrid>
        <w:gridCol w:w="7920"/>
      </w:tblGrid>
      <w:tr>
        <w:tc>
          <w:tcPr/>
          <w:bookmarkStart w:id="138" w:name="fig-maximos-3"/>
          <w:p>
            <w:pPr>
              <w:pStyle w:val="Compact"/>
              <w:jc w:val="center"/>
            </w:pPr>
            <w:r>
              <w:drawing>
                <wp:inline>
                  <wp:extent cx="5829300" cy="2975821"/>
                  <wp:effectExtent b="0" l="0" r="0" t="0"/>
                  <wp:docPr descr="" title="" id="136" name="Picture"/>
                  <a:graphic>
                    <a:graphicData uri="http://schemas.openxmlformats.org/drawingml/2006/picture">
                      <pic:pic>
                        <pic:nvPicPr>
                          <pic:cNvPr descr="figuras/maximos_mensal.png" id="137" name="Picture"/>
                          <pic:cNvPicPr>
                            <a:picLocks noChangeArrowheads="1" noChangeAspect="1"/>
                          </pic:cNvPicPr>
                        </pic:nvPicPr>
                        <pic:blipFill>
                          <a:blip r:embed="rId135"/>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24: Máximos elegíveis nas três agregações. Blocos rejeitados interrompem as linhas.</w:t>
            </w:r>
          </w:p>
          <w:bookmarkEnd w:id="138"/>
        </w:tc>
      </w:tr>
    </w:tbl>
    <w:p>
      <w:pPr>
        <w:pStyle w:val="BodyText"/>
      </w:pPr>
      <w:r>
        <w:t xml:space="preserve">Escolheu-se o bloco mensal após comparar as três agregações: pelo menos 50 máximos elegíveis, suporte válido, convergência e erro da forma finito (xi &gt; -0,5) são requisitos prévios. Entre os candidatos regulares, priorizou-se a menor correlação absoluta dos pares adjacentes da série logarítmica em toda a grade de calendário (sem colapsar lacunas), com tolerância de 0,02 para favorecer agregação maior. No bloco escolhido, correlação dos pares adjacentes = 0.795, N = 94, com 91 pares, e discrepância PP = 0.0759. Essa escolha é exploratória: menor ACF não prova independência; qualidade, estabilidade e diagnósticos permanecem condições para interpretação. AIC entre blocos e valores p não selecionam o modelo.</w:t>
      </w:r>
    </w:p>
    <w:p>
      <w:pPr>
        <w:pStyle w:val="BodyText"/>
      </w:pPr>
      <w:r>
        <w:t xml:space="preserve">Máximos diários fornecem mais informação temporal, mas podem separar um mesmo episódio em dias adjacentes. A agregação semanal reduz parte dessa fragmentação. A mensal retém menos máximos e mistura a evolução dentro do mês, podendo ampliar a incerteza, mas representa um período mais longo de atividade. A janela amostral permanece limitada a cerca de oito anos, independentemente da quantidade de minutos. A primeira tabela de sensibilidade quantifica disponibilidade; a sensibilidade paramétrica é examinada separadamente abaixo.</w:t>
      </w:r>
    </w:p>
    <w:tbl>
      <w:tblPr>
        <w:tblStyle w:val="Table"/>
        <w:tblW w:type="pct" w:w="5000"/>
        <w:tblLayout w:type="fixed"/>
        <w:tblLook w:firstRow="0" w:lastRow="0" w:firstColumn="0" w:lastColumn="0" w:noHBand="0" w:noVBand="0" w:val="0000"/>
      </w:tblPr>
      <w:tblGrid>
        <w:gridCol w:w="7920"/>
      </w:tblGrid>
      <w:tr>
        <w:tc>
          <w:tcPr/>
          <w:bookmarkStart w:id="139" w:name="tbl-sensibilidade-parametros"/>
          <w:p>
            <w:pPr>
              <w:jc w:val="center"/>
            </w:pPr>
            <w:pPr>
              <w:jc w:val="start"/>
              <w:spacing w:before="200"/>
              <w:pStyle w:val="ImageCaption"/>
            </w:pPr>
            <w:r>
              <w:t xml:space="preserve">Tabela 14: Sensibilidade no bloco principal: cobertura de 80%, 90%, 95% e retirada apenas diagnóstica de um/três maiores máximos. O ajuste principal mantém todos os máximos elegíveis.</w:t>
            </w:r>
          </w:p>
          <w:p>
            <w:pPr>
              <w:pStyle w:val="Compact"/>
              <w:jc w:val="center"/>
            </w:pPr>
            <w:r>
              <w:t xml:space="preserve">Sensibilidade no bloco principal: cobertura de 80%, 90%, 95% e retirada apenas diagnóstica de um/três maiores máximos. O ajuste principal mantém todos os máximos elegíveis.</w:t>
            </w:r>
          </w:p>
          <w:tbl>
            <w:tblPr>
              <w:tblStyle w:val="Table"/>
              <w:tblW w:type="pct" w:w="5000"/>
              <w:tblLayout w:type="fixed"/>
              <w:tblLook w:firstRow="1" w:lastRow="0" w:firstColumn="0" w:lastColumn="0" w:noHBand="0" w:noVBand="0" w:val="0020"/>
              <w:tblCaption w:val="Sensibilidade no bloco principal: cobertura de 80%, 90%, 95% e retirada apenas diagnóstica de um/três maiores máximos. O ajuste principal mantém todos os máximos elegíveis."/>
            </w:tblPr>
            <w:tblGrid>
              <w:gridCol w:w="2048"/>
              <w:gridCol w:w="955"/>
              <w:gridCol w:w="1365"/>
              <w:gridCol w:w="1365"/>
              <w:gridCol w:w="955"/>
              <w:gridCol w:w="1228"/>
            </w:tblGrid>
            <w:tr>
              <w:trPr>
                <w:tblHeader w:val="on"/>
              </w:trPr>
              <w:tc>
                <w:tcPr/>
                <w:p>
                  <w:pPr>
                    <w:pStyle w:val="Compact"/>
                    <w:jc w:val="left"/>
                    <w:jc w:val="center"/>
                  </w:pPr>
                  <w:r>
                    <w:t xml:space="preserve">variacao</w:t>
                  </w:r>
                </w:p>
              </w:tc>
              <w:tc>
                <w:tcPr/>
                <w:p>
                  <w:pPr>
                    <w:pStyle w:val="Compact"/>
                    <w:jc w:val="left"/>
                    <w:jc w:val="center"/>
                  </w:pPr>
                  <w:r>
                    <w:t xml:space="preserve">n</w:t>
                  </w:r>
                </w:p>
              </w:tc>
              <w:tc>
                <w:tcPr/>
                <w:p>
                  <w:pPr>
                    <w:pStyle w:val="Compact"/>
                    <w:jc w:val="left"/>
                    <w:jc w:val="center"/>
                  </w:pPr>
                  <w:r>
                    <w:t xml:space="preserve">mu</w:t>
                  </w:r>
                </w:p>
              </w:tc>
              <w:tc>
                <w:tcPr/>
                <w:p>
                  <w:pPr>
                    <w:pStyle w:val="Compact"/>
                    <w:jc w:val="left"/>
                    <w:jc w:val="center"/>
                  </w:pPr>
                  <w:r>
                    <w:t xml:space="preserve">sigma</w:t>
                  </w:r>
                </w:p>
              </w:tc>
              <w:tc>
                <w:tcPr/>
                <w:p>
                  <w:pPr>
                    <w:pStyle w:val="Compact"/>
                    <w:jc w:val="left"/>
                    <w:jc w:val="center"/>
                  </w:pPr>
                  <w:r>
                    <w:t xml:space="preserve">xi</w:t>
                  </w:r>
                </w:p>
              </w:tc>
              <w:tc>
                <w:tcPr/>
                <w:p>
                  <w:pPr>
                    <w:pStyle w:val="Compact"/>
                    <w:jc w:val="left"/>
                    <w:jc w:val="center"/>
                  </w:pPr>
                  <w:r>
                    <w:t xml:space="preserve">delta xi</w:t>
                  </w:r>
                </w:p>
              </w:tc>
            </w:tr>
            <w:tr>
              <w:tc>
                <w:tcPr/>
                <w:p>
                  <w:pPr>
                    <w:pStyle w:val="Compact"/>
                    <w:jc w:val="left"/>
                    <w:jc w:val="center"/>
                  </w:pPr>
                  <w:r>
                    <w:t xml:space="preserve">cobertura_0.8</w:t>
                  </w:r>
                </w:p>
              </w:tc>
              <w:tc>
                <w:tcPr/>
                <w:p>
                  <w:pPr>
                    <w:pStyle w:val="Compact"/>
                    <w:jc w:val="left"/>
                    <w:jc w:val="center"/>
                  </w:pPr>
                  <w:r>
                    <w:t xml:space="preserve">95</w:t>
                  </w:r>
                </w:p>
              </w:tc>
              <w:tc>
                <w:tcPr/>
                <w:p>
                  <w:pPr>
                    <w:pStyle w:val="Compact"/>
                    <w:jc w:val="left"/>
                    <w:jc w:val="center"/>
                  </w:pPr>
                  <w:r>
                    <w:t xml:space="preserve">2.990e-06</w:t>
                  </w:r>
                </w:p>
              </w:tc>
              <w:tc>
                <w:tcPr/>
                <w:p>
                  <w:pPr>
                    <w:pStyle w:val="Compact"/>
                    <w:jc w:val="left"/>
                    <w:jc w:val="center"/>
                  </w:pPr>
                  <w:r>
                    <w:t xml:space="preserve">8.176e-06</w:t>
                  </w:r>
                </w:p>
              </w:tc>
              <w:tc>
                <w:tcPr/>
                <w:p>
                  <w:pPr>
                    <w:pStyle w:val="Compact"/>
                    <w:jc w:val="left"/>
                    <w:jc w:val="center"/>
                  </w:pPr>
                  <w:r>
                    <w:t xml:space="preserve">2.749</w:t>
                  </w:r>
                </w:p>
              </w:tc>
              <w:tc>
                <w:tcPr/>
                <w:p>
                  <w:pPr>
                    <w:pStyle w:val="Compact"/>
                    <w:jc w:val="left"/>
                    <w:jc w:val="center"/>
                  </w:pPr>
                  <w:r>
                    <w:t xml:space="preserve">-0.02285</w:t>
                  </w:r>
                </w:p>
              </w:tc>
            </w:tr>
            <w:tr>
              <w:tc>
                <w:tcPr/>
                <w:p>
                  <w:pPr>
                    <w:pStyle w:val="Compact"/>
                    <w:jc w:val="left"/>
                    <w:jc w:val="center"/>
                  </w:pPr>
                  <w:r>
                    <w:t xml:space="preserve">cobertura_0.9</w:t>
                  </w:r>
                </w:p>
              </w:tc>
              <w:tc>
                <w:tcPr/>
                <w:p>
                  <w:pPr>
                    <w:pStyle w:val="Compact"/>
                    <w:jc w:val="left"/>
                    <w:jc w:val="center"/>
                  </w:pPr>
                  <w:r>
                    <w:t xml:space="preserve">94</w:t>
                  </w:r>
                </w:p>
              </w:tc>
              <w:tc>
                <w:tcPr/>
                <w:p>
                  <w:pPr>
                    <w:pStyle w:val="Compact"/>
                    <w:jc w:val="left"/>
                    <w:jc w:val="center"/>
                  </w:pPr>
                  <w:r>
                    <w:t xml:space="preserve">2.979e-06</w:t>
                  </w:r>
                </w:p>
              </w:tc>
              <w:tc>
                <w:tcPr/>
                <w:p>
                  <w:pPr>
                    <w:pStyle w:val="Compact"/>
                    <w:jc w:val="left"/>
                    <w:jc w:val="center"/>
                  </w:pPr>
                  <w:r>
                    <w:t xml:space="preserve">8.208e-06</w:t>
                  </w:r>
                </w:p>
              </w:tc>
              <w:tc>
                <w:tcPr/>
                <w:p>
                  <w:pPr>
                    <w:pStyle w:val="Compact"/>
                    <w:jc w:val="left"/>
                    <w:jc w:val="center"/>
                  </w:pPr>
                  <w:r>
                    <w:t xml:space="preserve">2.772</w:t>
                  </w:r>
                </w:p>
              </w:tc>
              <w:tc>
                <w:tcPr/>
                <w:p>
                  <w:pPr>
                    <w:pStyle w:val="Compact"/>
                    <w:jc w:val="left"/>
                    <w:jc w:val="center"/>
                  </w:pPr>
                  <w:r>
                    <w:t xml:space="preserve">0</w:t>
                  </w:r>
                </w:p>
              </w:tc>
            </w:tr>
            <w:tr>
              <w:tc>
                <w:tcPr/>
                <w:p>
                  <w:pPr>
                    <w:pStyle w:val="Compact"/>
                    <w:jc w:val="left"/>
                    <w:jc w:val="center"/>
                  </w:pPr>
                  <w:r>
                    <w:t xml:space="preserve">cobertura_0.95</w:t>
                  </w:r>
                </w:p>
              </w:tc>
              <w:tc>
                <w:tcPr/>
                <w:p>
                  <w:pPr>
                    <w:pStyle w:val="Compact"/>
                    <w:jc w:val="left"/>
                    <w:jc w:val="center"/>
                  </w:pPr>
                  <w:r>
                    <w:t xml:space="preserve">76</w:t>
                  </w:r>
                </w:p>
              </w:tc>
              <w:tc>
                <w:tcPr/>
                <w:p>
                  <w:pPr>
                    <w:pStyle w:val="Compact"/>
                    <w:jc w:val="left"/>
                    <w:jc w:val="center"/>
                  </w:pPr>
                  <w:r>
                    <w:t xml:space="preserve">3.201e-06</w:t>
                  </w:r>
                </w:p>
              </w:tc>
              <w:tc>
                <w:tcPr/>
                <w:p>
                  <w:pPr>
                    <w:pStyle w:val="Compact"/>
                    <w:jc w:val="left"/>
                    <w:jc w:val="center"/>
                  </w:pPr>
                  <w:r>
                    <w:t xml:space="preserve">8.613e-06</w:t>
                  </w:r>
                </w:p>
              </w:tc>
              <w:tc>
                <w:tcPr/>
                <w:p>
                  <w:pPr>
                    <w:pStyle w:val="Compact"/>
                    <w:jc w:val="left"/>
                    <w:jc w:val="center"/>
                  </w:pPr>
                  <w:r>
                    <w:t xml:space="preserve">2.695</w:t>
                  </w:r>
                </w:p>
              </w:tc>
              <w:tc>
                <w:tcPr/>
                <w:p>
                  <w:pPr>
                    <w:pStyle w:val="Compact"/>
                    <w:jc w:val="left"/>
                    <w:jc w:val="center"/>
                  </w:pPr>
                  <w:r>
                    <w:t xml:space="preserve">-0.07665</w:t>
                  </w:r>
                </w:p>
              </w:tc>
            </w:tr>
            <w:tr>
              <w:tc>
                <w:tcPr/>
                <w:p>
                  <w:pPr>
                    <w:pStyle w:val="Compact"/>
                    <w:jc w:val="left"/>
                    <w:jc w:val="center"/>
                  </w:pPr>
                  <w:r>
                    <w:t xml:space="preserve">sem_1_maiores</w:t>
                  </w:r>
                </w:p>
              </w:tc>
              <w:tc>
                <w:tcPr/>
                <w:p>
                  <w:pPr>
                    <w:pStyle w:val="Compact"/>
                    <w:jc w:val="left"/>
                    <w:jc w:val="center"/>
                  </w:pPr>
                  <w:r>
                    <w:t xml:space="preserve">93</w:t>
                  </w:r>
                </w:p>
              </w:tc>
              <w:tc>
                <w:tcPr/>
                <w:p>
                  <w:pPr>
                    <w:pStyle w:val="Compact"/>
                    <w:jc w:val="left"/>
                    <w:jc w:val="center"/>
                  </w:pPr>
                  <w:r>
                    <w:t xml:space="preserve">2.876e-06</w:t>
                  </w:r>
                </w:p>
              </w:tc>
              <w:tc>
                <w:tcPr/>
                <w:p>
                  <w:pPr>
                    <w:pStyle w:val="Compact"/>
                    <w:jc w:val="left"/>
                    <w:jc w:val="center"/>
                  </w:pPr>
                  <w:r>
                    <w:t xml:space="preserve">7.846e-06</w:t>
                  </w:r>
                </w:p>
              </w:tc>
              <w:tc>
                <w:tcPr/>
                <w:p>
                  <w:pPr>
                    <w:pStyle w:val="Compact"/>
                    <w:jc w:val="left"/>
                    <w:jc w:val="center"/>
                  </w:pPr>
                  <w:r>
                    <w:t xml:space="preserve">2.745</w:t>
                  </w:r>
                </w:p>
              </w:tc>
              <w:tc>
                <w:tcPr/>
                <w:p>
                  <w:pPr>
                    <w:pStyle w:val="Compact"/>
                    <w:jc w:val="left"/>
                    <w:jc w:val="center"/>
                  </w:pPr>
                  <w:r>
                    <w:t xml:space="preserve">-0.0273</w:t>
                  </w:r>
                </w:p>
              </w:tc>
            </w:tr>
            <w:tr>
              <w:tc>
                <w:tcPr/>
                <w:p>
                  <w:pPr>
                    <w:pStyle w:val="Compact"/>
                    <w:jc w:val="left"/>
                    <w:jc w:val="center"/>
                  </w:pPr>
                  <w:r>
                    <w:t xml:space="preserve">sem_3_maiores</w:t>
                  </w:r>
                </w:p>
              </w:tc>
              <w:tc>
                <w:tcPr/>
                <w:p>
                  <w:pPr>
                    <w:pStyle w:val="Compact"/>
                    <w:jc w:val="left"/>
                    <w:jc w:val="center"/>
                  </w:pPr>
                  <w:r>
                    <w:t xml:space="preserve">91</w:t>
                  </w:r>
                </w:p>
              </w:tc>
              <w:tc>
                <w:tcPr/>
                <w:p>
                  <w:pPr>
                    <w:pStyle w:val="Compact"/>
                    <w:jc w:val="left"/>
                    <w:jc w:val="center"/>
                  </w:pPr>
                  <w:r>
                    <w:t xml:space="preserve">2.685e-06</w:t>
                  </w:r>
                </w:p>
              </w:tc>
              <w:tc>
                <w:tcPr/>
                <w:p>
                  <w:pPr>
                    <w:pStyle w:val="Compact"/>
                    <w:jc w:val="left"/>
                    <w:jc w:val="center"/>
                  </w:pPr>
                  <w:r>
                    <w:t xml:space="preserve">7.200e-06</w:t>
                  </w:r>
                </w:p>
              </w:tc>
              <w:tc>
                <w:tcPr/>
                <w:p>
                  <w:pPr>
                    <w:pStyle w:val="Compact"/>
                    <w:jc w:val="left"/>
                    <w:jc w:val="center"/>
                  </w:pPr>
                  <w:r>
                    <w:t xml:space="preserve">2.698</w:t>
                  </w:r>
                </w:p>
              </w:tc>
              <w:tc>
                <w:tcPr/>
                <w:p>
                  <w:pPr>
                    <w:pStyle w:val="Compact"/>
                    <w:jc w:val="left"/>
                    <w:jc w:val="center"/>
                  </w:pPr>
                  <w:r>
                    <w:t xml:space="preserve">-0.07426</w:t>
                  </w:r>
                </w:p>
              </w:tc>
            </w:tr>
          </w:tbl>
          <w:bookmarkEnd w:id="139"/>
          <w:p/>
        </w:tc>
      </w:tr>
    </w:tbl>
    <w:p>
      <w:pPr>
        <w:pStyle w:val="BodyText"/>
      </w:pPr>
      <w:r>
        <w:t xml:space="preserve">As retiradas são exclusivamente uma análise de influência, não uma limpeza de valores elevados. No bloco principal, a maior variação absoluta de forma nessa análise é 0.077. Estabilidade em relação a poucos picos não garante adequação de uma distribuição global à mistura de fases solares.</w:t>
      </w:r>
    </w:p>
    <w:bookmarkEnd w:id="140"/>
    <w:bookmarkStart w:id="192" w:name="modelagem-dos-valores-extremos"/>
    <w:p>
      <w:pPr>
        <w:pStyle w:val="Heading1"/>
      </w:pPr>
      <w:r>
        <w:t xml:space="preserve">8. Modelagem dos valores extremos</w:t>
      </w:r>
    </w:p>
    <w:p>
      <w:pPr>
        <w:pStyle w:val="FirstParagraph"/>
      </w:pPr>
      <w:r>
        <w:t xml:space="preserve">O modelo de referência histórico é uma</w:t>
      </w:r>
      <w:r>
        <w:t xml:space="preserve"> </w:t>
      </w:r>
      <w:r>
        <w:rPr>
          <w:b/>
          <w:bCs/>
        </w:rPr>
        <w:t xml:space="preserve">GEV estacionária dos máximos mensal</w:t>
      </w:r>
      <w:r>
        <w:t xml:space="preserve">, interpretada como aproximação histórica agregada. A extensão temporal é comparada abaixo e pode tornar essa interpretação insuficiente para previsões.</w:t>
      </w:r>
    </w:p>
    <w:tbl>
      <w:tblPr>
        <w:tblStyle w:val="Table"/>
        <w:tblW w:type="pct" w:w="5000"/>
        <w:tblLayout w:type="fixed"/>
        <w:tblLook w:firstRow="0" w:lastRow="0" w:firstColumn="0" w:lastColumn="0" w:noHBand="0" w:noVBand="0" w:val="0000"/>
      </w:tblPr>
      <w:tblGrid>
        <w:gridCol w:w="7920"/>
      </w:tblGrid>
      <w:tr>
        <w:tc>
          <w:tcPr/>
          <w:bookmarkStart w:id="141" w:name="tbl-parametros"/>
          <w:p>
            <w:pPr>
              <w:jc w:val="center"/>
            </w:pPr>
            <w:pPr>
              <w:jc w:val="start"/>
              <w:spacing w:before="200"/>
              <w:pStyle w:val="ImageCaption"/>
            </w:pPr>
            <w:r>
              <w:t xml:space="preserve">Tabela 15: Parâmetros GEV e IC de Wald de 95% (aproximação de independência). Mu e sigma em W m⁻²; xi adimensional.</w:t>
            </w:r>
          </w:p>
          <w:p>
            <w:pPr>
              <w:pStyle w:val="Compact"/>
              <w:jc w:val="center"/>
            </w:pPr>
            <w:r>
              <w:t xml:space="preserve">Parâmetros GEV e IC de Wald de 95% (aproximação de independência). Mu e sigma em W m⁻²; xi adimensional.</w:t>
            </w:r>
          </w:p>
          <w:tbl>
            <w:tblPr>
              <w:tblStyle w:val="Table"/>
              <w:tblW w:type="pct" w:w="5000"/>
              <w:tblLayout w:type="fixed"/>
              <w:tblLook w:firstRow="1" w:lastRow="0" w:firstColumn="0" w:lastColumn="0" w:noHBand="0" w:noVBand="0" w:val="0020"/>
              <w:tblCaption w:val="Parâmetros GEV e IC de Wald de 95% (aproximação de independência). Mu e sigma em W m⁻²; xi adimensional."/>
            </w:tblPr>
            <w:tblGrid>
              <w:gridCol w:w="1552"/>
              <w:gridCol w:w="1708"/>
              <w:gridCol w:w="1552"/>
              <w:gridCol w:w="1552"/>
              <w:gridCol w:w="1552"/>
            </w:tblGrid>
            <w:tr>
              <w:trPr>
                <w:tblHeader w:val="on"/>
              </w:trPr>
              <w:tc>
                <w:tcPr/>
                <w:p>
                  <w:pPr>
                    <w:pStyle w:val="Compact"/>
                    <w:jc w:val="left"/>
                    <w:jc w:val="center"/>
                  </w:pPr>
                  <w:r>
                    <w:t xml:space="preserve">parametro</w:t>
                  </w:r>
                </w:p>
              </w:tc>
              <w:tc>
                <w:tcPr/>
                <w:p>
                  <w:pPr>
                    <w:pStyle w:val="Compact"/>
                    <w:jc w:val="left"/>
                    <w:jc w:val="center"/>
                  </w:pPr>
                  <w:r>
                    <w:t xml:space="preserve">estimativa</w:t>
                  </w:r>
                </w:p>
              </w:tc>
              <w:tc>
                <w:tcPr/>
                <w:p>
                  <w:pPr>
                    <w:pStyle w:val="Compact"/>
                    <w:jc w:val="left"/>
                    <w:jc w:val="center"/>
                  </w:pPr>
                  <w:r>
                    <w:t xml:space="preserve">ep</w:t>
                  </w:r>
                </w:p>
              </w:tc>
              <w:tc>
                <w:tcPr/>
                <w:p>
                  <w:pPr>
                    <w:pStyle w:val="Compact"/>
                    <w:jc w:val="left"/>
                    <w:jc w:val="center"/>
                  </w:pPr>
                  <w:r>
                    <w:t xml:space="preserve">inferior</w:t>
                  </w:r>
                </w:p>
              </w:tc>
              <w:tc>
                <w:tcPr/>
                <w:p>
                  <w:pPr>
                    <w:pStyle w:val="Compact"/>
                    <w:jc w:val="left"/>
                    <w:jc w:val="center"/>
                  </w:pPr>
                  <w:r>
                    <w:t xml:space="preserve">superior</w:t>
                  </w:r>
                </w:p>
              </w:tc>
            </w:tr>
            <w:tr>
              <w:tc>
                <w:tcPr/>
                <w:p>
                  <w:pPr>
                    <w:pStyle w:val="Compact"/>
                    <w:jc w:val="left"/>
                    <w:jc w:val="center"/>
                  </w:pPr>
                  <w:r>
                    <w:t xml:space="preserve">mu</w:t>
                  </w:r>
                </w:p>
              </w:tc>
              <w:tc>
                <w:tcPr/>
                <w:p>
                  <w:pPr>
                    <w:pStyle w:val="Compact"/>
                    <w:jc w:val="left"/>
                    <w:jc w:val="center"/>
                  </w:pPr>
                  <w:r>
                    <w:t xml:space="preserve">2.979e-06</w:t>
                  </w:r>
                </w:p>
              </w:tc>
              <w:tc>
                <w:tcPr/>
                <w:p>
                  <w:pPr>
                    <w:pStyle w:val="Compact"/>
                    <w:jc w:val="left"/>
                    <w:jc w:val="center"/>
                  </w:pPr>
                  <w:r>
                    <w:t xml:space="preserve">9.424e-07</w:t>
                  </w:r>
                </w:p>
              </w:tc>
              <w:tc>
                <w:tcPr/>
                <w:p>
                  <w:pPr>
                    <w:pStyle w:val="Compact"/>
                    <w:jc w:val="left"/>
                    <w:jc w:val="center"/>
                  </w:pPr>
                  <w:r>
                    <w:t xml:space="preserve">1.131e-06</w:t>
                  </w:r>
                </w:p>
              </w:tc>
              <w:tc>
                <w:tcPr/>
                <w:p>
                  <w:pPr>
                    <w:pStyle w:val="Compact"/>
                    <w:jc w:val="left"/>
                    <w:jc w:val="center"/>
                  </w:pPr>
                  <w:r>
                    <w:t xml:space="preserve">4.826e-06</w:t>
                  </w:r>
                </w:p>
              </w:tc>
            </w:tr>
            <w:tr>
              <w:tc>
                <w:tcPr/>
                <w:p>
                  <w:pPr>
                    <w:pStyle w:val="Compact"/>
                    <w:jc w:val="left"/>
                    <w:jc w:val="center"/>
                  </w:pPr>
                  <w:r>
                    <w:t xml:space="preserve">sigma</w:t>
                  </w:r>
                </w:p>
              </w:tc>
              <w:tc>
                <w:tcPr/>
                <w:p>
                  <w:pPr>
                    <w:pStyle w:val="Compact"/>
                    <w:jc w:val="left"/>
                    <w:jc w:val="center"/>
                  </w:pPr>
                  <w:r>
                    <w:t xml:space="preserve">8.208e-06</w:t>
                  </w:r>
                </w:p>
              </w:tc>
              <w:tc>
                <w:tcPr/>
                <w:p>
                  <w:pPr>
                    <w:pStyle w:val="Compact"/>
                    <w:jc w:val="left"/>
                    <w:jc w:val="center"/>
                  </w:pPr>
                  <w:r>
                    <w:t xml:space="preserve">2.794e-06</w:t>
                  </w:r>
                </w:p>
              </w:tc>
              <w:tc>
                <w:tcPr/>
                <w:p>
                  <w:pPr>
                    <w:pStyle w:val="Compact"/>
                    <w:jc w:val="left"/>
                    <w:jc w:val="center"/>
                  </w:pPr>
                  <w:r>
                    <w:t xml:space="preserve">2.731e-06</w:t>
                  </w:r>
                </w:p>
              </w:tc>
              <w:tc>
                <w:tcPr/>
                <w:p>
                  <w:pPr>
                    <w:pStyle w:val="Compact"/>
                    <w:jc w:val="left"/>
                    <w:jc w:val="center"/>
                  </w:pPr>
                  <w:r>
                    <w:t xml:space="preserve">1.368e-05</w:t>
                  </w:r>
                </w:p>
              </w:tc>
            </w:tr>
            <w:tr>
              <w:tc>
                <w:tcPr/>
                <w:p>
                  <w:pPr>
                    <w:pStyle w:val="Compact"/>
                    <w:jc w:val="left"/>
                    <w:jc w:val="center"/>
                  </w:pPr>
                  <w:r>
                    <w:t xml:space="preserve">xi</w:t>
                  </w:r>
                </w:p>
              </w:tc>
              <w:tc>
                <w:tcPr/>
                <w:p>
                  <w:pPr>
                    <w:pStyle w:val="Compact"/>
                    <w:jc w:val="left"/>
                    <w:jc w:val="center"/>
                  </w:pPr>
                  <w:r>
                    <w:t xml:space="preserve">2.772</w:t>
                  </w:r>
                </w:p>
              </w:tc>
              <w:tc>
                <w:tcPr/>
                <w:p>
                  <w:pPr>
                    <w:pStyle w:val="Compact"/>
                    <w:jc w:val="left"/>
                    <w:jc w:val="center"/>
                  </w:pPr>
                  <w:r>
                    <w:t xml:space="preserve">0.2629</w:t>
                  </w:r>
                </w:p>
              </w:tc>
              <w:tc>
                <w:tcPr/>
                <w:p>
                  <w:pPr>
                    <w:pStyle w:val="Compact"/>
                    <w:jc w:val="left"/>
                    <w:jc w:val="center"/>
                  </w:pPr>
                  <w:r>
                    <w:t xml:space="preserve">2.257</w:t>
                  </w:r>
                </w:p>
              </w:tc>
              <w:tc>
                <w:tcPr/>
                <w:p>
                  <w:pPr>
                    <w:pStyle w:val="Compact"/>
                    <w:jc w:val="left"/>
                    <w:jc w:val="center"/>
                  </w:pPr>
                  <w:r>
                    <w:t xml:space="preserve">3.287</w:t>
                  </w:r>
                </w:p>
              </w:tc>
            </w:tr>
          </w:tbl>
          <w:bookmarkEnd w:id="1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tbl-parametros-boot"/>
          <w:p>
            <w:pPr>
              <w:jc w:val="center"/>
            </w:pPr>
            <w:pPr>
              <w:jc w:val="start"/>
              <w:spacing w:before="200"/>
              <w:pStyle w:val="ImageCaption"/>
            </w:pPr>
            <w:r>
              <w:t xml:space="preserve">Tabela 16: IC percentil de 95% por bootstrap de blocos móveis, utilizado na classificação da forma.</w:t>
            </w:r>
          </w:p>
          <w:p>
            <w:pPr>
              <w:pStyle w:val="Compact"/>
              <w:jc w:val="center"/>
            </w:pPr>
            <w:r>
              <w:t xml:space="preserve">IC percentil de 95% por bootstrap de blocos móveis, utilizado na classificação da forma.</w:t>
            </w:r>
          </w:p>
          <w:tbl>
            <w:tblPr>
              <w:tblStyle w:val="Table"/>
              <w:tblW w:type="pct" w:w="5000"/>
              <w:tblLayout w:type="fixed"/>
              <w:tblLook w:firstRow="1" w:lastRow="0" w:firstColumn="0" w:lastColumn="0" w:noHBand="0" w:noVBand="0" w:val="0020"/>
              <w:tblCaption w:val="IC percentil de 95% por bootstrap de blocos móveis, utilizado na classificação da forma."/>
            </w:tblPr>
            <w:tblGrid>
              <w:gridCol w:w="2640"/>
              <w:gridCol w:w="2640"/>
              <w:gridCol w:w="2640"/>
            </w:tblGrid>
            <w:tr>
              <w:trPr>
                <w:tblHeader w:val="on"/>
              </w:trPr>
              <w:tc>
                <w:tcPr/>
                <w:p>
                  <w:pPr>
                    <w:pStyle w:val="Compact"/>
                    <w:jc w:val="left"/>
                    <w:jc w:val="center"/>
                  </w:pPr>
                  <w:r>
                    <w:t xml:space="preserve">parametro</w:t>
                  </w:r>
                </w:p>
              </w:tc>
              <w:tc>
                <w:tcPr/>
                <w:p>
                  <w:pPr>
                    <w:pStyle w:val="Compact"/>
                    <w:jc w:val="left"/>
                    <w:jc w:val="center"/>
                  </w:pPr>
                  <w:r>
                    <w:t xml:space="preserve">inferior</w:t>
                  </w:r>
                </w:p>
              </w:tc>
              <w:tc>
                <w:tcPr/>
                <w:p>
                  <w:pPr>
                    <w:pStyle w:val="Compact"/>
                    <w:jc w:val="left"/>
                    <w:jc w:val="center"/>
                  </w:pPr>
                  <w:r>
                    <w:t xml:space="preserve">superior</w:t>
                  </w:r>
                </w:p>
              </w:tc>
            </w:tr>
            <w:tr>
              <w:tc>
                <w:tcPr/>
                <w:p>
                  <w:pPr>
                    <w:pStyle w:val="Compact"/>
                    <w:jc w:val="left"/>
                    <w:jc w:val="center"/>
                  </w:pPr>
                  <w:r>
                    <w:t xml:space="preserve">mu</w:t>
                  </w:r>
                </w:p>
              </w:tc>
              <w:tc>
                <w:tcPr/>
                <w:p>
                  <w:pPr>
                    <w:pStyle w:val="Compact"/>
                    <w:jc w:val="left"/>
                    <w:jc w:val="center"/>
                  </w:pPr>
                  <w:r>
                    <w:t xml:space="preserve">8.776e-07</w:t>
                  </w:r>
                </w:p>
              </w:tc>
              <w:tc>
                <w:tcPr/>
                <w:p>
                  <w:pPr>
                    <w:pStyle w:val="Compact"/>
                    <w:jc w:val="left"/>
                    <w:jc w:val="center"/>
                  </w:pPr>
                  <w:r>
                    <w:t xml:space="preserve">2.177e-05</w:t>
                  </w:r>
                </w:p>
              </w:tc>
            </w:tr>
            <w:tr>
              <w:tc>
                <w:tcPr/>
                <w:p>
                  <w:pPr>
                    <w:pStyle w:val="Compact"/>
                    <w:jc w:val="left"/>
                    <w:jc w:val="center"/>
                  </w:pPr>
                  <w:r>
                    <w:t xml:space="preserve">sigma</w:t>
                  </w:r>
                </w:p>
              </w:tc>
              <w:tc>
                <w:tcPr/>
                <w:p>
                  <w:pPr>
                    <w:pStyle w:val="Compact"/>
                    <w:jc w:val="left"/>
                    <w:jc w:val="center"/>
                  </w:pPr>
                  <w:r>
                    <w:t xml:space="preserve">2.523e-06</w:t>
                  </w:r>
                </w:p>
              </w:tc>
              <w:tc>
                <w:tcPr/>
                <w:p>
                  <w:pPr>
                    <w:pStyle w:val="Compact"/>
                    <w:jc w:val="left"/>
                    <w:jc w:val="center"/>
                  </w:pPr>
                  <w:r>
                    <w:t xml:space="preserve">3.436e-05</w:t>
                  </w:r>
                </w:p>
              </w:tc>
            </w:tr>
            <w:tr>
              <w:tc>
                <w:tcPr/>
                <w:p>
                  <w:pPr>
                    <w:pStyle w:val="Compact"/>
                    <w:jc w:val="left"/>
                    <w:jc w:val="center"/>
                  </w:pPr>
                  <w:r>
                    <w:t xml:space="preserve">xi</w:t>
                  </w:r>
                </w:p>
              </w:tc>
              <w:tc>
                <w:tcPr/>
                <w:p>
                  <w:pPr>
                    <w:pStyle w:val="Compact"/>
                    <w:jc w:val="left"/>
                    <w:jc w:val="center"/>
                  </w:pPr>
                  <w:r>
                    <w:t xml:space="preserve">1.243</w:t>
                  </w:r>
                </w:p>
              </w:tc>
              <w:tc>
                <w:tcPr/>
                <w:p>
                  <w:pPr>
                    <w:pStyle w:val="Compact"/>
                    <w:jc w:val="left"/>
                    <w:jc w:val="center"/>
                  </w:pPr>
                  <w:r>
                    <w:t xml:space="preserve">3.457</w:t>
                  </w:r>
                </w:p>
              </w:tc>
            </w:tr>
          </w:tbl>
          <w:bookmarkEnd w:id="142"/>
          <w:p/>
        </w:tc>
      </w:tr>
    </w:tbl>
    <w:p>
      <w:pPr>
        <w:pStyle w:val="BodyText"/>
      </w:pPr>
      <w:r>
        <w:t xml:space="preserve">A estimativa de forma é</w:t>
      </w:r>
      <w:r>
        <w:t xml:space="preserve"> </w:t>
      </w:r>
      <w:r>
        <w:rPr>
          <w:b/>
          <w:bCs/>
        </w:rPr>
        <w:t xml:space="preserve">2.772</w:t>
      </w:r>
      <w:r>
        <w:t xml:space="preserve">, e seu IC bootstrap é [1.2426, 3.4565]. A classificação do ajuste agregado compatível com esse intervalo é:</w:t>
      </w:r>
      <w:r>
        <w:t xml:space="preserve"> </w:t>
      </w:r>
      <w:r>
        <w:rPr>
          <w:b/>
          <w:bCs/>
        </w:rPr>
        <w:t xml:space="preserve">Fréchet: o intervalo bootstrap da forma está inteiramente acima de zero</w:t>
      </w:r>
      <w:r>
        <w:t xml:space="preserve">. O valor de forma também implica média infinita sob a GEV ajustada. Essa é uma consequência matemática do modelo agregado, não uma propriedade física demonstrada para o fluxo solar. A mistura de níveis de atividade e o mau ajuste da cauda impedem transferir automaticamente a classificação Fréchet para uma lei física invariável. Trata-se de inferência condicional ao modelo, à cobertura e à aproximação de estabilidade temporal; um limite superior finito em uma GEV com forma negativa não é uma barreira física comprovada para o Sol.</w:t>
      </w:r>
    </w:p>
    <w:p>
      <w:pPr>
        <w:pStyle w:val="BodyText"/>
      </w:pPr>
      <w:r>
        <w:t xml:space="preserve">Os intervalos principais usaram 399 ajustes válidos em 399 replicações, com segmentos de 5 blocos de calendário. A taxa de êxito é documentada e a análise interrompe se menos de 80% dos ajustes, ou menos de 100, forem válidos. A janela bootstrap é uma escolha de regularização da dependência, não um parâmetro físico.</w:t>
      </w:r>
    </w:p>
    <w:bookmarkStart w:id="180" w:name="diagnósticos"/>
    <w:p>
      <w:pPr>
        <w:pStyle w:val="Heading2"/>
      </w:pPr>
      <w:r>
        <w:t xml:space="preserve">8.1 Diagnósticos</w:t>
      </w:r>
    </w:p>
    <w:tbl>
      <w:tblPr>
        <w:tblStyle w:val="Table"/>
        <w:tblW w:type="pct" w:w="5000"/>
        <w:tblLayout w:type="fixed"/>
        <w:tblLook w:firstRow="0" w:lastRow="0" w:firstColumn="0" w:lastColumn="0" w:noHBand="0" w:noVBand="0" w:val="0000"/>
      </w:tblPr>
      <w:tblGrid>
        <w:gridCol w:w="7920"/>
      </w:tblGrid>
      <w:tr>
        <w:tc>
          <w:tcPr/>
          <w:bookmarkStart w:id="146" w:name="fig-gev-1"/>
          <w:p>
            <w:pPr>
              <w:pStyle w:val="Compact"/>
              <w:jc w:val="center"/>
            </w:pPr>
            <w:r>
              <w:drawing>
                <wp:inline>
                  <wp:extent cx="5829300" cy="2975821"/>
                  <wp:effectExtent b="0" l="0" r="0" t="0"/>
                  <wp:docPr descr="" title="" id="144" name="Picture"/>
                  <a:graphic>
                    <a:graphicData uri="http://schemas.openxmlformats.org/drawingml/2006/picture">
                      <pic:pic>
                        <pic:nvPicPr>
                          <pic:cNvPr descr="figuras/qq_gev_diario.png" id="145" name="Picture"/>
                          <pic:cNvPicPr>
                            <a:picLocks noChangeArrowheads="1" noChangeAspect="1"/>
                          </pic:cNvPicPr>
                        </pic:nvPicPr>
                        <pic:blipFill>
                          <a:blip r:embed="rId143"/>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25: QQ, PP e densidade da GEV para cada agregação ajustável. O alinhamento central deve ser distinguido do comportamento dos maiores máximos.</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gev-2"/>
          <w:p>
            <w:pPr>
              <w:pStyle w:val="Compact"/>
              <w:jc w:val="center"/>
            </w:pPr>
            <w:r>
              <w:drawing>
                <wp:inline>
                  <wp:extent cx="5829300" cy="2975821"/>
                  <wp:effectExtent b="0" l="0" r="0" t="0"/>
                  <wp:docPr descr="" title="" id="148" name="Picture"/>
                  <a:graphic>
                    <a:graphicData uri="http://schemas.openxmlformats.org/drawingml/2006/picture">
                      <pic:pic>
                        <pic:nvPicPr>
                          <pic:cNvPr descr="figuras/pp_gev_diario.png" id="149" name="Picture"/>
                          <pic:cNvPicPr>
                            <a:picLocks noChangeArrowheads="1" noChangeAspect="1"/>
                          </pic:cNvPicPr>
                        </pic:nvPicPr>
                        <pic:blipFill>
                          <a:blip r:embed="rId147"/>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26: QQ, PP e densidade da GEV para cada agregação ajustável. O alinhamento central deve ser distinguido do comportamento dos maiores máximos.</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gev-3"/>
          <w:p>
            <w:pPr>
              <w:pStyle w:val="Compact"/>
              <w:jc w:val="center"/>
            </w:pPr>
            <w:r>
              <w:drawing>
                <wp:inline>
                  <wp:extent cx="5829300" cy="2975821"/>
                  <wp:effectExtent b="0" l="0" r="0" t="0"/>
                  <wp:docPr descr="" title="" id="152" name="Picture"/>
                  <a:graphic>
                    <a:graphicData uri="http://schemas.openxmlformats.org/drawingml/2006/picture">
                      <pic:pic>
                        <pic:nvPicPr>
                          <pic:cNvPr descr="figuras/densidade_gev_diario.png" id="153" name="Picture"/>
                          <pic:cNvPicPr>
                            <a:picLocks noChangeArrowheads="1" noChangeAspect="1"/>
                          </pic:cNvPicPr>
                        </pic:nvPicPr>
                        <pic:blipFill>
                          <a:blip r:embed="rId151"/>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27: QQ, PP e densidade da GEV para cada agregação ajustável. O alinhamento central deve ser distinguido do comportamento dos maiores máximos.</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gev-4"/>
          <w:p>
            <w:pPr>
              <w:pStyle w:val="Compact"/>
              <w:jc w:val="center"/>
            </w:pPr>
            <w:r>
              <w:drawing>
                <wp:inline>
                  <wp:extent cx="5829300" cy="2975821"/>
                  <wp:effectExtent b="0" l="0" r="0" t="0"/>
                  <wp:docPr descr="" title="" id="156" name="Picture"/>
                  <a:graphic>
                    <a:graphicData uri="http://schemas.openxmlformats.org/drawingml/2006/picture">
                      <pic:pic>
                        <pic:nvPicPr>
                          <pic:cNvPr descr="figuras/qq_gev_semanal.png" id="157" name="Picture"/>
                          <pic:cNvPicPr>
                            <a:picLocks noChangeArrowheads="1" noChangeAspect="1"/>
                          </pic:cNvPicPr>
                        </pic:nvPicPr>
                        <pic:blipFill>
                          <a:blip r:embed="rId155"/>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28: QQ, PP e densidade da GEV para cada agregação ajustável. O alinhamento central deve ser distinguido do comportamento dos maiores máximos.</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gev-5"/>
          <w:p>
            <w:pPr>
              <w:pStyle w:val="Compact"/>
              <w:jc w:val="center"/>
            </w:pPr>
            <w:r>
              <w:drawing>
                <wp:inline>
                  <wp:extent cx="5829300" cy="2975821"/>
                  <wp:effectExtent b="0" l="0" r="0" t="0"/>
                  <wp:docPr descr="" title="" id="160" name="Picture"/>
                  <a:graphic>
                    <a:graphicData uri="http://schemas.openxmlformats.org/drawingml/2006/picture">
                      <pic:pic>
                        <pic:nvPicPr>
                          <pic:cNvPr descr="figuras/pp_gev_semanal.png" id="161" name="Picture"/>
                          <pic:cNvPicPr>
                            <a:picLocks noChangeArrowheads="1" noChangeAspect="1"/>
                          </pic:cNvPicPr>
                        </pic:nvPicPr>
                        <pic:blipFill>
                          <a:blip r:embed="rId159"/>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29: QQ, PP e densidade da GEV para cada agregação ajustável. O alinhamento central deve ser distinguido do comportamento dos maiores máximos.</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gev-6"/>
          <w:p>
            <w:pPr>
              <w:pStyle w:val="Compact"/>
              <w:jc w:val="center"/>
            </w:pPr>
            <w:r>
              <w:drawing>
                <wp:inline>
                  <wp:extent cx="5829300" cy="2975821"/>
                  <wp:effectExtent b="0" l="0" r="0" t="0"/>
                  <wp:docPr descr="" title="" id="164" name="Picture"/>
                  <a:graphic>
                    <a:graphicData uri="http://schemas.openxmlformats.org/drawingml/2006/picture">
                      <pic:pic>
                        <pic:nvPicPr>
                          <pic:cNvPr descr="figuras/densidade_gev_semanal.png" id="165" name="Picture"/>
                          <pic:cNvPicPr>
                            <a:picLocks noChangeArrowheads="1" noChangeAspect="1"/>
                          </pic:cNvPicPr>
                        </pic:nvPicPr>
                        <pic:blipFill>
                          <a:blip r:embed="rId163"/>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30: QQ, PP e densidade da GEV para cada agregação ajustável. O alinhamento central deve ser distinguido do comportamento dos maiores máximos.</w:t>
            </w:r>
          </w:p>
          <w:bookmarkEnd w:id="166"/>
        </w:tc>
      </w:tr>
    </w:tbl>
    <w:tbl>
      <w:tblPr>
        <w:tblStyle w:val="Table"/>
        <w:tblW w:type="pct" w:w="5000"/>
        <w:tblLayout w:type="fixed"/>
        <w:tblLook w:firstRow="0" w:lastRow="0" w:firstColumn="0" w:lastColumn="0" w:noHBand="0" w:noVBand="0" w:val="0000"/>
      </w:tblPr>
      <w:tblGrid>
        <w:gridCol w:w="7920"/>
      </w:tblGrid>
      <w:tr>
        <w:tc>
          <w:tcPr/>
          <w:bookmarkStart w:id="170" w:name="fig-gev-7"/>
          <w:p>
            <w:pPr>
              <w:pStyle w:val="Compact"/>
              <w:jc w:val="center"/>
            </w:pPr>
            <w:r>
              <w:drawing>
                <wp:inline>
                  <wp:extent cx="5829300" cy="2975821"/>
                  <wp:effectExtent b="0" l="0" r="0" t="0"/>
                  <wp:docPr descr="" title="" id="168" name="Picture"/>
                  <a:graphic>
                    <a:graphicData uri="http://schemas.openxmlformats.org/drawingml/2006/picture">
                      <pic:pic>
                        <pic:nvPicPr>
                          <pic:cNvPr descr="figuras/qq_gev_mensal.png" id="169" name="Picture"/>
                          <pic:cNvPicPr>
                            <a:picLocks noChangeArrowheads="1" noChangeAspect="1"/>
                          </pic:cNvPicPr>
                        </pic:nvPicPr>
                        <pic:blipFill>
                          <a:blip r:embed="rId167"/>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31: QQ, PP e densidade da GEV para cada agregação ajustável. O alinhamento central deve ser distinguido do comportamento dos maiores máximos.</w:t>
            </w:r>
          </w:p>
          <w:bookmarkEnd w:id="170"/>
        </w:tc>
      </w:tr>
    </w:tbl>
    <w:tbl>
      <w:tblPr>
        <w:tblStyle w:val="Table"/>
        <w:tblW w:type="pct" w:w="5000"/>
        <w:tblLayout w:type="fixed"/>
        <w:tblLook w:firstRow="0" w:lastRow="0" w:firstColumn="0" w:lastColumn="0" w:noHBand="0" w:noVBand="0" w:val="0000"/>
      </w:tblPr>
      <w:tblGrid>
        <w:gridCol w:w="7920"/>
      </w:tblGrid>
      <w:tr>
        <w:tc>
          <w:tcPr/>
          <w:bookmarkStart w:id="174" w:name="fig-gev-8"/>
          <w:p>
            <w:pPr>
              <w:pStyle w:val="Compact"/>
              <w:jc w:val="center"/>
            </w:pPr>
            <w:r>
              <w:drawing>
                <wp:inline>
                  <wp:extent cx="5829300" cy="2975821"/>
                  <wp:effectExtent b="0" l="0" r="0" t="0"/>
                  <wp:docPr descr="" title="" id="172" name="Picture"/>
                  <a:graphic>
                    <a:graphicData uri="http://schemas.openxmlformats.org/drawingml/2006/picture">
                      <pic:pic>
                        <pic:nvPicPr>
                          <pic:cNvPr descr="figuras/pp_gev_mensal.png" id="173" name="Picture"/>
                          <pic:cNvPicPr>
                            <a:picLocks noChangeArrowheads="1" noChangeAspect="1"/>
                          </pic:cNvPicPr>
                        </pic:nvPicPr>
                        <pic:blipFill>
                          <a:blip r:embed="rId171"/>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32: QQ, PP e densidade da GEV para cada agregação ajustável. O alinhamento central deve ser distinguido do comportamento dos maiores máximos.</w:t>
            </w:r>
          </w:p>
          <w:bookmarkEnd w:id="174"/>
        </w:tc>
      </w:tr>
    </w:tbl>
    <w:tbl>
      <w:tblPr>
        <w:tblStyle w:val="Table"/>
        <w:tblW w:type="pct" w:w="5000"/>
        <w:tblLayout w:type="fixed"/>
        <w:tblLook w:firstRow="0" w:lastRow="0" w:firstColumn="0" w:lastColumn="0" w:noHBand="0" w:noVBand="0" w:val="0000"/>
      </w:tblPr>
      <w:tblGrid>
        <w:gridCol w:w="7920"/>
      </w:tblGrid>
      <w:tr>
        <w:tc>
          <w:tcPr/>
          <w:bookmarkStart w:id="178" w:name="fig-gev-9"/>
          <w:p>
            <w:pPr>
              <w:pStyle w:val="Compact"/>
              <w:jc w:val="center"/>
            </w:pPr>
            <w:r>
              <w:drawing>
                <wp:inline>
                  <wp:extent cx="5829300" cy="2975821"/>
                  <wp:effectExtent b="0" l="0" r="0" t="0"/>
                  <wp:docPr descr="" title="" id="176" name="Picture"/>
                  <a:graphic>
                    <a:graphicData uri="http://schemas.openxmlformats.org/drawingml/2006/picture">
                      <pic:pic>
                        <pic:nvPicPr>
                          <pic:cNvPr descr="figuras/densidade_gev_mensal.png" id="177" name="Picture"/>
                          <pic:cNvPicPr>
                            <a:picLocks noChangeArrowheads="1" noChangeAspect="1"/>
                          </pic:cNvPicPr>
                        </pic:nvPicPr>
                        <pic:blipFill>
                          <a:blip r:embed="rId175"/>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33: QQ, PP e densidade da GEV para cada agregação ajustável. O alinhamento central deve ser distinguido do comportamento dos maiores máximos.</w:t>
            </w:r>
          </w:p>
          <w:bookmarkEnd w:id="178"/>
        </w:tc>
      </w:tr>
    </w:tbl>
    <w:p>
      <w:pPr>
        <w:pStyle w:val="BodyText"/>
      </w:pPr>
      <w:r>
        <w:t xml:space="preserve">No modelo principal, o erro quadrático médio do PP é 0.0759. Essa medida dá peso à região central e não é um teste de cauda. No QQ, os eixos são logarítmicos quando positivos e abrangem mais de duas ordens de grandeza; a diagonal continua representando igualdade. O afastamento dos maiores pontos da diagonal deve ser lido como limitação na extrapolação; no PP, curvatura persistente sugere discrepância global. No bloco principal, o maior máximo observado é 1.464e-03 W m⁻². O quantil GEV na probabilidade empírica do maior ponto é 5.918e+00 W m⁻². A distância entre esses valores explicita a falha de calibração superior. A densidade pode ocultar erros na cauda por concentrar massa na região central. Portanto, convergência numérica e gráficos centrais não bastam para afirmar que o modelo representa os maiores eventos.</w:t>
      </w:r>
    </w:p>
    <w:p>
      <w:pPr>
        <w:pStyle w:val="BodyText"/>
      </w:pPr>
      <w:r>
        <w:t xml:space="preserve">Para o PIT estacionário no maior trecho contíguo, Ljung–Box produz valor p &lt; 0,001. Valores p inferiores à precisão numérica podem aparecer como zero nos CSVs; isso não significa probabilidade matemática exatamente zero. As lacunas do PIT correspondem aos blocos inelegíveis e não são preenchidas. Dependência residual limita a interpretação da Hessiana como informação de observações independentes. Não são exibidas bandas QQ que pressuponham independência sem explicitar essa hipótese; a incerteza dos níveis de retorno é examinada pelo bootstrap.</w:t>
      </w:r>
    </w:p>
    <w:tbl>
      <w:tblPr>
        <w:tblStyle w:val="Table"/>
        <w:tblW w:type="pct" w:w="5000"/>
        <w:tblLayout w:type="fixed"/>
        <w:tblLook w:firstRow="0" w:lastRow="0" w:firstColumn="0" w:lastColumn="0" w:noHBand="0" w:noVBand="0" w:val="0000"/>
      </w:tblPr>
      <w:tblGrid>
        <w:gridCol w:w="7920"/>
      </w:tblGrid>
      <w:tr>
        <w:tc>
          <w:tcPr/>
          <w:bookmarkStart w:id="179" w:name="tbl-avisos"/>
          <w:p>
            <w:pPr>
              <w:jc w:val="center"/>
            </w:pPr>
            <w:pPr>
              <w:jc w:val="start"/>
              <w:spacing w:before="200"/>
              <w:pStyle w:val="ImageCaption"/>
            </w:pPr>
            <w:r>
              <w:t xml:space="preserve">Tabela 17: Avisos numéricos registrados nas tentativas de ajuste; tentativas malsucedidas não são selecionadas.</w:t>
            </w:r>
          </w:p>
          <w:p>
            <w:pPr>
              <w:pStyle w:val="Compact"/>
              <w:jc w:val="center"/>
            </w:pPr>
            <w:r>
              <w:t xml:space="preserve">Avisos numéricos registrados nas tentativas de ajuste; tentativas malsucedidas não são selecionadas.</w:t>
            </w:r>
          </w:p>
          <w:tbl>
            <w:tblPr>
              <w:tblStyle w:val="Table"/>
              <w:tblW w:type="pct" w:w="5000"/>
              <w:tblLayout w:type="fixed"/>
              <w:tblLook w:firstRow="1" w:lastRow="0" w:firstColumn="0" w:lastColumn="0" w:noHBand="0" w:noVBand="0" w:val="0020"/>
              <w:tblCaption w:val="Avisos numéricos registrados nas tentativas de ajuste; tentativas malsucedidas não são selecionadas."/>
            </w:tblPr>
            <w:tblGrid>
              <w:gridCol w:w="1584"/>
              <w:gridCol w:w="6336"/>
            </w:tblGrid>
            <w:tr>
              <w:trPr>
                <w:tblHeader w:val="on"/>
              </w:trPr>
              <w:tc>
                <w:tcPr/>
                <w:p>
                  <w:pPr>
                    <w:pStyle w:val="Compact"/>
                    <w:jc w:val="left"/>
                    <w:jc w:val="center"/>
                  </w:pPr>
                  <w:r>
                    <w:t xml:space="preserve">bloco</w:t>
                  </w:r>
                </w:p>
              </w:tc>
              <w:tc>
                <w:tcPr/>
                <w:p>
                  <w:pPr>
                    <w:pStyle w:val="Compact"/>
                    <w:jc w:val="left"/>
                    <w:jc w:val="center"/>
                  </w:pPr>
                  <w:r>
                    <w:t xml:space="preserve">avisos</w:t>
                  </w:r>
                </w:p>
              </w:tc>
            </w:tr>
            <w:tr>
              <w:tc>
                <w:tcPr/>
                <w:p>
                  <w:pPr>
                    <w:pStyle w:val="Compact"/>
                    <w:jc w:val="left"/>
                    <w:jc w:val="center"/>
                  </w:pPr>
                  <w:r>
                    <w:t xml:space="preserve">diario</w:t>
                  </w:r>
                </w:p>
              </w:tc>
              <w:tc>
                <w:tcPr/>
                <w:p>
                  <w:pPr>
                    <w:pStyle w:val="Compact"/>
                    <w:jc w:val="left"/>
                    <w:jc w:val="center"/>
                  </w:pPr>
                  <w:r>
                    <w:t xml:space="preserve">xi &gt;= 1: o modelo agregado implica média infinita; examinar heterogeneidade temporal e extrapolação.</w:t>
                  </w:r>
                </w:p>
              </w:tc>
            </w:tr>
            <w:tr>
              <w:tc>
                <w:tcPr/>
                <w:p>
                  <w:pPr>
                    <w:pStyle w:val="Compact"/>
                    <w:jc w:val="left"/>
                    <w:jc w:val="center"/>
                  </w:pPr>
                  <w:r>
                    <w:t xml:space="preserve">semanal</w:t>
                  </w:r>
                </w:p>
              </w:tc>
              <w:tc>
                <w:tcPr/>
                <w:p>
                  <w:pPr>
                    <w:pStyle w:val="Compact"/>
                    <w:jc w:val="left"/>
                    <w:jc w:val="center"/>
                  </w:pPr>
                  <w:r>
                    <w:t xml:space="preserve">xi &gt;= 1: o modelo agregado implica média infinita; examinar heterogeneidade temporal e extrapolação.</w:t>
                  </w:r>
                </w:p>
              </w:tc>
            </w:tr>
            <w:tr>
              <w:tc>
                <w:tcPr/>
                <w:p>
                  <w:pPr>
                    <w:pStyle w:val="Compact"/>
                    <w:jc w:val="left"/>
                    <w:jc w:val="center"/>
                  </w:pPr>
                  <w:r>
                    <w:t xml:space="preserve">mensal</w:t>
                  </w:r>
                </w:p>
              </w:tc>
              <w:tc>
                <w:tcPr/>
                <w:p>
                  <w:pPr>
                    <w:pStyle w:val="Compact"/>
                    <w:jc w:val="left"/>
                    <w:jc w:val="center"/>
                  </w:pPr>
                  <w:r>
                    <w:t xml:space="preserve">xi &gt;= 1: o modelo agregado implica média infinita; examinar heterogeneidade temporal e extrapolação.</w:t>
                  </w:r>
                </w:p>
              </w:tc>
            </w:tr>
          </w:tbl>
          <w:bookmarkEnd w:id="179"/>
          <w:p/>
        </w:tc>
      </w:tr>
    </w:tbl>
    <w:bookmarkEnd w:id="180"/>
    <w:bookmarkStart w:id="191" w:name="extensão-não-estacionária"/>
    <w:p>
      <w:pPr>
        <w:pStyle w:val="Heading2"/>
      </w:pPr>
      <w:r>
        <w:t xml:space="preserve">8.2 Extensão não estacionária</w:t>
      </w:r>
    </w:p>
    <w:tbl>
      <w:tblPr>
        <w:tblStyle w:val="Table"/>
        <w:tblW w:type="pct" w:w="5000"/>
        <w:tblLayout w:type="fixed"/>
        <w:tblLook w:firstRow="0" w:lastRow="0" w:firstColumn="0" w:lastColumn="0" w:noHBand="0" w:noVBand="0" w:val="0000"/>
      </w:tblPr>
      <w:tblGrid>
        <w:gridCol w:w="7920"/>
      </w:tblGrid>
      <w:tr>
        <w:tc>
          <w:tcPr/>
          <w:bookmarkStart w:id="181" w:name="tbl-nao-estacionaria"/>
          <w:p>
            <w:pPr>
              <w:jc w:val="center"/>
            </w:pPr>
            <w:pPr>
              <w:jc w:val="start"/>
              <w:spacing w:before="200"/>
              <w:pStyle w:val="ImageCaption"/>
            </w:pPr>
            <w:r>
              <w:t xml:space="preserve">Tabela 18: Mesmos máximos e escala numérica: localização constante versus linear; escala e forma constantes.</w:t>
            </w:r>
          </w:p>
          <w:p>
            <w:pPr>
              <w:pStyle w:val="Compact"/>
              <w:jc w:val="center"/>
            </w:pPr>
            <w:r>
              <w:t xml:space="preserve">Mesmos máximos e escala numérica: localização constante versus linear; escala e forma constantes.</w:t>
            </w:r>
          </w:p>
          <w:tbl>
            <w:tblPr>
              <w:tblStyle w:val="Table"/>
              <w:tblW w:type="pct" w:w="5000"/>
              <w:tblLayout w:type="fixed"/>
              <w:tblLook w:firstRow="1" w:lastRow="0" w:firstColumn="0" w:lastColumn="0" w:noHBand="0" w:noVBand="0" w:val="0020"/>
              <w:tblCaption w:val="Mesmos máximos e escala numérica: localização constante versus linear; escala e forma constantes."/>
            </w:tblPr>
            <w:tblGrid>
              <w:gridCol w:w="3576"/>
              <w:gridCol w:w="1405"/>
              <w:gridCol w:w="2043"/>
              <w:gridCol w:w="894"/>
            </w:tblGrid>
            <w:tr>
              <w:trPr>
                <w:tblHeader w:val="on"/>
              </w:trPr>
              <w:tc>
                <w:tcPr/>
                <w:p>
                  <w:pPr>
                    <w:pStyle w:val="Compact"/>
                    <w:jc w:val="left"/>
                    <w:jc w:val="center"/>
                  </w:pPr>
                  <w:r>
                    <w:t xml:space="preserve">modelo</w:t>
                  </w:r>
                </w:p>
              </w:tc>
              <w:tc>
                <w:tcPr/>
                <w:p>
                  <w:pPr>
                    <w:pStyle w:val="Compact"/>
                    <w:jc w:val="left"/>
                    <w:jc w:val="center"/>
                  </w:pPr>
                  <w:r>
                    <w:t xml:space="preserve">parametros</w:t>
                  </w:r>
                </w:p>
              </w:tc>
              <w:tc>
                <w:tcPr/>
                <w:p>
                  <w:pPr>
                    <w:pStyle w:val="Compact"/>
                    <w:jc w:val="left"/>
                    <w:jc w:val="center"/>
                  </w:pPr>
                  <w:r>
                    <w:t xml:space="preserve">log verossimilhanca</w:t>
                  </w:r>
                </w:p>
              </w:tc>
              <w:tc>
                <w:tcPr/>
                <w:p>
                  <w:pPr>
                    <w:pStyle w:val="Compact"/>
                    <w:jc w:val="left"/>
                    <w:jc w:val="center"/>
                  </w:pPr>
                  <w:r>
                    <w:t xml:space="preserve">AIC</w:t>
                  </w:r>
                </w:p>
              </w:tc>
            </w:tr>
            <w:tr>
              <w:tc>
                <w:tcPr/>
                <w:p>
                  <w:pPr>
                    <w:pStyle w:val="Compact"/>
                    <w:jc w:val="left"/>
                    <w:jc w:val="center"/>
                  </w:pPr>
                  <w:r>
                    <w:t xml:space="preserve">Estacionário</w:t>
                  </w:r>
                </w:p>
              </w:tc>
              <w:tc>
                <w:tcPr/>
                <w:p>
                  <w:pPr>
                    <w:pStyle w:val="Compact"/>
                    <w:jc w:val="left"/>
                    <w:jc w:val="center"/>
                  </w:pPr>
                  <w:r>
                    <w:t xml:space="preserve">3</w:t>
                  </w:r>
                </w:p>
              </w:tc>
              <w:tc>
                <w:tcPr/>
                <w:p>
                  <w:pPr>
                    <w:pStyle w:val="Compact"/>
                    <w:jc w:val="left"/>
                    <w:jc w:val="center"/>
                  </w:pPr>
                  <w:r>
                    <w:t xml:space="preserve">-195.9</w:t>
                  </w:r>
                </w:p>
              </w:tc>
              <w:tc>
                <w:tcPr/>
                <w:p>
                  <w:pPr>
                    <w:pStyle w:val="Compact"/>
                    <w:jc w:val="left"/>
                    <w:jc w:val="center"/>
                  </w:pPr>
                  <w:r>
                    <w:t xml:space="preserve">397.8</w:t>
                  </w:r>
                </w:p>
              </w:tc>
            </w:tr>
            <w:tr>
              <w:tc>
                <w:tcPr/>
                <w:p>
                  <w:pPr>
                    <w:pStyle w:val="Compact"/>
                    <w:jc w:val="left"/>
                    <w:jc w:val="center"/>
                  </w:pPr>
                  <w:r>
                    <w:t xml:space="preserve">Localização linear no tempo</w:t>
                  </w:r>
                </w:p>
              </w:tc>
              <w:tc>
                <w:tcPr/>
                <w:p>
                  <w:pPr>
                    <w:pStyle w:val="Compact"/>
                    <w:jc w:val="left"/>
                    <w:jc w:val="center"/>
                  </w:pPr>
                  <w:r>
                    <w:t xml:space="preserve">4</w:t>
                  </w:r>
                </w:p>
              </w:tc>
              <w:tc>
                <w:tcPr/>
                <w:p>
                  <w:pPr>
                    <w:pStyle w:val="Compact"/>
                    <w:jc w:val="left"/>
                    <w:jc w:val="center"/>
                  </w:pPr>
                  <w:r>
                    <w:t xml:space="preserve">-195.5</w:t>
                  </w:r>
                </w:p>
              </w:tc>
              <w:tc>
                <w:tcPr/>
                <w:p>
                  <w:pPr>
                    <w:pStyle w:val="Compact"/>
                    <w:jc w:val="left"/>
                    <w:jc w:val="center"/>
                  </w:pPr>
                  <w:r>
                    <w:t xml:space="preserve">399.1</w:t>
                  </w:r>
                </w:p>
              </w:tc>
            </w:tr>
          </w:tbl>
          <w:bookmarkEnd w:id="181"/>
          <w:p/>
        </w:tc>
      </w:tr>
    </w:tbl>
    <w:p>
      <w:pPr>
        <w:pStyle w:val="BodyText"/>
      </w:pPr>
      <w:r>
        <w:t xml:space="preserve">A estatística de razão de verossimilhanças é 0.667, com valor p aproximado 0.414.</w:t>
      </w:r>
    </w:p>
    <w:p>
      <w:pPr>
        <w:pStyle w:val="BodyText"/>
      </w:pPr>
      <w:r>
        <w:t xml:space="preserve">Os critérios conjuntos de redução de AIC superior a 2 e teste nominal a 5% não favorecem suficientemente a extensão linear. Isso não demonstra estacionariedade e não exclui mudanças cíclicas, de escala ou de forma.</w:t>
      </w:r>
    </w:p>
    <w:tbl>
      <w:tblPr>
        <w:tblStyle w:val="Table"/>
        <w:tblW w:type="pct" w:w="5000"/>
        <w:tblLayout w:type="fixed"/>
        <w:tblLook w:firstRow="0" w:lastRow="0" w:firstColumn="0" w:lastColumn="0" w:noHBand="0" w:noVBand="0" w:val="0000"/>
      </w:tblPr>
      <w:tblGrid>
        <w:gridCol w:w="7920"/>
      </w:tblGrid>
      <w:tr>
        <w:tc>
          <w:tcPr/>
          <w:bookmarkStart w:id="182" w:name="tbl-parametros-ns"/>
          <w:p>
            <w:pPr>
              <w:jc w:val="center"/>
            </w:pPr>
            <w:pPr>
              <w:jc w:val="start"/>
              <w:spacing w:before="200"/>
              <w:pStyle w:val="ImageCaption"/>
            </w:pPr>
            <w:r>
              <w:t xml:space="preserve">Tabela 19: Parâmetros da extensão linear, unidades originais e IC de Wald exploratórios. loc é a localização na data média dos blocos elegíveis.</w:t>
            </w:r>
          </w:p>
          <w:p>
            <w:pPr>
              <w:pStyle w:val="Compact"/>
              <w:jc w:val="center"/>
            </w:pPr>
            <w:r>
              <w:t xml:space="preserve">Parâmetros da extensão linear, unidades originais e IC de Wald exploratórios. loc é a localização na data média dos blocos elegíveis.</w:t>
            </w:r>
          </w:p>
          <w:tbl>
            <w:tblPr>
              <w:tblStyle w:val="Table"/>
              <w:tblW w:type="pct" w:w="5000"/>
              <w:tblLayout w:type="fixed"/>
              <w:tblLook w:firstRow="1" w:lastRow="0" w:firstColumn="0" w:lastColumn="0" w:noHBand="0" w:noVBand="0" w:val="0020"/>
              <w:tblCaption w:val="Parâmetros da extensão linear, unidades originais e IC de Wald exploratórios. loc é a localização na data média dos blocos elegíveis."/>
            </w:tblPr>
            <w:tblGrid>
              <w:gridCol w:w="1182"/>
              <w:gridCol w:w="1300"/>
              <w:gridCol w:w="1182"/>
              <w:gridCol w:w="1300"/>
              <w:gridCol w:w="1182"/>
              <w:gridCol w:w="1773"/>
            </w:tblGrid>
            <w:tr>
              <w:trPr>
                <w:tblHeader w:val="on"/>
              </w:trPr>
              <w:tc>
                <w:tcPr/>
                <w:p>
                  <w:pPr>
                    <w:pStyle w:val="Compact"/>
                    <w:jc w:val="left"/>
                    <w:jc w:val="center"/>
                  </w:pPr>
                  <w:r>
                    <w:t xml:space="preserve">parametro</w:t>
                  </w:r>
                </w:p>
              </w:tc>
              <w:tc>
                <w:tcPr/>
                <w:p>
                  <w:pPr>
                    <w:pStyle w:val="Compact"/>
                    <w:jc w:val="left"/>
                    <w:jc w:val="center"/>
                  </w:pPr>
                  <w:r>
                    <w:t xml:space="preserve">estimativa</w:t>
                  </w:r>
                </w:p>
              </w:tc>
              <w:tc>
                <w:tcPr/>
                <w:p>
                  <w:pPr>
                    <w:pStyle w:val="Compact"/>
                    <w:jc w:val="left"/>
                    <w:jc w:val="center"/>
                  </w:pPr>
                  <w:r>
                    <w:t xml:space="preserve">ep</w:t>
                  </w:r>
                </w:p>
              </w:tc>
              <w:tc>
                <w:tcPr/>
                <w:p>
                  <w:pPr>
                    <w:pStyle w:val="Compact"/>
                    <w:jc w:val="left"/>
                    <w:jc w:val="center"/>
                  </w:pPr>
                  <w:r>
                    <w:t xml:space="preserve">inferior</w:t>
                  </w:r>
                </w:p>
              </w:tc>
              <w:tc>
                <w:tcPr/>
                <w:p>
                  <w:pPr>
                    <w:pStyle w:val="Compact"/>
                    <w:jc w:val="left"/>
                    <w:jc w:val="center"/>
                  </w:pPr>
                  <w:r>
                    <w:t xml:space="preserve">superior</w:t>
                  </w:r>
                </w:p>
              </w:tc>
              <w:tc>
                <w:tcPr/>
                <w:p>
                  <w:pPr>
                    <w:pStyle w:val="Compact"/>
                    <w:jc w:val="left"/>
                    <w:jc w:val="center"/>
                  </w:pPr>
                  <w:r>
                    <w:t xml:space="preserve">unidade</w:t>
                  </w:r>
                </w:p>
              </w:tc>
            </w:tr>
            <w:tr>
              <w:tc>
                <w:tcPr/>
                <w:p>
                  <w:pPr>
                    <w:pStyle w:val="Compact"/>
                    <w:jc w:val="left"/>
                    <w:jc w:val="center"/>
                  </w:pPr>
                  <w:r>
                    <w:t xml:space="preserve">loc</w:t>
                  </w:r>
                </w:p>
              </w:tc>
              <w:tc>
                <w:tcPr/>
                <w:p>
                  <w:pPr>
                    <w:pStyle w:val="Compact"/>
                    <w:jc w:val="left"/>
                    <w:jc w:val="center"/>
                  </w:pPr>
                  <w:r>
                    <w:t xml:space="preserve">2.748e-06</w:t>
                  </w:r>
                </w:p>
              </w:tc>
              <w:tc>
                <w:tcPr/>
                <w:p>
                  <w:pPr>
                    <w:pStyle w:val="Compact"/>
                    <w:jc w:val="left"/>
                    <w:jc w:val="center"/>
                  </w:pPr>
                  <w:r>
                    <w:t xml:space="preserve">9.418e-07</w:t>
                  </w:r>
                </w:p>
              </w:tc>
              <w:tc>
                <w:tcPr/>
                <w:p>
                  <w:pPr>
                    <w:pStyle w:val="Compact"/>
                    <w:jc w:val="left"/>
                    <w:jc w:val="center"/>
                  </w:pPr>
                  <w:r>
                    <w:t xml:space="preserve">9.021e-07</w:t>
                  </w:r>
                </w:p>
              </w:tc>
              <w:tc>
                <w:tcPr/>
                <w:p>
                  <w:pPr>
                    <w:pStyle w:val="Compact"/>
                    <w:jc w:val="left"/>
                    <w:jc w:val="center"/>
                  </w:pPr>
                  <w:r>
                    <w:t xml:space="preserve">4.594e-06</w:t>
                  </w:r>
                </w:p>
              </w:tc>
              <w:tc>
                <w:tcPr/>
                <w:p>
                  <w:pPr>
                    <w:pStyle w:val="Compact"/>
                    <w:jc w:val="left"/>
                    <w:jc w:val="center"/>
                  </w:pPr>
                  <w:r>
                    <w:t xml:space="preserve">W m^-2</w:t>
                  </w:r>
                </w:p>
              </w:tc>
            </w:tr>
            <w:tr>
              <w:tc>
                <w:tcPr/>
                <w:p>
                  <w:pPr>
                    <w:pStyle w:val="Compact"/>
                    <w:jc w:val="left"/>
                    <w:jc w:val="center"/>
                  </w:pPr>
                  <w:r>
                    <w:t xml:space="preserve">loctempo</w:t>
                  </w:r>
                </w:p>
              </w:tc>
              <w:tc>
                <w:tcPr/>
                <w:p>
                  <w:pPr>
                    <w:pStyle w:val="Compact"/>
                    <w:jc w:val="left"/>
                    <w:jc w:val="center"/>
                  </w:pPr>
                  <w:r>
                    <w:t xml:space="preserve">-3.326e-08</w:t>
                  </w:r>
                </w:p>
              </w:tc>
              <w:tc>
                <w:tcPr/>
                <w:p>
                  <w:pPr>
                    <w:pStyle w:val="Compact"/>
                    <w:jc w:val="left"/>
                    <w:jc w:val="center"/>
                  </w:pPr>
                  <w:r>
                    <w:t xml:space="preserve">2.830e-08</w:t>
                  </w:r>
                </w:p>
              </w:tc>
              <w:tc>
                <w:tcPr/>
                <w:p>
                  <w:pPr>
                    <w:pStyle w:val="Compact"/>
                    <w:jc w:val="left"/>
                    <w:jc w:val="center"/>
                  </w:pPr>
                  <w:r>
                    <w:t xml:space="preserve">-8.873e-08</w:t>
                  </w:r>
                </w:p>
              </w:tc>
              <w:tc>
                <w:tcPr/>
                <w:p>
                  <w:pPr>
                    <w:pStyle w:val="Compact"/>
                    <w:jc w:val="left"/>
                    <w:jc w:val="center"/>
                  </w:pPr>
                  <w:r>
                    <w:t xml:space="preserve">2.221e-08</w:t>
                  </w:r>
                </w:p>
              </w:tc>
              <w:tc>
                <w:tcPr/>
                <w:p>
                  <w:pPr>
                    <w:pStyle w:val="Compact"/>
                    <w:jc w:val="left"/>
                    <w:jc w:val="center"/>
                  </w:pPr>
                  <w:r>
                    <w:t xml:space="preserve">W m^-2 por ano</w:t>
                  </w:r>
                </w:p>
              </w:tc>
            </w:tr>
            <w:tr>
              <w:tc>
                <w:tcPr/>
                <w:p>
                  <w:pPr>
                    <w:pStyle w:val="Compact"/>
                    <w:jc w:val="left"/>
                    <w:jc w:val="center"/>
                  </w:pPr>
                  <w:r>
                    <w:t xml:space="preserve">scale</w:t>
                  </w:r>
                </w:p>
              </w:tc>
              <w:tc>
                <w:tcPr/>
                <w:p>
                  <w:pPr>
                    <w:pStyle w:val="Compact"/>
                    <w:jc w:val="left"/>
                    <w:jc w:val="center"/>
                  </w:pPr>
                  <w:r>
                    <w:t xml:space="preserve">7.927e-06</w:t>
                  </w:r>
                </w:p>
              </w:tc>
              <w:tc>
                <w:tcPr/>
                <w:p>
                  <w:pPr>
                    <w:pStyle w:val="Compact"/>
                    <w:jc w:val="left"/>
                    <w:jc w:val="center"/>
                  </w:pPr>
                  <w:r>
                    <w:t xml:space="preserve">2.794e-06</w:t>
                  </w:r>
                </w:p>
              </w:tc>
              <w:tc>
                <w:tcPr/>
                <w:p>
                  <w:pPr>
                    <w:pStyle w:val="Compact"/>
                    <w:jc w:val="left"/>
                    <w:jc w:val="center"/>
                  </w:pPr>
                  <w:r>
                    <w:t xml:space="preserve">2.450e-06</w:t>
                  </w:r>
                </w:p>
              </w:tc>
              <w:tc>
                <w:tcPr/>
                <w:p>
                  <w:pPr>
                    <w:pStyle w:val="Compact"/>
                    <w:jc w:val="left"/>
                    <w:jc w:val="center"/>
                  </w:pPr>
                  <w:r>
                    <w:t xml:space="preserve">1.340e-05</w:t>
                  </w:r>
                </w:p>
              </w:tc>
              <w:tc>
                <w:tcPr/>
                <w:p>
                  <w:pPr>
                    <w:pStyle w:val="Compact"/>
                    <w:jc w:val="left"/>
                    <w:jc w:val="center"/>
                  </w:pPr>
                  <w:r>
                    <w:t xml:space="preserve">W m^-2</w:t>
                  </w:r>
                </w:p>
              </w:tc>
            </w:tr>
            <w:tr>
              <w:tc>
                <w:tcPr/>
                <w:p>
                  <w:pPr>
                    <w:pStyle w:val="Compact"/>
                    <w:jc w:val="left"/>
                    <w:jc w:val="center"/>
                  </w:pPr>
                  <w:r>
                    <w:t xml:space="preserve">shape</w:t>
                  </w:r>
                </w:p>
              </w:tc>
              <w:tc>
                <w:tcPr/>
                <w:p>
                  <w:pPr>
                    <w:pStyle w:val="Compact"/>
                    <w:jc w:val="left"/>
                    <w:jc w:val="center"/>
                  </w:pPr>
                  <w:r>
                    <w:t xml:space="preserve">2.863</w:t>
                  </w:r>
                </w:p>
              </w:tc>
              <w:tc>
                <w:tcPr/>
                <w:p>
                  <w:pPr>
                    <w:pStyle w:val="Compact"/>
                    <w:jc w:val="left"/>
                    <w:jc w:val="center"/>
                  </w:pPr>
                  <w:r>
                    <w:t xml:space="preserve">0.2982</w:t>
                  </w:r>
                </w:p>
              </w:tc>
              <w:tc>
                <w:tcPr/>
                <w:p>
                  <w:pPr>
                    <w:pStyle w:val="Compact"/>
                    <w:jc w:val="left"/>
                    <w:jc w:val="center"/>
                  </w:pPr>
                  <w:r>
                    <w:t xml:space="preserve">2.279</w:t>
                  </w:r>
                </w:p>
              </w:tc>
              <w:tc>
                <w:tcPr/>
                <w:p>
                  <w:pPr>
                    <w:pStyle w:val="Compact"/>
                    <w:jc w:val="left"/>
                    <w:jc w:val="center"/>
                  </w:pPr>
                  <w:r>
                    <w:t xml:space="preserve">3.448</w:t>
                  </w:r>
                </w:p>
              </w:tc>
              <w:tc>
                <w:tcPr/>
                <w:p>
                  <w:pPr>
                    <w:pStyle w:val="Compact"/>
                    <w:jc w:val="left"/>
                    <w:jc w:val="center"/>
                  </w:pPr>
                  <w:r>
                    <w:t xml:space="preserve">adimensional</w:t>
                  </w:r>
                </w:p>
              </w:tc>
            </w:tr>
          </w:tbl>
          <w:bookmarkEnd w:id="182"/>
          <w:p/>
        </w:tc>
      </w:tr>
    </w:tbl>
    <w:p>
      <w:pPr>
        <w:pStyle w:val="BodyText"/>
      </w:pPr>
      <w:r>
        <w:t xml:space="preserve">Avisos registrados na extensão: xi &gt;= 1: o modelo agregado implica média infinita; examinar heterogeneidade temporal e extrapolação.</w:t>
      </w:r>
    </w:p>
    <w:p>
      <w:pPr>
        <w:pStyle w:val="BodyText"/>
      </w:pPr>
      <w:r>
        <w:t xml:space="preserve">O teste de razão de verossimilhanças usa a aproximação qui-quadrado com um grau de liberdade, sob regularidade e independência aproximada; com dependência residual, seu valor p é exploratório. A ausência de ganho da extensão linear não restaura a adequação da GEV estacionária: uma localização linear com escala constante é restritiva diante de variações de várias ordens de grandeza. O AIC é comparável</w:t>
      </w:r>
      <w:r>
        <w:t xml:space="preserve"> </w:t>
      </w:r>
      <w:r>
        <w:rPr>
          <w:b/>
          <w:bCs/>
        </w:rPr>
        <w:t xml:space="preserve">nesta</w:t>
      </w:r>
      <w:r>
        <w:t xml:space="preserve"> </w:t>
      </w:r>
      <w:r>
        <w:t xml:space="preserve">análise, porque as observações e a escala da resposta são as mesmas. Uma tendência linear ao longo de 2017–2025 não representa integralmente um ciclo solar e não deve ser extrapolada indefinidamente.</w:t>
      </w:r>
    </w:p>
    <w:tbl>
      <w:tblPr>
        <w:tblStyle w:val="Table"/>
        <w:tblW w:type="pct" w:w="5000"/>
        <w:tblLayout w:type="fixed"/>
        <w:tblLook w:firstRow="0" w:lastRow="0" w:firstColumn="0" w:lastColumn="0" w:noHBand="0" w:noVBand="0" w:val="0000"/>
      </w:tblPr>
      <w:tblGrid>
        <w:gridCol w:w="7920"/>
      </w:tblGrid>
      <w:tr>
        <w:tc>
          <w:tcPr/>
          <w:bookmarkStart w:id="186" w:name="fig-pit-1"/>
          <w:p>
            <w:pPr>
              <w:pStyle w:val="Compact"/>
              <w:jc w:val="center"/>
            </w:pPr>
            <w:r>
              <w:drawing>
                <wp:inline>
                  <wp:extent cx="5829300" cy="2975821"/>
                  <wp:effectExtent b="0" l="0" r="0" t="0"/>
                  <wp:docPr descr="" title="" id="184" name="Picture"/>
                  <a:graphic>
                    <a:graphicData uri="http://schemas.openxmlformats.org/drawingml/2006/picture">
                      <pic:pic>
                        <pic:nvPicPr>
                          <pic:cNvPr descr="figuras/pp_gev_nao_estacionaria.png" id="185" name="Picture"/>
                          <pic:cNvPicPr>
                            <a:picLocks noChangeArrowheads="1" noChangeAspect="1"/>
                          </pic:cNvPicPr>
                        </pic:nvPicPr>
                        <pic:blipFill>
                          <a:blip r:embed="rId183"/>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34: Quando o ajuste linear converge, PP condicional e PIT no tempo comparam a transformação estacionária à extensão temporal.</w:t>
            </w:r>
          </w:p>
          <w:bookmarkEnd w:id="186"/>
        </w:tc>
      </w:tr>
    </w:tbl>
    <w:tbl>
      <w:tblPr>
        <w:tblStyle w:val="Table"/>
        <w:tblW w:type="pct" w:w="5000"/>
        <w:tblLayout w:type="fixed"/>
        <w:tblLook w:firstRow="0" w:lastRow="0" w:firstColumn="0" w:lastColumn="0" w:noHBand="0" w:noVBand="0" w:val="0000"/>
      </w:tblPr>
      <w:tblGrid>
        <w:gridCol w:w="7920"/>
      </w:tblGrid>
      <w:tr>
        <w:tc>
          <w:tcPr/>
          <w:bookmarkStart w:id="190" w:name="fig-pit-2"/>
          <w:p>
            <w:pPr>
              <w:pStyle w:val="Compact"/>
              <w:jc w:val="center"/>
            </w:pPr>
            <w:r>
              <w:drawing>
                <wp:inline>
                  <wp:extent cx="5829300" cy="2975821"/>
                  <wp:effectExtent b="0" l="0" r="0" t="0"/>
                  <wp:docPr descr="" title="" id="188" name="Picture"/>
                  <a:graphic>
                    <a:graphicData uri="http://schemas.openxmlformats.org/drawingml/2006/picture">
                      <pic:pic>
                        <pic:nvPicPr>
                          <pic:cNvPr descr="figuras/pit_tempo.png" id="189" name="Picture"/>
                          <pic:cNvPicPr>
                            <a:picLocks noChangeArrowheads="1" noChangeAspect="1"/>
                          </pic:cNvPicPr>
                        </pic:nvPicPr>
                        <pic:blipFill>
                          <a:blip r:embed="rId187"/>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35: Quando o ajuste linear converge, PP condicional e PIT no tempo comparam a transformação estacionária à extensão temporal.</w:t>
            </w:r>
          </w:p>
          <w:bookmarkEnd w:id="190"/>
        </w:tc>
      </w:tr>
    </w:tbl>
    <w:bookmarkEnd w:id="191"/>
    <w:bookmarkEnd w:id="192"/>
    <w:bookmarkStart w:id="217" w:name="modelo-alternativo-distribuição-skew-t"/>
    <w:p>
      <w:pPr>
        <w:pStyle w:val="Heading1"/>
      </w:pPr>
      <w:r>
        <w:t xml:space="preserve">9. Modelo alternativo: distribuição Skew-t</w:t>
      </w:r>
    </w:p>
    <w:bookmarkStart w:id="194" w:name="motivação-e-amostra-comum"/>
    <w:p>
      <w:pPr>
        <w:pStyle w:val="Heading2"/>
      </w:pPr>
      <w:r>
        <w:t xml:space="preserve">9.1 Motivação e amostra comum</w:t>
      </w:r>
    </w:p>
    <w:p>
      <w:pPr>
        <w:pStyle w:val="FirstParagraph"/>
      </w:pPr>
      <w:r>
        <w:t xml:space="preserve">A forma elevada da GEV, a discrepância dos maiores quantis, os níveis formais mal calibrados, a dependência residual e a heterogeneidade entre anos motivam avaliar outra família. A</w:t>
      </w:r>
      <w:r>
        <w:t xml:space="preserve"> </w:t>
      </w:r>
      <w:r>
        <w:rPr>
          <w:b/>
          <w:bCs/>
        </w:rPr>
        <w:t xml:space="preserve">GEV possui fundamentação assintótica específica para máximos por blocos</w:t>
      </w:r>
      <w:r>
        <w:t xml:space="preserve">, enquanto a</w:t>
      </w:r>
      <w:r>
        <w:t xml:space="preserve"> </w:t>
      </w:r>
      <w:r>
        <w:rPr>
          <w:b/>
          <w:bCs/>
        </w:rPr>
        <w:t xml:space="preserve">Skew-t é considerada aqui como modelo paramétrico alternativo para a distribuição empírica dos máximos mensais</w:t>
      </w:r>
      <w:r>
        <w:t xml:space="preserve">. Não se pressupõe que a segunda seja superior, nem que constitua uma</w:t>
      </w:r>
      <w:r>
        <w:t xml:space="preserve"> </w:t>
      </w:r>
      <w:r>
        <w:t xml:space="preserve">“GEV melhor”</w:t>
      </w:r>
      <w:r>
        <w:t xml:space="preserve">.</w:t>
      </w:r>
    </w:p>
    <w:p>
      <w:pPr>
        <w:pStyle w:val="BodyText"/>
      </w:pPr>
      <w:r>
        <w:t xml:space="preserve">O objeto</w:t>
      </w:r>
      <w:r>
        <w:t xml:space="preserve"> </w:t>
      </w:r>
      <w:r>
        <w:rPr>
          <w:rStyle w:val="VerbatimChar"/>
        </w:rPr>
        <w:t xml:space="preserve">skew_t$amostra_comum</w:t>
      </w:r>
      <w:r>
        <w:t xml:space="preserve"> </w:t>
      </w:r>
      <w:r>
        <w:t xml:space="preserve">é uma cópia das linhas elegíveis de</w:t>
      </w:r>
      <w:r>
        <w:t xml:space="preserve"> </w:t>
      </w:r>
      <w:r>
        <w:rPr>
          <w:rStyle w:val="VerbatimChar"/>
        </w:rPr>
        <w:t xml:space="preserve">block$blocos$mensal</w:t>
      </w:r>
      <w:r>
        <w:t xml:space="preserve">, na mesma ordem e com os mesmos valores contidos em</w:t>
      </w:r>
      <w:r>
        <w:t xml:space="preserve"> </w:t>
      </w:r>
      <w:r>
        <w:rPr>
          <w:rStyle w:val="VerbatimChar"/>
        </w:rPr>
        <w:t xml:space="preserve">modelos$modelos$mensal$fit$data</w:t>
      </w:r>
      <w:r>
        <w:t xml:space="preserve"> </w:t>
      </w:r>
      <w:r>
        <w:t xml:space="preserve">após desfazer o reescalonamento. A comparação usa</w:t>
      </w:r>
      <w:r>
        <w:t xml:space="preserve"> </w:t>
      </w:r>
      <w:r>
        <w:rPr>
          <w:b/>
          <w:bCs/>
        </w:rPr>
        <w:t xml:space="preserve">94 máximos mensais</w:t>
      </w:r>
      <w:r>
        <w:t xml:space="preserve">, e não os milhões de minutos individuais. Datas, valores, positividade, finitude, quantidade e ausência de duplicação são verificados por asserções; uma incompatibilidade interrompe a execução. A tabela</w:t>
      </w:r>
      <w:r>
        <w:t xml:space="preserve"> </w:t>
      </w:r>
      <w:r>
        <w:rPr>
          <w:rStyle w:val="VerbatimChar"/>
        </w:rPr>
        <w:t xml:space="preserve">amostra_comum_mensal.csv</w:t>
      </w:r>
      <w:r>
        <w:t xml:space="preserve"> </w:t>
      </w:r>
      <w:r>
        <w:t xml:space="preserve">permite auditar todos os blocos.</w:t>
      </w:r>
    </w:p>
    <w:tbl>
      <w:tblPr>
        <w:tblStyle w:val="Table"/>
        <w:tblW w:type="pct" w:w="5000"/>
        <w:tblLayout w:type="fixed"/>
        <w:tblLook w:firstRow="0" w:lastRow="0" w:firstColumn="0" w:lastColumn="0" w:noHBand="0" w:noVBand="0" w:val="0000"/>
      </w:tblPr>
      <w:tblGrid>
        <w:gridCol w:w="7920"/>
      </w:tblGrid>
      <w:tr>
        <w:tc>
          <w:tcPr/>
          <w:bookmarkStart w:id="193" w:name="tbl-amostra-comum"/>
          <w:p>
            <w:pPr>
              <w:jc w:val="center"/>
            </w:pPr>
            <w:pPr>
              <w:jc w:val="start"/>
              <w:spacing w:before="200"/>
              <w:pStyle w:val="ImageCaption"/>
            </w:pPr>
            <w:r>
              <w:t xml:space="preserve">Tabela 20: Amostra comum GEV × Skew-t: datas de início dos blocos e fluxos em W m⁻².</w:t>
            </w:r>
          </w:p>
          <w:p>
            <w:pPr>
              <w:pStyle w:val="Compact"/>
              <w:jc w:val="center"/>
            </w:pPr>
            <w:r>
              <w:t xml:space="preserve">Amostra comum GEV × Skew-t: datas de início dos blocos e fluxos em W m⁻².</w:t>
            </w:r>
          </w:p>
          <w:tbl>
            <w:tblPr>
              <w:tblStyle w:val="Table"/>
              <w:tblW w:type="pct" w:w="5000"/>
              <w:tblLayout w:type="fixed"/>
              <w:tblLook w:firstRow="1" w:lastRow="0" w:firstColumn="0" w:lastColumn="0" w:noHBand="0" w:noVBand="0" w:val="0020"/>
              <w:tblCaption w:val="Amostra comum GEV × Skew-t: datas de início dos blocos e fluxos em W m⁻²."/>
            </w:tblPr>
            <w:tblGrid>
              <w:gridCol w:w="815"/>
              <w:gridCol w:w="1281"/>
              <w:gridCol w:w="1281"/>
              <w:gridCol w:w="1164"/>
              <w:gridCol w:w="1164"/>
              <w:gridCol w:w="1048"/>
              <w:gridCol w:w="1164"/>
            </w:tblGrid>
            <w:tr>
              <w:trPr>
                <w:tblHeader w:val="on"/>
              </w:trPr>
              <w:tc>
                <w:tcPr/>
                <w:p>
                  <w:pPr>
                    <w:pStyle w:val="Compact"/>
                    <w:jc w:val="left"/>
                    <w:jc w:val="center"/>
                  </w:pPr>
                  <w:r>
                    <w:t xml:space="preserve">n</w:t>
                  </w:r>
                </w:p>
              </w:tc>
              <w:tc>
                <w:tcPr/>
                <w:p>
                  <w:pPr>
                    <w:pStyle w:val="Compact"/>
                    <w:jc w:val="left"/>
                    <w:jc w:val="center"/>
                  </w:pPr>
                  <w:r>
                    <w:t xml:space="preserve">primeiro</w:t>
                  </w:r>
                </w:p>
              </w:tc>
              <w:tc>
                <w:tcPr/>
                <w:p>
                  <w:pPr>
                    <w:pStyle w:val="Compact"/>
                    <w:jc w:val="left"/>
                    <w:jc w:val="center"/>
                  </w:pPr>
                  <w:r>
                    <w:t xml:space="preserve">ultimo</w:t>
                  </w:r>
                </w:p>
              </w:tc>
              <w:tc>
                <w:tcPr/>
                <w:p>
                  <w:pPr>
                    <w:pStyle w:val="Compact"/>
                    <w:jc w:val="left"/>
                    <w:jc w:val="center"/>
                  </w:pPr>
                  <w:r>
                    <w:t xml:space="preserve">minimo</w:t>
                  </w:r>
                </w:p>
              </w:tc>
              <w:tc>
                <w:tcPr/>
                <w:p>
                  <w:pPr>
                    <w:pStyle w:val="Compact"/>
                    <w:jc w:val="left"/>
                    <w:jc w:val="center"/>
                  </w:pPr>
                  <w:r>
                    <w:t xml:space="preserve">mediana</w:t>
                  </w:r>
                </w:p>
              </w:tc>
              <w:tc>
                <w:tcPr/>
                <w:p>
                  <w:pPr>
                    <w:pStyle w:val="Compact"/>
                    <w:jc w:val="left"/>
                    <w:jc w:val="center"/>
                  </w:pPr>
                  <w:r>
                    <w:t xml:space="preserve">maximo</w:t>
                  </w:r>
                </w:p>
              </w:tc>
              <w:tc>
                <w:tcPr/>
                <w:p>
                  <w:pPr>
                    <w:pStyle w:val="Compact"/>
                    <w:jc w:val="left"/>
                    <w:jc w:val="center"/>
                  </w:pPr>
                  <w:r>
                    <w:t xml:space="preserve">invalidos</w:t>
                  </w:r>
                </w:p>
              </w:tc>
            </w:tr>
            <w:tr>
              <w:tc>
                <w:tcPr/>
                <w:p>
                  <w:pPr>
                    <w:pStyle w:val="Compact"/>
                    <w:jc w:val="left"/>
                    <w:jc w:val="center"/>
                  </w:pPr>
                  <w:r>
                    <w:t xml:space="preserve">94</w:t>
                  </w:r>
                </w:p>
              </w:tc>
              <w:tc>
                <w:tcPr/>
                <w:p>
                  <w:pPr>
                    <w:pStyle w:val="Compact"/>
                    <w:jc w:val="left"/>
                    <w:jc w:val="center"/>
                  </w:pPr>
                  <w:r>
                    <w:t xml:space="preserve">2017-03-01</w:t>
                  </w:r>
                </w:p>
              </w:tc>
              <w:tc>
                <w:tcPr/>
                <w:p>
                  <w:pPr>
                    <w:pStyle w:val="Compact"/>
                    <w:jc w:val="left"/>
                    <w:jc w:val="center"/>
                  </w:pPr>
                  <w:r>
                    <w:t xml:space="preserve">2025-03-01</w:t>
                  </w:r>
                </w:p>
              </w:tc>
              <w:tc>
                <w:tcPr/>
                <w:p>
                  <w:pPr>
                    <w:pStyle w:val="Compact"/>
                    <w:jc w:val="left"/>
                    <w:jc w:val="center"/>
                  </w:pPr>
                  <w:r>
                    <w:t xml:space="preserve">4.101e-08</w:t>
                  </w:r>
                </w:p>
              </w:tc>
              <w:tc>
                <w:tcPr/>
                <w:p>
                  <w:pPr>
                    <w:pStyle w:val="Compact"/>
                    <w:jc w:val="left"/>
                    <w:jc w:val="center"/>
                  </w:pPr>
                  <w:r>
                    <w:t xml:space="preserve">1.898e-05</w:t>
                  </w:r>
                </w:p>
              </w:tc>
              <w:tc>
                <w:tcPr/>
                <w:p>
                  <w:pPr>
                    <w:pStyle w:val="Compact"/>
                    <w:jc w:val="left"/>
                    <w:jc w:val="center"/>
                  </w:pPr>
                  <w:r>
                    <w:t xml:space="preserve">0.001464</w:t>
                  </w:r>
                </w:p>
              </w:tc>
              <w:tc>
                <w:tcPr/>
                <w:p>
                  <w:pPr>
                    <w:pStyle w:val="Compact"/>
                    <w:jc w:val="left"/>
                    <w:jc w:val="center"/>
                  </w:pPr>
                  <w:r>
                    <w:t xml:space="preserve">0</w:t>
                  </w:r>
                </w:p>
              </w:tc>
            </w:tr>
          </w:tbl>
          <w:bookmarkEnd w:id="193"/>
          <w:p/>
        </w:tc>
      </w:tr>
    </w:tbl>
    <w:p>
      <w:pPr>
        <w:pStyle w:val="BodyText"/>
      </w:pPr>
      <w:r>
        <w:t xml:space="preserve">Não houve nova seleção por intensidade, alteração de cobertura, exclusão de extremos no ajuste principal ou transformação logarítmica da resposta. A GEV principal e seus níveis de retorno permanecem os originais. Nenhum teste de razão de verossimilhanças é usado entre GEV e Skew-t: as famílias não são aninhadas.</w:t>
      </w:r>
    </w:p>
    <w:bookmarkEnd w:id="194"/>
    <w:bookmarkStart w:id="198" w:name="distribuição-estimação-e-regularidade"/>
    <w:p>
      <w:pPr>
        <w:pStyle w:val="Heading2"/>
      </w:pPr>
      <w:r>
        <w:t xml:space="preserve">9.2 Distribuição, estimação e regularidade</w:t>
      </w:r>
    </w:p>
    <w:p>
      <w:pPr>
        <w:pStyle w:val="FirstParagraph"/>
      </w:pPr>
      <w:r>
        <w:t xml:space="preserve">Utiliza-se a Skew-t univariada de Azzalini–Capitanio na</w:t>
      </w:r>
      <w:r>
        <w:t xml:space="preserve"> </w:t>
      </w:r>
      <w:r>
        <w:rPr>
          <w:b/>
          <w:bCs/>
        </w:rPr>
        <w:t xml:space="preserve">parametrização direta (DP)</w:t>
      </w:r>
      <w:r>
        <w:t xml:space="preserve"> </w:t>
      </w:r>
      <w:r>
        <w:t xml:space="preserve">do pacote</w:t>
      </w:r>
      <w:r>
        <w:t xml:space="preserve"> </w:t>
      </w:r>
      <w:r>
        <w:rPr>
          <w:rStyle w:val="VerbatimChar"/>
        </w:rPr>
        <w:t xml:space="preserve">sn</w:t>
      </w:r>
      <w:r>
        <w:t xml:space="preserve">, versão 2.1.1. A localização</w:t>
      </w:r>
      <w:r>
        <w:t xml:space="preserve"> </w:t>
      </w:r>
      <m:oMath>
        <m:sSub>
          <m:e>
            <m:r>
              <m:t>ξ</m:t>
            </m:r>
          </m:e>
          <m:sub>
            <m:r>
              <m:t>S</m:t>
            </m:r>
            <m:r>
              <m:t>T</m:t>
            </m:r>
          </m:sub>
        </m:sSub>
      </m:oMath>
      <w:r>
        <w:t xml:space="preserve"> </w:t>
      </w:r>
      <w:r>
        <w:t xml:space="preserve">não é o parâmetro de forma</w:t>
      </w:r>
      <w:r>
        <w:t xml:space="preserve"> </w:t>
      </w:r>
      <m:oMath>
        <m:r>
          <m:t>ξ</m:t>
        </m:r>
      </m:oMath>
      <w:r>
        <w:t xml:space="preserve"> </w:t>
      </w:r>
      <w:r>
        <w:t xml:space="preserve">da GEV. A escala</w:t>
      </w:r>
      <w:r>
        <w:t xml:space="preserve"> </w:t>
      </w:r>
      <m:oMath>
        <m:r>
          <m:t>ω</m:t>
        </m:r>
        <m:r>
          <m:rPr>
            <m:sty m:val="p"/>
          </m:rPr>
          <m:t>&gt;</m:t>
        </m:r>
        <m:r>
          <m:t>0</m:t>
        </m:r>
      </m:oMath>
      <w:r>
        <w:t xml:space="preserve"> </w:t>
      </w:r>
      <w:r>
        <w:t xml:space="preserve">não é o desvio padrão;</w:t>
      </w:r>
      <w:r>
        <w:t xml:space="preserve"> </w:t>
      </w:r>
      <m:oMath>
        <m:r>
          <m:t>α</m:t>
        </m:r>
      </m:oMath>
      <w:r>
        <w:t xml:space="preserve"> </w:t>
      </w:r>
      <w:r>
        <w:t xml:space="preserve">é um parâmetro de inclinação (</w:t>
      </w:r>
      <w:r>
        <w:rPr>
          <w:i/>
          <w:iCs/>
        </w:rPr>
        <w:t xml:space="preserve">slant</w:t>
      </w:r>
      <w:r>
        <w:t xml:space="preserve">), não um coeficiente de assimetria padronizado;</w:t>
      </w:r>
      <w:r>
        <w:t xml:space="preserve"> </w:t>
      </w:r>
      <m:oMath>
        <m:r>
          <m:t>ν</m:t>
        </m:r>
        <m:r>
          <m:rPr>
            <m:sty m:val="p"/>
          </m:rPr>
          <m:t>&gt;</m:t>
        </m:r>
        <m:r>
          <m:t>0</m:t>
        </m:r>
      </m:oMath>
      <w:r>
        <w:t xml:space="preserve"> </w:t>
      </w:r>
      <w:r>
        <w:t xml:space="preserve">são graus de liberdade. A média exige</w:t>
      </w:r>
      <w:r>
        <w:t xml:space="preserve"> </w:t>
      </w:r>
      <m:oMath>
        <m:r>
          <m:t>ν</m:t>
        </m:r>
        <m:r>
          <m:rPr>
            <m:sty m:val="p"/>
          </m:rPr>
          <m:t>&gt;</m:t>
        </m:r>
        <m:r>
          <m:t>1</m:t>
        </m:r>
      </m:oMath>
      <w:r>
        <w:t xml:space="preserve"> </w:t>
      </w:r>
      <w:r>
        <w:t xml:space="preserve">e a variância exige</w:t>
      </w:r>
      <w:r>
        <w:t xml:space="preserve"> </w:t>
      </w:r>
      <m:oMath>
        <m:r>
          <m:t>ν</m:t>
        </m:r>
        <m:r>
          <m:rPr>
            <m:sty m:val="p"/>
          </m:rPr>
          <m:t>&gt;</m:t>
        </m:r>
        <m:r>
          <m:t>2</m:t>
        </m:r>
      </m:oMath>
      <w:r>
        <w:t xml:space="preserve">; esses momentos, quando existem, não são simplesmente</w:t>
      </w:r>
      <w:r>
        <w:t xml:space="preserve"> </w:t>
      </w:r>
      <m:oMath>
        <m:sSub>
          <m:e>
            <m:r>
              <m:t>ξ</m:t>
            </m:r>
          </m:e>
          <m:sub>
            <m:r>
              <m:t>S</m:t>
            </m:r>
            <m:r>
              <m:t>T</m:t>
            </m:r>
          </m:sub>
        </m:sSub>
      </m:oMath>
      <w:r>
        <w:t xml:space="preserve"> </w:t>
      </w:r>
      <w:r>
        <w:t xml:space="preserve">e</w:t>
      </w:r>
      <w:r>
        <w:t xml:space="preserve"> </w:t>
      </w:r>
      <m:oMath>
        <m:sSup>
          <m:e>
            <m:r>
              <m:t>ω</m:t>
            </m:r>
          </m:e>
          <m:sup>
            <m:r>
              <m:t>2</m:t>
            </m:r>
          </m:sup>
        </m:sSup>
      </m:oMath>
      <w:r>
        <w:t xml:space="preserve">.</w:t>
      </w:r>
    </w:p>
    <w:p>
      <w:pPr>
        <w:pStyle w:val="BodyText"/>
      </w:pPr>
      <w:r>
        <w:t xml:space="preserve">As funções</w:t>
      </w:r>
      <w:r>
        <w:t xml:space="preserve"> </w:t>
      </w:r>
      <w:r>
        <w:rPr>
          <w:rStyle w:val="VerbatimChar"/>
        </w:rPr>
        <w:t xml:space="preserve">sn::dst</w:t>
      </w:r>
      <w:r>
        <w:t xml:space="preserve">,</w:t>
      </w:r>
      <w:r>
        <w:t xml:space="preserve"> </w:t>
      </w:r>
      <w:r>
        <w:rPr>
          <w:rStyle w:val="VerbatimChar"/>
        </w:rPr>
        <w:t xml:space="preserve">sn::pst</w:t>
      </w:r>
      <w:r>
        <w:t xml:space="preserve"> </w:t>
      </w:r>
      <w:r>
        <w:t xml:space="preserve">e</w:t>
      </w:r>
      <w:r>
        <w:t xml:space="preserve"> </w:t>
      </w:r>
      <w:r>
        <w:rPr>
          <w:rStyle w:val="VerbatimChar"/>
        </w:rPr>
        <w:t xml:space="preserve">sn::qst</w:t>
      </w:r>
      <w:r>
        <w:t xml:space="preserve"> </w:t>
      </w:r>
      <w:r>
        <w:t xml:space="preserve">fornecem densidade, distribuição e quantis. A estimação usa</w:t>
      </w:r>
      <w:r>
        <w:t xml:space="preserve"> </w:t>
      </w:r>
      <w:r>
        <w:rPr>
          <w:rStyle w:val="VerbatimChar"/>
        </w:rPr>
        <w:t xml:space="preserve">sn::st.mple(penalty=NULL)</w:t>
      </w:r>
      <w:r>
        <w:t xml:space="preserve">, isto é,</w:t>
      </w:r>
      <w:r>
        <w:t xml:space="preserve"> </w:t>
      </w:r>
      <w:r>
        <w:rPr>
          <w:b/>
          <w:bCs/>
        </w:rPr>
        <w:t xml:space="preserve">máxima verossimilhança sem penalização</w:t>
      </w:r>
      <w:r>
        <w:t xml:space="preserve">, com oito conjuntos iniciais (</w:t>
      </w:r>
      <m:oMath>
        <m:r>
          <m:t>α</m:t>
        </m:r>
        <m:r>
          <m:rPr>
            <m:sty m:val="p"/>
          </m:rPr>
          <m:t>=</m:t>
        </m:r>
        <m:r>
          <m:rPr>
            <m:sty m:val="p"/>
          </m:rPr>
          <m:t>−</m:t>
        </m:r>
        <m:r>
          <m:t>3</m:t>
        </m:r>
        <m:r>
          <m:rPr>
            <m:sty m:val="p"/>
          </m:rPr>
          <m:t>,</m:t>
        </m:r>
        <m:r>
          <m:t>0</m:t>
        </m:r>
        <m:r>
          <m:rPr>
            <m:sty m:val="p"/>
          </m:rPr>
          <m:t>,</m:t>
        </m:r>
        <m:r>
          <m:t>3</m:t>
        </m:r>
        <m:r>
          <m:rPr>
            <m:sty m:val="p"/>
          </m:rPr>
          <m:t>,</m:t>
        </m:r>
        <m:r>
          <m:t>20</m:t>
        </m:r>
      </m:oMath>
      <w:r>
        <w:t xml:space="preserve"> </w:t>
      </w:r>
      <w:r>
        <w:t xml:space="preserve">combinados com</w:t>
      </w:r>
      <w:r>
        <w:t xml:space="preserve"> </w:t>
      </w:r>
      <m:oMath>
        <m:r>
          <m:t>ν</m:t>
        </m:r>
        <m:r>
          <m:rPr>
            <m:sty m:val="p"/>
          </m:rPr>
          <m:t>=</m:t>
        </m:r>
        <m:r>
          <m:t>0</m:t>
        </m:r>
        <m:r>
          <m:rPr>
            <m:sty m:val="p"/>
          </m:rPr>
          <m:t>,</m:t>
        </m:r>
        <m:r>
          <m:t>5</m:t>
        </m:r>
      </m:oMath>
      <w:r>
        <w:t xml:space="preserve"> </w:t>
      </w:r>
      <w:r>
        <w:t xml:space="preserve">e</w:t>
      </w:r>
      <w:r>
        <w:t xml:space="preserve"> </w:t>
      </w:r>
      <m:oMath>
        <m:r>
          <m:t>5</m:t>
        </m:r>
      </m:oMath>
      <w:r>
        <w:t xml:space="preserve">), cada um com</w:t>
      </w:r>
      <w:r>
        <w:t xml:space="preserve"> </w:t>
      </w:r>
      <w:r>
        <w:rPr>
          <w:rStyle w:val="VerbatimChar"/>
        </w:rPr>
        <w:t xml:space="preserve">nlminb</w:t>
      </w:r>
      <w:r>
        <w:t xml:space="preserve"> </w:t>
      </w:r>
      <w:r>
        <w:t xml:space="preserve">e Nelder–Mead. Não se fixa uma assimetria máxima para obter um resultado conveniente. Ambos os modelos são ajustados após dividir o fluxo pela mesma mediana mensal, sem tomar logaritmos; parâmetros e log-densidades são reconvertidos à unidade W/m². A solução selecionada deve reproduzir</w:t>
      </w:r>
      <w:r>
        <w:t xml:space="preserve"> </w:t>
      </w:r>
      <w:r>
        <w:rPr>
          <w:rStyle w:val="VerbatimChar"/>
        </w:rPr>
        <w:t xml:space="preserve">sum(dst(..., log=TRUE))</w:t>
      </w:r>
      <w:r>
        <w:t xml:space="preserve"> </w:t>
      </w:r>
      <w:r>
        <w:t xml:space="preserve">e ter escala e graus de liberdade positivos. Entre soluções convergidas e válidas, escolhe-se a maior log-verossimilhança encontrada; isso não prova existência nem unicidade de um máximo global regular.</w:t>
      </w:r>
    </w:p>
    <w:tbl>
      <w:tblPr>
        <w:tblStyle w:val="Table"/>
        <w:tblW w:type="pct" w:w="5000"/>
        <w:tblLayout w:type="fixed"/>
        <w:tblLook w:firstRow="0" w:lastRow="0" w:firstColumn="0" w:lastColumn="0" w:noHBand="0" w:noVBand="0" w:val="0000"/>
      </w:tblPr>
      <w:tblGrid>
        <w:gridCol w:w="7920"/>
      </w:tblGrid>
      <w:tr>
        <w:tc>
          <w:tcPr/>
          <w:bookmarkStart w:id="195" w:name="tbl-parametros-skew"/>
          <w:p>
            <w:pPr>
              <w:jc w:val="center"/>
            </w:pPr>
            <w:pPr>
              <w:jc w:val="start"/>
              <w:spacing w:before="200"/>
              <w:pStyle w:val="ImageCaption"/>
            </w:pPr>
            <w:r>
              <w:t xml:space="preserve">Tabela 21: Skew-t DP: parâmetros na unidade original. Traços em EP/IC indicam inferência de Wald não validada; não representam erro zero.</w:t>
            </w:r>
          </w:p>
          <w:p>
            <w:pPr>
              <w:pStyle w:val="Compact"/>
              <w:jc w:val="center"/>
            </w:pPr>
            <w:r>
              <w:t xml:space="preserve">Skew-t DP: parâmetros na unidade original. Traços em EP/IC indicam inferência de Wald não validada; não representam erro zero.</w:t>
            </w:r>
          </w:p>
          <w:tbl>
            <w:tblPr>
              <w:tblStyle w:val="Table"/>
              <w:tblW w:type="pct" w:w="5000"/>
              <w:tblLayout w:type="fixed"/>
              <w:tblLook w:firstRow="1" w:lastRow="0" w:firstColumn="0" w:lastColumn="0" w:noHBand="0" w:noVBand="0" w:val="0020"/>
              <w:tblCaption w:val="Skew-t DP: parâmetros na unidade original. Traços em EP/IC indicam inferência de Wald não validada; não representam erro zero."/>
            </w:tblPr>
            <w:tblGrid>
              <w:gridCol w:w="2603"/>
              <w:gridCol w:w="1193"/>
              <w:gridCol w:w="759"/>
              <w:gridCol w:w="976"/>
              <w:gridCol w:w="976"/>
              <w:gridCol w:w="1410"/>
            </w:tblGrid>
            <w:tr>
              <w:trPr>
                <w:tblHeader w:val="on"/>
              </w:trPr>
              <w:tc>
                <w:tcPr/>
                <w:p>
                  <w:pPr>
                    <w:pStyle w:val="Compact"/>
                    <w:jc w:val="left"/>
                    <w:jc w:val="center"/>
                  </w:pPr>
                  <w:r>
                    <w:t xml:space="preserve">parametro</w:t>
                  </w:r>
                </w:p>
              </w:tc>
              <w:tc>
                <w:tcPr/>
                <w:p>
                  <w:pPr>
                    <w:pStyle w:val="Compact"/>
                    <w:jc w:val="left"/>
                    <w:jc w:val="center"/>
                  </w:pPr>
                  <w:r>
                    <w:t xml:space="preserve">estimativa</w:t>
                  </w:r>
                </w:p>
              </w:tc>
              <w:tc>
                <w:tcPr/>
                <w:p>
                  <w:pPr>
                    <w:pStyle w:val="Compact"/>
                    <w:jc w:val="left"/>
                    <w:jc w:val="center"/>
                  </w:pPr>
                  <w:r>
                    <w:t xml:space="preserve">ep</w:t>
                  </w:r>
                </w:p>
              </w:tc>
              <w:tc>
                <w:tcPr/>
                <w:p>
                  <w:pPr>
                    <w:pStyle w:val="Compact"/>
                    <w:jc w:val="left"/>
                    <w:jc w:val="center"/>
                  </w:pPr>
                  <w:r>
                    <w:t xml:space="preserve">inferior</w:t>
                  </w:r>
                </w:p>
              </w:tc>
              <w:tc>
                <w:tcPr/>
                <w:p>
                  <w:pPr>
                    <w:pStyle w:val="Compact"/>
                    <w:jc w:val="left"/>
                    <w:jc w:val="center"/>
                  </w:pPr>
                  <w:r>
                    <w:t xml:space="preserve">superior</w:t>
                  </w:r>
                </w:p>
              </w:tc>
              <w:tc>
                <w:tcPr/>
                <w:p>
                  <w:pPr>
                    <w:pStyle w:val="Compact"/>
                    <w:jc w:val="left"/>
                    <w:jc w:val="center"/>
                  </w:pPr>
                  <w:r>
                    <w:t xml:space="preserve">unidade</w:t>
                  </w:r>
                </w:p>
              </w:tc>
            </w:tr>
            <w:tr>
              <w:tc>
                <w:tcPr/>
                <w:p>
                  <w:pPr>
                    <w:pStyle w:val="Compact"/>
                    <w:jc w:val="left"/>
                    <w:jc w:val="center"/>
                  </w:pPr>
                  <w:r>
                    <w:t xml:space="preserve">xi_ST (localização)</w:t>
                  </w:r>
                </w:p>
              </w:tc>
              <w:tc>
                <w:tcPr/>
                <w:p>
                  <w:pPr>
                    <w:pStyle w:val="Compact"/>
                    <w:jc w:val="left"/>
                    <w:jc w:val="center"/>
                  </w:pPr>
                  <w:r>
                    <w:t xml:space="preserve">4.101e-08</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 m^-2</w:t>
                  </w:r>
                </w:p>
              </w:tc>
            </w:tr>
            <w:tr>
              <w:tc>
                <w:tcPr/>
                <w:p>
                  <w:pPr>
                    <w:pStyle w:val="Compact"/>
                    <w:jc w:val="left"/>
                    <w:jc w:val="center"/>
                  </w:pPr>
                  <w:r>
                    <w:t xml:space="preserve">omega (escala)</w:t>
                  </w:r>
                </w:p>
              </w:tc>
              <w:tc>
                <w:tcPr/>
                <w:p>
                  <w:pPr>
                    <w:pStyle w:val="Compact"/>
                    <w:jc w:val="left"/>
                    <w:jc w:val="center"/>
                  </w:pPr>
                  <w:r>
                    <w:t xml:space="preserve">2.181e-06</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 m^-2</w:t>
                  </w:r>
                </w:p>
              </w:tc>
            </w:tr>
            <w:tr>
              <w:tc>
                <w:tcPr/>
                <w:p>
                  <w:pPr>
                    <w:pStyle w:val="Compact"/>
                    <w:jc w:val="left"/>
                    <w:jc w:val="center"/>
                  </w:pPr>
                  <w:r>
                    <w:t xml:space="preserve">alpha (slant)</w:t>
                  </w:r>
                </w:p>
              </w:tc>
              <w:tc>
                <w:tcPr/>
                <w:p>
                  <w:pPr>
                    <w:pStyle w:val="Compact"/>
                    <w:jc w:val="left"/>
                    <w:jc w:val="center"/>
                  </w:pPr>
                  <w:r>
                    <w:t xml:space="preserve">6.007e+14</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adimensional</w:t>
                  </w:r>
                </w:p>
              </w:tc>
            </w:tr>
            <w:tr>
              <w:tc>
                <w:tcPr/>
                <w:p>
                  <w:pPr>
                    <w:pStyle w:val="Compact"/>
                    <w:jc w:val="left"/>
                    <w:jc w:val="center"/>
                  </w:pPr>
                  <w:r>
                    <w:t xml:space="preserve">nu (graus de liberdade)</w:t>
                  </w:r>
                </w:p>
              </w:tc>
              <w:tc>
                <w:tcPr/>
                <w:p>
                  <w:pPr>
                    <w:pStyle w:val="Compact"/>
                    <w:jc w:val="left"/>
                    <w:jc w:val="center"/>
                  </w:pPr>
                  <w:r>
                    <w:t xml:space="preserve">0.3089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adimensional</w:t>
                  </w:r>
                </w:p>
              </w:tc>
            </w:tr>
          </w:tbl>
          <w:bookmarkEnd w:id="195"/>
          <w:p/>
        </w:tc>
      </w:tr>
    </w:tbl>
    <w:p>
      <w:pPr>
        <w:pStyle w:val="BodyText"/>
      </w:pPr>
      <w:r>
        <w:t xml:space="preserve">A log-verossimilhança Skew-t na escala W/m² é 816.6724. A tentativa selecionada é a 4; convergência numérica:</w:t>
      </w:r>
      <w:r>
        <w:t xml:space="preserve"> </w:t>
      </w:r>
      <w:r>
        <w:rPr>
          <w:b/>
          <w:bCs/>
        </w:rPr>
        <w:t xml:space="preserve">TRUE</w:t>
      </w:r>
      <w:r>
        <w:t xml:space="preserve">; solução interior/informação observada regular:</w:t>
      </w:r>
      <w:r>
        <w:t xml:space="preserve"> </w:t>
      </w:r>
      <w:r>
        <w:rPr>
          <w:b/>
          <w:bCs/>
        </w:rPr>
        <w:t xml:space="preserve">FALSE</w:t>
      </w:r>
      <w:r>
        <w:t xml:space="preserve">; fronteira sinalizada por</w:t>
      </w:r>
      <w:r>
        <w:t xml:space="preserve"> </w:t>
      </w:r>
      <w:r>
        <w:rPr>
          <w:rStyle w:val="VerbatimChar"/>
        </w:rPr>
        <w:t xml:space="preserve">sn</w:t>
      </w:r>
      <w:r>
        <w:t xml:space="preserve">:</w:t>
      </w:r>
      <w:r>
        <w:t xml:space="preserve"> </w:t>
      </w:r>
      <w:r>
        <w:rPr>
          <w:b/>
          <w:bCs/>
        </w:rPr>
        <w:t xml:space="preserve">TRUE</w:t>
      </w:r>
      <w:r>
        <w:t xml:space="preserve">.</w:t>
      </w:r>
    </w:p>
    <w:p>
      <w:pPr>
        <w:pStyle w:val="BodyText"/>
      </w:pPr>
      <w:r>
        <w:t xml:space="preserve">Solução não regular/fronteira ou informação mal condicionada: EP e IC Wald não são reportados. sn sinaliza fronteira (|alpha| &gt; 1000 ou nu &gt; 1000). Alpha não tem estimativa finita estável; valores são aproximações numéricas ao limite, não um MLE interior validado. nu &lt;= 1: a média não existe no modelo ajustado; não atribuir essa propriedade ao processo solar. Há tentativas sem convergência: códigos, mensagens e valores iniciais estão na tabela de otimização.</w:t>
      </w:r>
    </w:p>
    <w:tbl>
      <w:tblPr>
        <w:tblStyle w:val="Table"/>
        <w:tblW w:type="pct" w:w="5000"/>
        <w:tblLayout w:type="fixed"/>
        <w:tblLook w:firstRow="0" w:lastRow="0" w:firstColumn="0" w:lastColumn="0" w:noHBand="0" w:noVBand="0" w:val="0000"/>
      </w:tblPr>
      <w:tblGrid>
        <w:gridCol w:w="7920"/>
      </w:tblGrid>
      <w:tr>
        <w:tc>
          <w:tcPr/>
          <w:bookmarkStart w:id="196" w:name="tbl-otimizacao-skew"/>
          <w:p>
            <w:pPr>
              <w:jc w:val="center"/>
            </w:pPr>
            <w:pPr>
              <w:jc w:val="start"/>
              <w:spacing w:before="200"/>
              <w:pStyle w:val="ImageCaption"/>
            </w:pPr>
            <w:r>
              <w:t xml:space="preserve">Tabela 22: Estabilidade numérica entre inícios: intervalos incluem tentativas não convergidas, identificadas no registro detalhado.</w:t>
            </w:r>
          </w:p>
          <w:p>
            <w:pPr>
              <w:pStyle w:val="Compact"/>
              <w:jc w:val="center"/>
            </w:pPr>
            <w:r>
              <w:t xml:space="preserve">Estabilidade numérica entre inícios: intervalos incluem tentativas não convergidas, identificadas no registro detalhado.</w:t>
            </w:r>
          </w:p>
          <w:tbl>
            <w:tblPr>
              <w:tblStyle w:val="Table"/>
              <w:tblW w:type="pct" w:w="5000"/>
              <w:tblLayout w:type="fixed"/>
              <w:tblLook w:firstRow="1" w:lastRow="0" w:firstColumn="0" w:lastColumn="0" w:noHBand="0" w:noVBand="0" w:val="0020"/>
              <w:tblCaption w:val="Estabilidade numérica entre inícios: intervalos incluem tentativas não convergidas, identificadas no registro detalhado."/>
            </w:tblPr>
            <w:tblGrid>
              <w:gridCol w:w="1250"/>
              <w:gridCol w:w="1146"/>
              <w:gridCol w:w="1250"/>
              <w:gridCol w:w="729"/>
              <w:gridCol w:w="1042"/>
              <w:gridCol w:w="1042"/>
              <w:gridCol w:w="729"/>
              <w:gridCol w:w="729"/>
            </w:tblGrid>
            <w:tr>
              <w:trPr>
                <w:tblHeader w:val="on"/>
              </w:trPr>
              <w:tc>
                <w:tcPr/>
                <w:p>
                  <w:pPr>
                    <w:pStyle w:val="Compact"/>
                    <w:jc w:val="left"/>
                    <w:jc w:val="center"/>
                  </w:pPr>
                  <w:r>
                    <w:t xml:space="preserve">metodo</w:t>
                  </w:r>
                </w:p>
              </w:tc>
              <w:tc>
                <w:tcPr/>
                <w:p>
                  <w:pPr>
                    <w:pStyle w:val="Compact"/>
                    <w:jc w:val="left"/>
                    <w:jc w:val="center"/>
                  </w:pPr>
                  <w:r>
                    <w:t xml:space="preserve">tentativas</w:t>
                  </w:r>
                </w:p>
              </w:tc>
              <w:tc>
                <w:tcPr/>
                <w:p>
                  <w:pPr>
                    <w:pStyle w:val="Compact"/>
                    <w:jc w:val="left"/>
                    <w:jc w:val="center"/>
                  </w:pPr>
                  <w:r>
                    <w:t xml:space="preserve">convergidas</w:t>
                  </w:r>
                </w:p>
              </w:tc>
              <w:tc>
                <w:tcPr/>
                <w:p>
                  <w:pPr>
                    <w:pStyle w:val="Compact"/>
                    <w:jc w:val="left"/>
                    <w:jc w:val="center"/>
                  </w:pPr>
                  <w:r>
                    <w:t xml:space="preserve">logLik melhor</w:t>
                  </w:r>
                </w:p>
              </w:tc>
              <w:tc>
                <w:tcPr/>
                <w:p>
                  <w:pPr>
                    <w:pStyle w:val="Compact"/>
                    <w:jc w:val="left"/>
                    <w:jc w:val="center"/>
                  </w:pPr>
                  <w:r>
                    <w:t xml:space="preserve">alpha min</w:t>
                  </w:r>
                </w:p>
              </w:tc>
              <w:tc>
                <w:tcPr/>
                <w:p>
                  <w:pPr>
                    <w:pStyle w:val="Compact"/>
                    <w:jc w:val="left"/>
                    <w:jc w:val="center"/>
                  </w:pPr>
                  <w:r>
                    <w:t xml:space="preserve">alpha max</w:t>
                  </w:r>
                </w:p>
              </w:tc>
              <w:tc>
                <w:tcPr/>
                <w:p>
                  <w:pPr>
                    <w:pStyle w:val="Compact"/>
                    <w:jc w:val="left"/>
                    <w:jc w:val="center"/>
                  </w:pPr>
                  <w:r>
                    <w:t xml:space="preserve">nu min</w:t>
                  </w:r>
                </w:p>
              </w:tc>
              <w:tc>
                <w:tcPr/>
                <w:p>
                  <w:pPr>
                    <w:pStyle w:val="Compact"/>
                    <w:jc w:val="left"/>
                    <w:jc w:val="center"/>
                  </w:pPr>
                  <w:r>
                    <w:t xml:space="preserve">nu max</w:t>
                  </w:r>
                </w:p>
              </w:tc>
            </w:tr>
            <w:tr>
              <w:tc>
                <w:tcPr/>
                <w:p>
                  <w:pPr>
                    <w:pStyle w:val="Compact"/>
                    <w:jc w:val="left"/>
                    <w:jc w:val="center"/>
                  </w:pPr>
                  <w:r>
                    <w:t xml:space="preserve">nlminb</w:t>
                  </w:r>
                </w:p>
              </w:tc>
              <w:tc>
                <w:tcPr/>
                <w:p>
                  <w:pPr>
                    <w:pStyle w:val="Compact"/>
                    <w:jc w:val="left"/>
                    <w:jc w:val="center"/>
                  </w:pPr>
                  <w:r>
                    <w:t xml:space="preserve">8</w:t>
                  </w:r>
                </w:p>
              </w:tc>
              <w:tc>
                <w:tcPr/>
                <w:p>
                  <w:pPr>
                    <w:pStyle w:val="Compact"/>
                    <w:jc w:val="left"/>
                    <w:jc w:val="center"/>
                  </w:pPr>
                  <w:r>
                    <w:t xml:space="preserve">0</w:t>
                  </w:r>
                </w:p>
              </w:tc>
              <w:tc>
                <w:tcPr/>
                <w:p>
                  <w:pPr>
                    <w:pStyle w:val="Compact"/>
                    <w:jc w:val="left"/>
                    <w:jc w:val="center"/>
                  </w:pPr>
                  <w:r>
                    <w:t xml:space="preserve">816.7</w:t>
                  </w:r>
                </w:p>
              </w:tc>
              <w:tc>
                <w:tcPr/>
                <w:p>
                  <w:pPr>
                    <w:pStyle w:val="Compact"/>
                    <w:jc w:val="left"/>
                    <w:jc w:val="center"/>
                  </w:pPr>
                  <w:r>
                    <w:t xml:space="preserve">5.526e+05</w:t>
                  </w:r>
                </w:p>
              </w:tc>
              <w:tc>
                <w:tcPr/>
                <w:p>
                  <w:pPr>
                    <w:pStyle w:val="Compact"/>
                    <w:jc w:val="left"/>
                    <w:jc w:val="center"/>
                  </w:pPr>
                  <w:r>
                    <w:t xml:space="preserve">7.591e+10</w:t>
                  </w:r>
                </w:p>
              </w:tc>
              <w:tc>
                <w:tcPr/>
                <w:p>
                  <w:pPr>
                    <w:pStyle w:val="Compact"/>
                    <w:jc w:val="left"/>
                    <w:jc w:val="center"/>
                  </w:pPr>
                  <w:r>
                    <w:t xml:space="preserve">0.3087</w:t>
                  </w:r>
                </w:p>
              </w:tc>
              <w:tc>
                <w:tcPr/>
                <w:p>
                  <w:pPr>
                    <w:pStyle w:val="Compact"/>
                    <w:jc w:val="left"/>
                    <w:jc w:val="center"/>
                  </w:pPr>
                  <w:r>
                    <w:t xml:space="preserve">0.3089</w:t>
                  </w:r>
                </w:p>
              </w:tc>
            </w:tr>
            <w:tr>
              <w:tc>
                <w:tcPr/>
                <w:p>
                  <w:pPr>
                    <w:pStyle w:val="Compact"/>
                    <w:jc w:val="left"/>
                    <w:jc w:val="center"/>
                  </w:pPr>
                  <w:r>
                    <w:t xml:space="preserve">Nelder-Mead</w:t>
                  </w:r>
                </w:p>
              </w:tc>
              <w:tc>
                <w:tcPr/>
                <w:p>
                  <w:pPr>
                    <w:pStyle w:val="Compact"/>
                    <w:jc w:val="left"/>
                    <w:jc w:val="center"/>
                  </w:pPr>
                  <w:r>
                    <w:t xml:space="preserve">8</w:t>
                  </w:r>
                </w:p>
              </w:tc>
              <w:tc>
                <w:tcPr/>
                <w:p>
                  <w:pPr>
                    <w:pStyle w:val="Compact"/>
                    <w:jc w:val="left"/>
                    <w:jc w:val="center"/>
                  </w:pPr>
                  <w:r>
                    <w:t xml:space="preserve">8</w:t>
                  </w:r>
                </w:p>
              </w:tc>
              <w:tc>
                <w:tcPr/>
                <w:p>
                  <w:pPr>
                    <w:pStyle w:val="Compact"/>
                    <w:jc w:val="left"/>
                    <w:jc w:val="center"/>
                  </w:pPr>
                  <w:r>
                    <w:t xml:space="preserve">816.7</w:t>
                  </w:r>
                </w:p>
              </w:tc>
              <w:tc>
                <w:tcPr/>
                <w:p>
                  <w:pPr>
                    <w:pStyle w:val="Compact"/>
                    <w:jc w:val="left"/>
                    <w:jc w:val="center"/>
                  </w:pPr>
                  <w:r>
                    <w:t xml:space="preserve">1.756e+12</w:t>
                  </w:r>
                </w:p>
              </w:tc>
              <w:tc>
                <w:tcPr/>
                <w:p>
                  <w:pPr>
                    <w:pStyle w:val="Compact"/>
                    <w:jc w:val="left"/>
                    <w:jc w:val="center"/>
                  </w:pPr>
                  <w:r>
                    <w:t xml:space="preserve">6.007e+14</w:t>
                  </w:r>
                </w:p>
              </w:tc>
              <w:tc>
                <w:tcPr/>
                <w:p>
                  <w:pPr>
                    <w:pStyle w:val="Compact"/>
                    <w:jc w:val="left"/>
                    <w:jc w:val="center"/>
                  </w:pPr>
                  <w:r>
                    <w:t xml:space="preserve">0.3089</w:t>
                  </w:r>
                </w:p>
              </w:tc>
              <w:tc>
                <w:tcPr/>
                <w:p>
                  <w:pPr>
                    <w:pStyle w:val="Compact"/>
                    <w:jc w:val="left"/>
                    <w:jc w:val="center"/>
                  </w:pPr>
                  <w:r>
                    <w:t xml:space="preserve">0.3089</w:t>
                  </w:r>
                </w:p>
              </w:tc>
            </w:tr>
          </w:tbl>
          <w:bookmarkEnd w:id="19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7" w:name="tbl-otimizacao-mensagens"/>
          <w:p>
            <w:pPr>
              <w:jc w:val="center"/>
            </w:pPr>
            <w:pPr>
              <w:jc w:val="start"/>
              <w:spacing w:before="200"/>
              <w:pStyle w:val="ImageCaption"/>
            </w:pPr>
            <w:r>
              <w:t xml:space="preserve">Tabela 23: Códigos e mensagens de todas as tentativas principais. Código zero indica término numérico, sem garantir identificabilidade. Registros individuais: otimizacao_skew_t.csv.</w:t>
            </w:r>
          </w:p>
          <w:p>
            <w:pPr>
              <w:pStyle w:val="Compact"/>
              <w:jc w:val="center"/>
            </w:pPr>
            <w:r>
              <w:t xml:space="preserve">Códigos e mensagens de todas as tentativas principais. Código zero indica término numérico, sem garantir identificabilidade. Registros individuais: otimizacao_skew_t.csv.</w:t>
            </w:r>
          </w:p>
          <w:tbl>
            <w:tblPr>
              <w:tblStyle w:val="Table"/>
              <w:tblW w:type="pct" w:w="5000"/>
              <w:tblLayout w:type="fixed"/>
              <w:tblLook w:firstRow="1" w:lastRow="0" w:firstColumn="0" w:lastColumn="0" w:noHBand="0" w:noVBand="0" w:val="0020"/>
              <w:tblCaption w:val="Códigos e mensagens de todas as tentativas principais. Código zero indica término numérico, sem garantir identificabilidade. Registros individuais: otimizacao_skew_t.csv."/>
            </w:tblPr>
            <w:tblGrid>
              <w:gridCol w:w="1532"/>
              <w:gridCol w:w="894"/>
              <w:gridCol w:w="3193"/>
              <w:gridCol w:w="894"/>
              <w:gridCol w:w="1405"/>
            </w:tblGrid>
            <w:tr>
              <w:trPr>
                <w:tblHeader w:val="on"/>
              </w:trPr>
              <w:tc>
                <w:tcPr/>
                <w:p>
                  <w:pPr>
                    <w:pStyle w:val="Compact"/>
                    <w:jc w:val="left"/>
                    <w:jc w:val="center"/>
                  </w:pPr>
                  <w:r>
                    <w:t xml:space="preserve">metodo</w:t>
                  </w:r>
                </w:p>
              </w:tc>
              <w:tc>
                <w:tcPr/>
                <w:p>
                  <w:pPr>
                    <w:pStyle w:val="Compact"/>
                    <w:jc w:val="left"/>
                    <w:jc w:val="center"/>
                  </w:pPr>
                  <w:r>
                    <w:t xml:space="preserve">codigo</w:t>
                  </w:r>
                </w:p>
              </w:tc>
              <w:tc>
                <w:tcPr/>
                <w:p>
                  <w:pPr>
                    <w:pStyle w:val="Compact"/>
                    <w:jc w:val="left"/>
                    <w:jc w:val="center"/>
                  </w:pPr>
                  <w:r>
                    <w:t xml:space="preserve">mensagem</w:t>
                  </w:r>
                </w:p>
              </w:tc>
              <w:tc>
                <w:tcPr/>
                <w:p>
                  <w:pPr>
                    <w:pStyle w:val="Compact"/>
                    <w:jc w:val="left"/>
                    <w:jc w:val="center"/>
                  </w:pPr>
                  <w:r>
                    <w:t xml:space="preserve">avisos</w:t>
                  </w:r>
                </w:p>
              </w:tc>
              <w:tc>
                <w:tcPr/>
                <w:p>
                  <w:pPr>
                    <w:pStyle w:val="Compact"/>
                    <w:jc w:val="left"/>
                    <w:jc w:val="center"/>
                  </w:pPr>
                  <w:r>
                    <w:t xml:space="preserve">tentativas</w:t>
                  </w:r>
                </w:p>
              </w:tc>
            </w:tr>
            <w:tr>
              <w:tc>
                <w:tcPr/>
                <w:p>
                  <w:pPr>
                    <w:pStyle w:val="Compact"/>
                    <w:jc w:val="left"/>
                    <w:jc w:val="center"/>
                  </w:pPr>
                  <w:r>
                    <w:t xml:space="preserve">nlminb</w:t>
                  </w:r>
                </w:p>
              </w:tc>
              <w:tc>
                <w:tcPr/>
                <w:p>
                  <w:pPr>
                    <w:pStyle w:val="Compact"/>
                    <w:jc w:val="left"/>
                    <w:jc w:val="center"/>
                  </w:pPr>
                  <w:r>
                    <w:t xml:space="preserve">1</w:t>
                  </w:r>
                </w:p>
              </w:tc>
              <w:tc>
                <w:tcPr/>
                <w:p>
                  <w:pPr>
                    <w:pStyle w:val="Compact"/>
                    <w:jc w:val="left"/>
                    <w:jc w:val="center"/>
                  </w:pPr>
                  <w:r>
                    <w:t xml:space="preserve">singular convergence (7)</w:t>
                  </w:r>
                </w:p>
              </w:tc>
              <w:tc>
                <w:tcPr/>
                <w:p>
                  <w:pPr>
                    <w:pStyle w:val="Compact"/>
                  </w:pPr>
                </w:p>
              </w:tc>
              <w:tc>
                <w:tcPr/>
                <w:p>
                  <w:pPr>
                    <w:pStyle w:val="Compact"/>
                    <w:jc w:val="left"/>
                    <w:jc w:val="center"/>
                  </w:pPr>
                  <w:r>
                    <w:t xml:space="preserve">8</w:t>
                  </w:r>
                </w:p>
              </w:tc>
            </w:tr>
            <w:tr>
              <w:tc>
                <w:tcPr/>
                <w:p>
                  <w:pPr>
                    <w:pStyle w:val="Compact"/>
                    <w:jc w:val="left"/>
                    <w:jc w:val="center"/>
                  </w:pPr>
                  <w:r>
                    <w:t xml:space="preserve">Nelder-Mead</w:t>
                  </w:r>
                </w:p>
              </w:tc>
              <w:tc>
                <w:tcPr/>
                <w:p>
                  <w:pPr>
                    <w:pStyle w:val="Compact"/>
                    <w:jc w:val="left"/>
                    <w:jc w:val="center"/>
                  </w:pPr>
                  <w:r>
                    <w:t xml:space="preserve">0</w:t>
                  </w:r>
                </w:p>
              </w:tc>
              <w:tc>
                <w:tcPr/>
                <w:p>
                  <w:pPr>
                    <w:pStyle w:val="Compact"/>
                  </w:pPr>
                </w:p>
              </w:tc>
              <w:tc>
                <w:tcPr/>
                <w:p>
                  <w:pPr>
                    <w:pStyle w:val="Compact"/>
                  </w:pPr>
                </w:p>
              </w:tc>
              <w:tc>
                <w:tcPr/>
                <w:p>
                  <w:pPr>
                    <w:pStyle w:val="Compact"/>
                    <w:jc w:val="left"/>
                    <w:jc w:val="center"/>
                  </w:pPr>
                  <w:r>
                    <w:t xml:space="preserve">8</w:t>
                  </w:r>
                </w:p>
              </w:tc>
            </w:tr>
          </w:tbl>
          <w:bookmarkEnd w:id="197"/>
          <w:p/>
        </w:tc>
      </w:tr>
    </w:tbl>
    <w:p>
      <w:pPr>
        <w:pStyle w:val="BodyText"/>
      </w:pPr>
      <w:r>
        <w:t xml:space="preserve">Quando</w:t>
      </w:r>
      <w:r>
        <w:t xml:space="preserve"> </w:t>
      </w:r>
      <w:r>
        <w:rPr>
          <w:rStyle w:val="VerbatimChar"/>
        </w:rPr>
        <w:t xml:space="preserve">sn</w:t>
      </w:r>
      <w:r>
        <w:t xml:space="preserve"> </w:t>
      </w:r>
      <w:r>
        <w:t xml:space="preserve">sinaliza fronteira (</w:t>
      </w:r>
      <m:oMath>
        <m:d>
          <m:dPr>
            <m:begChr m:val="|"/>
            <m:sepChr m:val=""/>
            <m:endChr m:val="|"/>
            <m:grow/>
          </m:dPr>
          <m:e>
            <m:r>
              <m:t>α</m:t>
            </m:r>
          </m:e>
        </m:d>
        <m:r>
          <m:rPr>
            <m:sty m:val="p"/>
          </m:rPr>
          <m:t>&gt;</m:t>
        </m:r>
        <m:r>
          <m:t>1000</m:t>
        </m:r>
      </m:oMath>
      <w:r>
        <w:t xml:space="preserve"> </w:t>
      </w:r>
      <w:r>
        <w:t xml:space="preserve">ou</w:t>
      </w:r>
      <w:r>
        <w:t xml:space="preserve"> </w:t>
      </w:r>
      <m:oMath>
        <m:r>
          <m:t>ν</m:t>
        </m:r>
        <m:r>
          <m:rPr>
            <m:sty m:val="p"/>
          </m:rPr>
          <m:t>&gt;</m:t>
        </m:r>
        <m:r>
          <m:t>1000</m:t>
        </m:r>
      </m:oMath>
      <w:r>
        <w:t xml:space="preserve">), ou a informação observada não é positiva definida/bem condicionada, não se publicam EP e IC de Wald. Em solução interior, somente uma Hessiana com autovalores positivos, razão espectral menor que</w:t>
      </w:r>
      <w:r>
        <w:t xml:space="preserve"> </w:t>
      </w:r>
      <m:oMath>
        <m:sSup>
          <m:e>
            <m:r>
              <m:t>10</m:t>
            </m:r>
          </m:e>
          <m:sup>
            <m:r>
              <m:t>8</m:t>
            </m:r>
          </m:sup>
        </m:sSup>
      </m:oMath>
      <w:r>
        <w:t xml:space="preserve"> </w:t>
      </w:r>
      <w:r>
        <w:t xml:space="preserve">e gradiente pequeno permite a aproximação delta nos parâmetros transformados; mesmo assim, ela pressupõe independência aproximada e é nominal. Não se usa bootstrap IID da Skew-t para disfarçar a dependência. Nesta base, alpha cresce muitas ordens de grandeza com pouca variação da verossimilhança. O parâmetro não é identificável como um valor finito estável; as estimativas exibidas são aproximações numéricas ao limite de assimetria extrema, e não um MLE interior com precisão demonstrada.</w:t>
      </w:r>
    </w:p>
    <w:p>
      <w:pPr>
        <w:pStyle w:val="BodyText"/>
      </w:pPr>
      <w:r>
        <w:t xml:space="preserve">A Skew-t possui suporte em toda a reta; ela não foi truncada em zero. A massa estimada em fluxos não positivos é 0.000e+00. Essa massa mede uma incompatibilidade potencial com a positividade física, independentemente do ajuste nos pontos observados. Uma versão truncada constituiria outro modelo e exigiria nova normalização da verossimilhança.</w:t>
      </w:r>
    </w:p>
    <w:bookmarkEnd w:id="198"/>
    <w:bookmarkStart w:id="216" w:name="diagnósticos-empíricos"/>
    <w:p>
      <w:pPr>
        <w:pStyle w:val="Heading2"/>
      </w:pPr>
      <w:r>
        <w:t xml:space="preserve">9.3 Diagnósticos empíricos</w:t>
      </w:r>
    </w:p>
    <w:tbl>
      <w:tblPr>
        <w:tblStyle w:val="Table"/>
        <w:tblW w:type="pct" w:w="5000"/>
        <w:tblLayout w:type="fixed"/>
        <w:tblLook w:firstRow="0" w:lastRow="0" w:firstColumn="0" w:lastColumn="0" w:noHBand="0" w:noVBand="0" w:val="0000"/>
      </w:tblPr>
      <w:tblGrid>
        <w:gridCol w:w="7920"/>
      </w:tblGrid>
      <w:tr>
        <w:tc>
          <w:tcPr/>
          <w:bookmarkStart w:id="202" w:name="fig-densidade-comparada"/>
          <w:p>
            <w:pPr>
              <w:pStyle w:val="Compact"/>
              <w:jc w:val="center"/>
            </w:pPr>
            <w:r>
              <w:drawing>
                <wp:inline>
                  <wp:extent cx="5829300" cy="2975821"/>
                  <wp:effectExtent b="0" l="0" r="0" t="0"/>
                  <wp:docPr descr="" title="" id="200" name="Picture"/>
                  <a:graphic>
                    <a:graphicData uri="http://schemas.openxmlformats.org/drawingml/2006/picture">
                      <pic:pic>
                        <pic:nvPicPr>
                          <pic:cNvPr descr="figuras/comparacao_densidade.png" id="201" name="Picture"/>
                          <pic:cNvPicPr>
                            <a:picLocks noChangeArrowheads="1" noChangeAspect="1"/>
                          </pic:cNvPicPr>
                        </pic:nvPicPr>
                        <pic:blipFill>
                          <a:blip r:embed="rId199"/>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36: Distribuição dos mesmos máximos mensais e curvas dos dois modelos. O eixo logarítmico separa valores pequenos e altos; a densidade foi transformada com o Jacobiano correto.</w:t>
            </w:r>
          </w:p>
          <w:bookmarkEnd w:id="202"/>
        </w:tc>
      </w:tr>
    </w:tbl>
    <w:p>
      <w:pPr>
        <w:pStyle w:val="BodyText"/>
      </w:pPr>
      <w:r>
        <w:t xml:space="preserve">O histograma representa a densidade de</w:t>
      </w:r>
      <w:r>
        <w:t xml:space="preserve"> </w:t>
      </w:r>
      <m:oMath>
        <m:r>
          <m:t>Z</m:t>
        </m:r>
        <m:r>
          <m:rPr>
            <m:sty m:val="p"/>
          </m:rPr>
          <m:t>=</m:t>
        </m:r>
        <m:sSub>
          <m:e>
            <m:r>
              <m:rPr>
                <m:sty m:val="p"/>
              </m:rPr>
              <m:t>log</m:t>
            </m:r>
          </m:e>
          <m:sub>
            <m:r>
              <m:t>10</m:t>
            </m:r>
          </m:sub>
        </m:sSub>
        <m:r>
          <m:t>X</m:t>
        </m:r>
      </m:oMath>
      <w:r>
        <w:t xml:space="preserve"> </w:t>
      </w:r>
      <w:r>
        <w:t xml:space="preserve">e as curvas usam</w:t>
      </w:r>
      <w:r>
        <w:t xml:space="preserve"> </w:t>
      </w:r>
      <m:oMath>
        <m:sSub>
          <m:e>
            <m:r>
              <m:t>f</m:t>
            </m:r>
          </m:e>
          <m:sub>
            <m:r>
              <m:t>Z</m:t>
            </m:r>
          </m:sub>
        </m:sSub>
        <m:d>
          <m:dPr>
            <m:begChr m:val="("/>
            <m:sepChr m:val=""/>
            <m:endChr m:val=")"/>
            <m:grow/>
          </m:dPr>
          <m:e>
            <m:r>
              <m:t>z</m:t>
            </m:r>
          </m:e>
        </m:d>
        <m:r>
          <m:rPr>
            <m:sty m:val="p"/>
          </m:rPr>
          <m:t>=</m:t>
        </m:r>
        <m:r>
          <m:rPr>
            <m:sty m:val="p"/>
          </m:rPr>
          <m:t>ln</m:t>
        </m:r>
        <m:d>
          <m:dPr>
            <m:begChr m:val="("/>
            <m:sepChr m:val=""/>
            <m:endChr m:val=")"/>
            <m:grow/>
          </m:dPr>
          <m:e>
            <m:r>
              <m:t>10</m:t>
            </m:r>
          </m:e>
        </m:d>
        <m:sSup>
          <m:e>
            <m:r>
              <m:t>10</m:t>
            </m:r>
          </m:e>
          <m:sup>
            <m:r>
              <m:t>z</m:t>
            </m:r>
          </m:sup>
        </m:sSup>
        <m:sSub>
          <m:e>
            <m:r>
              <m:t>f</m:t>
            </m:r>
          </m:e>
          <m:sub>
            <m:r>
              <m:t>X</m:t>
            </m:r>
          </m:sub>
        </m:sSub>
        <m:d>
          <m:dPr>
            <m:begChr m:val="("/>
            <m:sepChr m:val=""/>
            <m:endChr m:val=")"/>
            <m:grow/>
          </m:dPr>
          <m:e>
            <m:sSup>
              <m:e>
                <m:r>
                  <m:t>10</m:t>
                </m:r>
              </m:e>
              <m:sup>
                <m:r>
                  <m:t>z</m:t>
                </m:r>
              </m:sup>
            </m:sSup>
          </m:e>
        </m:d>
      </m:oMath>
      <w:r>
        <w:t xml:space="preserve">. Isso é apenas visualização: não se ajustou uma Skew-t a log-fluxos e não se confundem densidade por W/m² e densidade por unidade de logaritmo.</w:t>
      </w:r>
    </w:p>
    <w:tbl>
      <w:tblPr>
        <w:tblStyle w:val="Table"/>
        <w:tblW w:type="pct" w:w="5000"/>
        <w:tblLayout w:type="fixed"/>
        <w:tblLook w:firstRow="0" w:lastRow="0" w:firstColumn="0" w:lastColumn="0" w:noHBand="0" w:noVBand="0" w:val="0000"/>
      </w:tblPr>
      <w:tblGrid>
        <w:gridCol w:w="7920"/>
      </w:tblGrid>
      <w:tr>
        <w:tc>
          <w:tcPr/>
          <w:bookmarkStart w:id="206" w:name="fig-qq-comparados-1"/>
          <w:p>
            <w:pPr>
              <w:pStyle w:val="Compact"/>
              <w:jc w:val="center"/>
            </w:pPr>
            <w:r>
              <w:drawing>
                <wp:inline>
                  <wp:extent cx="5829300" cy="4996542"/>
                  <wp:effectExtent b="0" l="0" r="0" t="0"/>
                  <wp:docPr descr="" title="" id="204" name="Picture"/>
                  <a:graphic>
                    <a:graphicData uri="http://schemas.openxmlformats.org/drawingml/2006/picture">
                      <pic:pic>
                        <pic:nvPicPr>
                          <pic:cNvPr descr="figuras/comparacao_qq_gev.png" id="205" name="Picture"/>
                          <pic:cNvPicPr>
                            <a:picLocks noChangeArrowheads="1" noChangeAspect="1"/>
                          </pic:cNvPicPr>
                        </pic:nvPicPr>
                        <pic:blipFill>
                          <a:blip r:embed="rId203"/>
                          <a:stretch>
                            <a:fillRect/>
                          </a:stretch>
                        </pic:blipFill>
                        <pic:spPr bwMode="auto">
                          <a:xfrm>
                            <a:off x="0" y="0"/>
                            <a:ext cx="5829300" cy="4996542"/>
                          </a:xfrm>
                          <a:prstGeom prst="rect">
                            <a:avLst/>
                          </a:prstGeom>
                          <a:noFill/>
                          <a:ln w="9525">
                            <a:noFill/>
                            <a:headEnd/>
                            <a:tailEnd/>
                          </a:ln>
                        </pic:spPr>
                      </pic:pic>
                    </a:graphicData>
                  </a:graphic>
                </wp:inline>
              </w:drawing>
            </w:r>
          </w:p>
          <w:p>
            <w:pPr>
              <w:jc w:val="center"/>
            </w:pPr>
            <w:pPr>
              <w:jc w:val="start"/>
              <w:spacing w:before="200"/>
              <w:pStyle w:val="ImageCaption"/>
            </w:pPr>
            <w:r>
              <w:t xml:space="preserve">Figura 37: QQ-plots separados com as mesmas posições ppoints, eixos e limites comuns quando todos os quantis são positivos. A diagonal de 45 graus representa igualdade.</w:t>
            </w:r>
          </w:p>
          <w:bookmarkEnd w:id="206"/>
        </w:tc>
      </w:tr>
    </w:tbl>
    <w:tbl>
      <w:tblPr>
        <w:tblStyle w:val="Table"/>
        <w:tblW w:type="pct" w:w="5000"/>
        <w:tblLayout w:type="fixed"/>
        <w:tblLook w:firstRow="0" w:lastRow="0" w:firstColumn="0" w:lastColumn="0" w:noHBand="0" w:noVBand="0" w:val="0000"/>
      </w:tblPr>
      <w:tblGrid>
        <w:gridCol w:w="7920"/>
      </w:tblGrid>
      <w:tr>
        <w:tc>
          <w:tcPr/>
          <w:bookmarkStart w:id="210" w:name="fig-qq-comparados-2"/>
          <w:p>
            <w:pPr>
              <w:pStyle w:val="Compact"/>
              <w:jc w:val="center"/>
            </w:pPr>
            <w:r>
              <w:drawing>
                <wp:inline>
                  <wp:extent cx="5829300" cy="4996542"/>
                  <wp:effectExtent b="0" l="0" r="0" t="0"/>
                  <wp:docPr descr="" title="" id="208" name="Picture"/>
                  <a:graphic>
                    <a:graphicData uri="http://schemas.openxmlformats.org/drawingml/2006/picture">
                      <pic:pic>
                        <pic:nvPicPr>
                          <pic:cNvPr descr="figuras/comparacao_qq_skew_t.png" id="209" name="Picture"/>
                          <pic:cNvPicPr>
                            <a:picLocks noChangeArrowheads="1" noChangeAspect="1"/>
                          </pic:cNvPicPr>
                        </pic:nvPicPr>
                        <pic:blipFill>
                          <a:blip r:embed="rId207"/>
                          <a:stretch>
                            <a:fillRect/>
                          </a:stretch>
                        </pic:blipFill>
                        <pic:spPr bwMode="auto">
                          <a:xfrm>
                            <a:off x="0" y="0"/>
                            <a:ext cx="5829300" cy="4996542"/>
                          </a:xfrm>
                          <a:prstGeom prst="rect">
                            <a:avLst/>
                          </a:prstGeom>
                          <a:noFill/>
                          <a:ln w="9525">
                            <a:noFill/>
                            <a:headEnd/>
                            <a:tailEnd/>
                          </a:ln>
                        </pic:spPr>
                      </pic:pic>
                    </a:graphicData>
                  </a:graphic>
                </wp:inline>
              </w:drawing>
            </w:r>
          </w:p>
          <w:p>
            <w:pPr>
              <w:jc w:val="center"/>
            </w:pPr>
            <w:pPr>
              <w:jc w:val="start"/>
              <w:spacing w:before="200"/>
              <w:pStyle w:val="ImageCaption"/>
            </w:pPr>
            <w:r>
              <w:t xml:space="preserve">Figura 38: QQ-plots separados com as mesmas posições ppoints, eixos e limites comuns quando todos os quantis são positivos. A diagonal de 45 graus representa igualdade.</w:t>
            </w:r>
          </w:p>
          <w:bookmarkEnd w:id="210"/>
        </w:tc>
      </w:tr>
    </w:tbl>
    <w:tbl>
      <w:tblPr>
        <w:tblStyle w:val="Table"/>
        <w:tblW w:type="pct" w:w="5000"/>
        <w:tblLayout w:type="fixed"/>
        <w:tblLook w:firstRow="0" w:lastRow="0" w:firstColumn="0" w:lastColumn="0" w:noHBand="0" w:noVBand="0" w:val="0000"/>
      </w:tblPr>
      <w:tblGrid>
        <w:gridCol w:w="7920"/>
      </w:tblGrid>
      <w:tr>
        <w:tc>
          <w:tcPr/>
          <w:bookmarkStart w:id="214" w:name="fig-pp-comparados"/>
          <w:p>
            <w:pPr>
              <w:pStyle w:val="Compact"/>
              <w:jc w:val="center"/>
            </w:pPr>
            <w:r>
              <w:drawing>
                <wp:inline>
                  <wp:extent cx="5829300" cy="2975821"/>
                  <wp:effectExtent b="0" l="0" r="0" t="0"/>
                  <wp:docPr descr="" title="" id="212" name="Picture"/>
                  <a:graphic>
                    <a:graphicData uri="http://schemas.openxmlformats.org/drawingml/2006/picture">
                      <pic:pic>
                        <pic:nvPicPr>
                          <pic:cNvPr descr="figuras/comparacao_pp.png" id="213" name="Picture"/>
                          <pic:cNvPicPr>
                            <a:picLocks noChangeArrowheads="1" noChangeAspect="1"/>
                          </pic:cNvPicPr>
                        </pic:nvPicPr>
                        <pic:blipFill>
                          <a:blip r:embed="rId211"/>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39: PP-plots com os mesmos máximos e posições empíricas. O diagnóstico global não substitui o exame da cauda.</w:t>
            </w:r>
          </w:p>
          <w:bookmarkEnd w:id="214"/>
        </w:tc>
      </w:tr>
    </w:tbl>
    <w:tbl>
      <w:tblPr>
        <w:tblStyle w:val="Table"/>
        <w:tblW w:type="pct" w:w="5000"/>
        <w:tblLayout w:type="fixed"/>
        <w:tblLook w:firstRow="0" w:lastRow="0" w:firstColumn="0" w:lastColumn="0" w:noHBand="0" w:noVBand="0" w:val="0000"/>
      </w:tblPr>
      <w:tblGrid>
        <w:gridCol w:w="7920"/>
      </w:tblGrid>
      <w:tr>
        <w:tc>
          <w:tcPr/>
          <w:bookmarkStart w:id="215" w:name="tbl-metricas-comparadas"/>
          <w:p>
            <w:pPr>
              <w:jc w:val="center"/>
            </w:pPr>
            <w:pPr>
              <w:jc w:val="start"/>
              <w:spacing w:before="200"/>
              <w:pStyle w:val="ImageCaption"/>
            </w:pPr>
            <w:r>
              <w:t xml:space="preserve">Tabela 24: Diagnósticos descritivos: RMSE do PP e média de |log10(teórico/observado)| nos pontos com p &gt;= 0,90 do QQ; menor é melhor. Quantil do maior ponto em W m⁻².</w:t>
            </w:r>
          </w:p>
          <w:p>
            <w:pPr>
              <w:pStyle w:val="Compact"/>
              <w:jc w:val="center"/>
            </w:pPr>
            <w:r>
              <w:t xml:space="preserve">Diagnósticos descritivos: RMSE do PP e média de |log10(teórico/observado)| nos pontos com p &gt;= 0,90 do QQ; menor é melhor. Quantil do maior ponto em W m⁻².</w:t>
            </w:r>
          </w:p>
          <w:tbl>
            <w:tblPr>
              <w:tblStyle w:val="Table"/>
              <w:tblW w:type="pct" w:w="5000"/>
              <w:tblLayout w:type="fixed"/>
              <w:tblLook w:firstRow="1" w:lastRow="0" w:firstColumn="0" w:lastColumn="0" w:noHBand="0" w:noVBand="0" w:val="0020"/>
              <w:tblCaption w:val="Diagnósticos descritivos: RMSE do PP e média de |log10(teórico/observado)| nos pontos com p &gt;= 0,90 do QQ; menor é melhor. Quantil do maior ponto em W m⁻²."/>
            </w:tblPr>
            <w:tblGrid>
              <w:gridCol w:w="1848"/>
              <w:gridCol w:w="2112"/>
              <w:gridCol w:w="1848"/>
              <w:gridCol w:w="2112"/>
            </w:tblGrid>
            <w:tr>
              <w:trPr>
                <w:tblHeader w:val="on"/>
              </w:trPr>
              <w:tc>
                <w:tcPr/>
                <w:p>
                  <w:pPr>
                    <w:pStyle w:val="Compact"/>
                    <w:jc w:val="left"/>
                    <w:jc w:val="center"/>
                  </w:pPr>
                  <w:r>
                    <w:t xml:space="preserve">modelo</w:t>
                  </w:r>
                </w:p>
              </w:tc>
              <w:tc>
                <w:tcPr/>
                <w:p>
                  <w:pPr>
                    <w:pStyle w:val="Compact"/>
                    <w:jc w:val="left"/>
                    <w:jc w:val="center"/>
                  </w:pPr>
                  <w:r>
                    <w:t xml:space="preserve">rmse pp</w:t>
                  </w:r>
                </w:p>
              </w:tc>
              <w:tc>
                <w:tcPr/>
                <w:p>
                  <w:pPr>
                    <w:pStyle w:val="Compact"/>
                    <w:jc w:val="left"/>
                    <w:jc w:val="center"/>
                  </w:pPr>
                  <w:r>
                    <w:t xml:space="preserve">erro log cauda</w:t>
                  </w:r>
                </w:p>
              </w:tc>
              <w:tc>
                <w:tcPr/>
                <w:p>
                  <w:pPr>
                    <w:pStyle w:val="Compact"/>
                    <w:jc w:val="left"/>
                    <w:jc w:val="center"/>
                  </w:pPr>
                  <w:r>
                    <w:t xml:space="preserve">quantil maior ponto</w:t>
                  </w:r>
                </w:p>
              </w:tc>
            </w:tr>
            <w:tr>
              <w:tc>
                <w:tcPr/>
                <w:p>
                  <w:pPr>
                    <w:pStyle w:val="Compact"/>
                    <w:jc w:val="left"/>
                    <w:jc w:val="center"/>
                  </w:pPr>
                  <w:r>
                    <w:t xml:space="preserve">GEV</w:t>
                  </w:r>
                </w:p>
              </w:tc>
              <w:tc>
                <w:tcPr/>
                <w:p>
                  <w:pPr>
                    <w:pStyle w:val="Compact"/>
                    <w:jc w:val="left"/>
                    <w:jc w:val="center"/>
                  </w:pPr>
                  <w:r>
                    <w:t xml:space="preserve">0.07587</w:t>
                  </w:r>
                </w:p>
              </w:tc>
              <w:tc>
                <w:tcPr/>
                <w:p>
                  <w:pPr>
                    <w:pStyle w:val="Compact"/>
                    <w:jc w:val="left"/>
                    <w:jc w:val="center"/>
                  </w:pPr>
                  <w:r>
                    <w:t xml:space="preserve">1.757</w:t>
                  </w:r>
                </w:p>
              </w:tc>
              <w:tc>
                <w:tcPr/>
                <w:p>
                  <w:pPr>
                    <w:pStyle w:val="Compact"/>
                    <w:jc w:val="left"/>
                    <w:jc w:val="center"/>
                  </w:pPr>
                  <w:r>
                    <w:t xml:space="preserve">5.918</w:t>
                  </w:r>
                </w:p>
              </w:tc>
            </w:tr>
            <w:tr>
              <w:tc>
                <w:tcPr/>
                <w:p>
                  <w:pPr>
                    <w:pStyle w:val="Compact"/>
                    <w:jc w:val="left"/>
                    <w:jc w:val="center"/>
                  </w:pPr>
                  <w:r>
                    <w:t xml:space="preserve">Skew-t</w:t>
                  </w:r>
                </w:p>
              </w:tc>
              <w:tc>
                <w:tcPr/>
                <w:p>
                  <w:pPr>
                    <w:pStyle w:val="Compact"/>
                    <w:jc w:val="left"/>
                    <w:jc w:val="center"/>
                  </w:pPr>
                  <w:r>
                    <w:t xml:space="preserve">0.09711</w:t>
                  </w:r>
                </w:p>
              </w:tc>
              <w:tc>
                <w:tcPr/>
                <w:p>
                  <w:pPr>
                    <w:pStyle w:val="Compact"/>
                    <w:jc w:val="left"/>
                    <w:jc w:val="center"/>
                  </w:pPr>
                  <w:r>
                    <w:t xml:space="preserve">1.812</w:t>
                  </w:r>
                </w:p>
              </w:tc>
              <w:tc>
                <w:tcPr/>
                <w:p>
                  <w:pPr>
                    <w:pStyle w:val="Compact"/>
                    <w:jc w:val="left"/>
                    <w:jc w:val="center"/>
                  </w:pPr>
                  <w:r>
                    <w:t xml:space="preserve">15.52</w:t>
                  </w:r>
                </w:p>
              </w:tc>
            </w:tr>
          </w:tbl>
          <w:bookmarkEnd w:id="215"/>
          <w:p/>
        </w:tc>
      </w:tr>
    </w:tbl>
    <w:p>
      <w:pPr>
        <w:pStyle w:val="BodyText"/>
      </w:pPr>
      <w:r>
        <w:t xml:space="preserve">O RMSE do PP é 0.07587 para GEV e 0.09711 para Skew-t. Esses valores resumem discrepâncias empíricas, sem valor p nem certificação de ajuste. A comparação da parte superior do QQ favorece relativamente</w:t>
      </w:r>
      <w:r>
        <w:t xml:space="preserve"> </w:t>
      </w:r>
      <w:r>
        <w:rPr>
          <w:b/>
          <w:bCs/>
        </w:rPr>
        <w:t xml:space="preserve">GEV</w:t>
      </w:r>
      <w:r>
        <w:t xml:space="preserve"> </w:t>
      </w:r>
      <w:r>
        <w:t xml:space="preserve">pela métrica declarada, mas a escala do desvio precisa ser considerada: o maior valor observado é 1.464e-03 W m⁻²; os quantis teóricos na posição desse ponto são 5.918e+00 e 1.552e+01 W m⁻², respectivamente. Portanto, um modelo pode ser relativamente menos inadequado e ainda extrapolar muito mal.</w:t>
      </w:r>
    </w:p>
    <w:bookmarkEnd w:id="216"/>
    <w:bookmarkEnd w:id="217"/>
    <w:bookmarkStart w:id="233" w:name="comparação-gev-skew-t"/>
    <w:p>
      <w:pPr>
        <w:pStyle w:val="Heading1"/>
      </w:pPr>
      <w:r>
        <w:t xml:space="preserve">10. Comparação GEV × Skew-t</w:t>
      </w:r>
    </w:p>
    <w:bookmarkStart w:id="219" w:name="Xfd6cda962af9ec949d2578bf7dcea4f8bb46bcd"/>
    <w:p>
      <w:pPr>
        <w:pStyle w:val="Heading2"/>
      </w:pPr>
      <w:r>
        <w:t xml:space="preserve">10.1 Verossimilhança, AIC e BIC na mesma unidade</w:t>
      </w:r>
    </w:p>
    <w:p>
      <w:pPr>
        <w:pStyle w:val="FirstParagraph"/>
      </w:pPr>
      <w:r>
        <w:t xml:space="preserve">Para</w:t>
      </w:r>
      <w:r>
        <w:t xml:space="preserve"> </w:t>
      </w:r>
      <m:oMath>
        <m:r>
          <m:t>n</m:t>
        </m:r>
      </m:oMath>
      <w:r>
        <w:t xml:space="preserve"> </w:t>
      </w:r>
      <w:r>
        <w:t xml:space="preserve">observações e</w:t>
      </w:r>
      <w:r>
        <w:t xml:space="preserve"> </w:t>
      </w:r>
      <m:oMath>
        <m:r>
          <m:t>k</m:t>
        </m:r>
      </m:oMath>
      <w:r>
        <w:t xml:space="preserve"> </w:t>
      </w:r>
      <w:r>
        <w:t xml:space="preserve">parâmetros,</w:t>
      </w:r>
      <w:r>
        <w:t xml:space="preserve"> </w:t>
      </w:r>
      <m:oMath>
        <m:r>
          <m:t>A</m:t>
        </m:r>
        <m:r>
          <m:t>I</m:t>
        </m:r>
        <m:r>
          <m:t>C</m:t>
        </m:r>
        <m:r>
          <m:rPr>
            <m:sty m:val="p"/>
          </m:rPr>
          <m:t>=</m:t>
        </m:r>
        <m:r>
          <m:rPr>
            <m:sty m:val="p"/>
          </m:rPr>
          <m:t>−</m:t>
        </m:r>
        <m:r>
          <m:t>2</m:t>
        </m:r>
        <m:r>
          <m:rPr>
            <m:sty m:val="p"/>
          </m:rPr>
          <m:t>ℓ</m:t>
        </m:r>
        <m:r>
          <m:rPr>
            <m:sty m:val="p"/>
          </m:rPr>
          <m:t>+</m:t>
        </m:r>
        <m:r>
          <m:t>2</m:t>
        </m:r>
        <m:r>
          <m:t>k</m:t>
        </m:r>
      </m:oMath>
      <w:r>
        <w:t xml:space="preserve"> </w:t>
      </w:r>
      <w:r>
        <w:t xml:space="preserve">e</w:t>
      </w:r>
      <w:r>
        <w:t xml:space="preserve"> </w:t>
      </w:r>
      <m:oMath>
        <m:r>
          <m:t>B</m:t>
        </m:r>
        <m:r>
          <m:t>I</m:t>
        </m:r>
        <m:r>
          <m:t>C</m:t>
        </m:r>
        <m:r>
          <m:rPr>
            <m:sty m:val="p"/>
          </m:rPr>
          <m:t>=</m:t>
        </m:r>
        <m:r>
          <m:rPr>
            <m:sty m:val="p"/>
          </m:rPr>
          <m:t>−</m:t>
        </m:r>
        <m:r>
          <m:t>2</m:t>
        </m:r>
        <m:r>
          <m:rPr>
            <m:sty m:val="p"/>
          </m:rPr>
          <m:t>ℓ</m:t>
        </m:r>
        <m:r>
          <m:rPr>
            <m:sty m:val="p"/>
          </m:rPr>
          <m:t>+</m:t>
        </m:r>
        <m:r>
          <m:t>k</m:t>
        </m:r>
        <m:r>
          <m:rPr>
            <m:sty m:val="p"/>
          </m:rPr>
          <m:t>log</m:t>
        </m:r>
        <m:r>
          <m:t>n</m:t>
        </m:r>
      </m:oMath>
      <w:r>
        <w:t xml:space="preserve">. A GEV tem três parâmetros; a Skew-t tem quatro. Para</w:t>
      </w:r>
      <w:r>
        <w:t xml:space="preserve"> </w:t>
      </w:r>
      <m:oMath>
        <m:r>
          <m:t>Y</m:t>
        </m:r>
        <m:r>
          <m:rPr>
            <m:sty m:val="p"/>
          </m:rPr>
          <m:t>=</m:t>
        </m:r>
        <m:r>
          <m:t>X</m:t>
        </m:r>
        <m:r>
          <m:rPr>
            <m:sty m:val="p"/>
          </m:rPr>
          <m:t>/</m:t>
        </m:r>
        <m:r>
          <m:t>s</m:t>
        </m:r>
      </m:oMath>
      <w:r>
        <w:t xml:space="preserve">, a reconversão é</w:t>
      </w:r>
      <w:r>
        <w:t xml:space="preserve"> </w:t>
      </w:r>
      <m:oMath>
        <m:sSub>
          <m:e>
            <m:r>
              <m:rPr>
                <m:sty m:val="p"/>
              </m:rPr>
              <m:t>ℓ</m:t>
            </m:r>
          </m:e>
          <m:sub>
            <m:r>
              <m:t>X</m:t>
            </m:r>
          </m:sub>
        </m:sSub>
        <m:r>
          <m:rPr>
            <m:sty m:val="p"/>
          </m:rPr>
          <m:t>=</m:t>
        </m:r>
        <m:sSub>
          <m:e>
            <m:r>
              <m:rPr>
                <m:sty m:val="p"/>
              </m:rPr>
              <m:t>ℓ</m:t>
            </m:r>
          </m:e>
          <m:sub>
            <m:r>
              <m:t>Y</m:t>
            </m:r>
          </m:sub>
        </m:sSub>
        <m:r>
          <m:rPr>
            <m:sty m:val="p"/>
          </m:rPr>
          <m:t>−</m:t>
        </m:r>
        <m:r>
          <m:t>n</m:t>
        </m:r>
        <m:r>
          <m:rPr>
            <m:sty m:val="p"/>
          </m:rPr>
          <m:t>log</m:t>
        </m:r>
        <m:r>
          <m:t>s</m:t>
        </m:r>
      </m:oMath>
      <w:r>
        <w:t xml:space="preserve">. Essa correção é aplicada a ambos, e a log-verossimilhança Skew-t é também conferida diretamente com a densidade na unidade original. Por isso os números absolutos abaixo diferem dos critérios da comparação estacionária/linear anterior, expressos na escala numérica reescalonada; as diferenças entre modelos calculadas de forma coerente não dependem dessa mudança de unidade.</w:t>
      </w:r>
    </w:p>
    <w:tbl>
      <w:tblPr>
        <w:tblStyle w:val="Table"/>
        <w:tblW w:type="pct" w:w="5000"/>
        <w:tblLayout w:type="fixed"/>
        <w:tblLook w:firstRow="0" w:lastRow="0" w:firstColumn="0" w:lastColumn="0" w:noHBand="0" w:noVBand="0" w:val="0000"/>
      </w:tblPr>
      <w:tblGrid>
        <w:gridCol w:w="7920"/>
      </w:tblGrid>
      <w:tr>
        <w:tc>
          <w:tcPr/>
          <w:bookmarkStart w:id="218" w:name="tbl-comparacao-skew"/>
          <w:p>
            <w:pPr>
              <w:jc w:val="center"/>
            </w:pPr>
            <w:pPr>
              <w:jc w:val="start"/>
              <w:spacing w:before="200"/>
              <w:pStyle w:val="ImageCaption"/>
            </w:pPr>
            <w:r>
              <w:t xml:space="preserve">Tabela 25: Mesmas observações e escala W/m². Para Skew-t não regular, AIC/BIC são cálculos nominais/descritivos, sem justificação assintótica clássica validada.</w:t>
            </w:r>
          </w:p>
          <w:p>
            <w:pPr>
              <w:pStyle w:val="Compact"/>
              <w:jc w:val="center"/>
            </w:pPr>
            <w:r>
              <w:t xml:space="preserve">Mesmas observações e escala W/m². Para Skew-t não regular, AIC/BIC são cálculos nominais/descritivos, sem justificação assintótica clássica validada.</w:t>
            </w:r>
          </w:p>
          <w:tbl>
            <w:tblPr>
              <w:tblStyle w:val="Table"/>
              <w:tblW w:type="pct" w:w="5000"/>
              <w:tblLayout w:type="fixed"/>
              <w:tblLook w:firstRow="1" w:lastRow="0" w:firstColumn="0" w:lastColumn="0" w:noHBand="0" w:noVBand="0" w:val="0020"/>
              <w:tblCaption w:val="Mesmas observações e escala W/m². Para Skew-t não regular, AIC/BIC são cálculos nominais/descritivos, sem justificação assintótica clássica validada."/>
            </w:tblPr>
            <w:tblGrid>
              <w:gridCol w:w="1320"/>
              <w:gridCol w:w="1320"/>
              <w:gridCol w:w="1320"/>
              <w:gridCol w:w="1320"/>
              <w:gridCol w:w="1320"/>
              <w:gridCol w:w="1320"/>
            </w:tblGrid>
            <w:tr>
              <w:trPr>
                <w:tblHeader w:val="on"/>
              </w:trPr>
              <w:tc>
                <w:tcPr/>
                <w:p>
                  <w:pPr>
                    <w:pStyle w:val="Compact"/>
                    <w:jc w:val="left"/>
                    <w:jc w:val="center"/>
                  </w:pPr>
                  <w:r>
                    <w:t xml:space="preserve">modelo</w:t>
                  </w:r>
                </w:p>
              </w:tc>
              <w:tc>
                <w:tcPr/>
                <w:p>
                  <w:pPr>
                    <w:pStyle w:val="Compact"/>
                    <w:jc w:val="left"/>
                    <w:jc w:val="center"/>
                  </w:pPr>
                  <w:r>
                    <w:t xml:space="preserve">n</w:t>
                  </w:r>
                </w:p>
              </w:tc>
              <w:tc>
                <w:tcPr/>
                <w:p>
                  <w:pPr>
                    <w:pStyle w:val="Compact"/>
                    <w:jc w:val="left"/>
                    <w:jc w:val="center"/>
                  </w:pPr>
                  <w:r>
                    <w:t xml:space="preserve">k</w:t>
                  </w:r>
                </w:p>
              </w:tc>
              <w:tc>
                <w:tcPr/>
                <w:p>
                  <w:pPr>
                    <w:pStyle w:val="Compact"/>
                    <w:jc w:val="left"/>
                    <w:jc w:val="center"/>
                  </w:pPr>
                  <w:r>
                    <w:t xml:space="preserve">logLik</w:t>
                  </w:r>
                </w:p>
              </w:tc>
              <w:tc>
                <w:tcPr/>
                <w:p>
                  <w:pPr>
                    <w:pStyle w:val="Compact"/>
                    <w:jc w:val="left"/>
                    <w:jc w:val="center"/>
                  </w:pPr>
                  <w:r>
                    <w:t xml:space="preserve">AIC</w:t>
                  </w:r>
                </w:p>
              </w:tc>
              <w:tc>
                <w:tcPr/>
                <w:p>
                  <w:pPr>
                    <w:pStyle w:val="Compact"/>
                    <w:jc w:val="left"/>
                    <w:jc w:val="center"/>
                  </w:pPr>
                  <w:r>
                    <w:t xml:space="preserve">BIC</w:t>
                  </w:r>
                </w:p>
              </w:tc>
            </w:tr>
            <w:tr>
              <w:tc>
                <w:tcPr/>
                <w:p>
                  <w:pPr>
                    <w:pStyle w:val="Compact"/>
                    <w:jc w:val="left"/>
                    <w:jc w:val="center"/>
                  </w:pPr>
                  <w:r>
                    <w:t xml:space="preserve">GEV</w:t>
                  </w:r>
                </w:p>
              </w:tc>
              <w:tc>
                <w:tcPr/>
                <w:p>
                  <w:pPr>
                    <w:pStyle w:val="Compact"/>
                    <w:jc w:val="left"/>
                    <w:jc w:val="center"/>
                  </w:pPr>
                  <w:r>
                    <w:t xml:space="preserve">94</w:t>
                  </w:r>
                </w:p>
              </w:tc>
              <w:tc>
                <w:tcPr/>
                <w:p>
                  <w:pPr>
                    <w:pStyle w:val="Compact"/>
                    <w:jc w:val="left"/>
                    <w:jc w:val="center"/>
                  </w:pPr>
                  <w:r>
                    <w:t xml:space="preserve">3</w:t>
                  </w:r>
                </w:p>
              </w:tc>
              <w:tc>
                <w:tcPr/>
                <w:p>
                  <w:pPr>
                    <w:pStyle w:val="Compact"/>
                    <w:jc w:val="left"/>
                    <w:jc w:val="center"/>
                  </w:pPr>
                  <w:r>
                    <w:t xml:space="preserve">826.1</w:t>
                  </w:r>
                </w:p>
              </w:tc>
              <w:tc>
                <w:tcPr/>
                <w:p>
                  <w:pPr>
                    <w:pStyle w:val="Compact"/>
                    <w:jc w:val="left"/>
                    <w:jc w:val="center"/>
                  </w:pPr>
                  <w:r>
                    <w:t xml:space="preserve">-1646</w:t>
                  </w:r>
                </w:p>
              </w:tc>
              <w:tc>
                <w:tcPr/>
                <w:p>
                  <w:pPr>
                    <w:pStyle w:val="Compact"/>
                    <w:jc w:val="left"/>
                    <w:jc w:val="center"/>
                  </w:pPr>
                  <w:r>
                    <w:t xml:space="preserve">-1639</w:t>
                  </w:r>
                </w:p>
              </w:tc>
            </w:tr>
            <w:tr>
              <w:tc>
                <w:tcPr/>
                <w:p>
                  <w:pPr>
                    <w:pStyle w:val="Compact"/>
                    <w:jc w:val="left"/>
                    <w:jc w:val="center"/>
                  </w:pPr>
                  <w:r>
                    <w:t xml:space="preserve">Skew-t</w:t>
                  </w:r>
                </w:p>
              </w:tc>
              <w:tc>
                <w:tcPr/>
                <w:p>
                  <w:pPr>
                    <w:pStyle w:val="Compact"/>
                    <w:jc w:val="left"/>
                    <w:jc w:val="center"/>
                  </w:pPr>
                  <w:r>
                    <w:t xml:space="preserve">94</w:t>
                  </w:r>
                </w:p>
              </w:tc>
              <w:tc>
                <w:tcPr/>
                <w:p>
                  <w:pPr>
                    <w:pStyle w:val="Compact"/>
                    <w:jc w:val="left"/>
                    <w:jc w:val="center"/>
                  </w:pPr>
                  <w:r>
                    <w:t xml:space="preserve">4</w:t>
                  </w:r>
                </w:p>
              </w:tc>
              <w:tc>
                <w:tcPr/>
                <w:p>
                  <w:pPr>
                    <w:pStyle w:val="Compact"/>
                    <w:jc w:val="left"/>
                    <w:jc w:val="center"/>
                  </w:pPr>
                  <w:r>
                    <w:t xml:space="preserve">816.7</w:t>
                  </w:r>
                </w:p>
              </w:tc>
              <w:tc>
                <w:tcPr/>
                <w:p>
                  <w:pPr>
                    <w:pStyle w:val="Compact"/>
                    <w:jc w:val="left"/>
                    <w:jc w:val="center"/>
                  </w:pPr>
                  <w:r>
                    <w:t xml:space="preserve">-1625</w:t>
                  </w:r>
                </w:p>
              </w:tc>
              <w:tc>
                <w:tcPr/>
                <w:p>
                  <w:pPr>
                    <w:pStyle w:val="Compact"/>
                    <w:jc w:val="left"/>
                    <w:jc w:val="center"/>
                  </w:pPr>
                  <w:r>
                    <w:t xml:space="preserve">-1615</w:t>
                  </w:r>
                </w:p>
              </w:tc>
            </w:tr>
          </w:tbl>
          <w:bookmarkEnd w:id="218"/>
          <w:p/>
        </w:tc>
      </w:tr>
    </w:tbl>
    <w:p>
      <w:pPr>
        <w:pStyle w:val="BodyText"/>
      </w:pPr>
      <w:r>
        <w:t xml:space="preserve">Definindo diferenças como</w:t>
      </w:r>
      <w:r>
        <w:t xml:space="preserve"> </w:t>
      </w:r>
      <w:r>
        <w:rPr>
          <w:b/>
          <w:bCs/>
        </w:rPr>
        <w:t xml:space="preserve">Skew-t menos GEV</w:t>
      </w:r>
      <w:r>
        <w:t xml:space="preserve">,</w:t>
      </w:r>
      <w:r>
        <w:t xml:space="preserve"> </w:t>
      </w:r>
      <m:oMath>
        <m:r>
          <m:t>Δ</m:t>
        </m:r>
        <m:r>
          <m:t>A</m:t>
        </m:r>
        <m:r>
          <m:t>I</m:t>
        </m:r>
        <m:r>
          <m:t>C</m:t>
        </m:r>
        <m:r>
          <m:rPr>
            <m:sty m:val="p"/>
          </m:rPr>
          <m:t>=</m:t>
        </m:r>
      </m:oMath>
      <w:r>
        <w:t xml:space="preserve"> </w:t>
      </w:r>
      <w:r>
        <w:t xml:space="preserve">20.902 e</w:t>
      </w:r>
      <w:r>
        <w:t xml:space="preserve"> </w:t>
      </w:r>
      <m:oMath>
        <m:r>
          <m:t>Δ</m:t>
        </m:r>
        <m:r>
          <m:t>B</m:t>
        </m:r>
        <m:r>
          <m:t>I</m:t>
        </m:r>
        <m:r>
          <m:t>C</m:t>
        </m:r>
        <m:r>
          <m:rPr>
            <m:sty m:val="p"/>
          </m:rPr>
          <m:t>=</m:t>
        </m:r>
      </m:oMath>
      <w:r>
        <w:t xml:space="preserve"> </w:t>
      </w:r>
      <w:r>
        <w:t xml:space="preserve">23.446. Valores positivos favorecem relativamente a GEV. Não se utiliza LRT entre essas distribuições. Além da não regularidade eventual da Skew-t, a correlação mensal residual e a heterogeneidade entre fases solares limitam a interpretação clássica estrita de AIC/BIC: a soma de log-densidades marginais não é uma verossimilhança temporal conjunta validada. Uma diferença de critério não demonstra adequação da cauda nem segurança para previsão.</w:t>
      </w:r>
    </w:p>
    <w:bookmarkEnd w:id="219"/>
    <w:bookmarkStart w:id="226" w:name="cauda-superior"/>
    <w:p>
      <w:pPr>
        <w:pStyle w:val="Heading2"/>
      </w:pPr>
      <w:r>
        <w:t xml:space="preserve">10.2 Cauda superior</w:t>
      </w:r>
    </w:p>
    <w:tbl>
      <w:tblPr>
        <w:tblStyle w:val="Table"/>
        <w:tblW w:type="pct" w:w="5000"/>
        <w:tblLayout w:type="fixed"/>
        <w:tblLook w:firstRow="0" w:lastRow="0" w:firstColumn="0" w:lastColumn="0" w:noHBand="0" w:noVBand="0" w:val="0000"/>
      </w:tblPr>
      <w:tblGrid>
        <w:gridCol w:w="7920"/>
      </w:tblGrid>
      <w:tr>
        <w:tc>
          <w:tcPr/>
          <w:bookmarkStart w:id="220" w:name="tbl-cauda-comparada"/>
          <w:p>
            <w:pPr>
              <w:jc w:val="center"/>
            </w:pPr>
            <w:pPr>
              <w:jc w:val="start"/>
              <w:spacing w:before="200"/>
              <w:pStyle w:val="ImageCaption"/>
            </w:pPr>
            <w:r>
              <w:t xml:space="preserve">Tabela 26: Quantis dos mesmos máximos, em W m⁻². Empírico: interpolação tipo 7. n esperado acima = n(1-p), sem correção por dependência.</w:t>
            </w:r>
          </w:p>
          <w:p>
            <w:pPr>
              <w:pStyle w:val="Compact"/>
              <w:jc w:val="center"/>
            </w:pPr>
            <w:r>
              <w:t xml:space="preserve">Quantis dos mesmos máximos, em W m⁻². Empírico: interpolação tipo 7. n esperado acima = n(1-p), sem correção por dependência.</w:t>
            </w:r>
          </w:p>
          <w:tbl>
            <w:tblPr>
              <w:tblStyle w:val="Table"/>
              <w:tblW w:type="pct" w:w="5000"/>
              <w:tblLayout w:type="fixed"/>
              <w:tblLook w:firstRow="1" w:lastRow="0" w:firstColumn="0" w:lastColumn="0" w:noHBand="0" w:noVBand="0" w:val="0020"/>
              <w:tblCaption w:val="Quantis dos mesmos máximos, em W m⁻². Empírico: interpolação tipo 7. n esperado acima = n(1-p), sem correção por dependência."/>
            </w:tblPr>
            <w:tblGrid>
              <w:gridCol w:w="2174"/>
              <w:gridCol w:w="1397"/>
              <w:gridCol w:w="1552"/>
              <w:gridCol w:w="1397"/>
              <w:gridCol w:w="1397"/>
            </w:tblGrid>
            <w:tr>
              <w:trPr>
                <w:tblHeader w:val="on"/>
              </w:trPr>
              <w:tc>
                <w:tcPr/>
                <w:p>
                  <w:pPr>
                    <w:pStyle w:val="Compact"/>
                    <w:jc w:val="left"/>
                    <w:jc w:val="center"/>
                  </w:pPr>
                  <w:r>
                    <w:t xml:space="preserve">probabilidade</w:t>
                  </w:r>
                </w:p>
              </w:tc>
              <w:tc>
                <w:tcPr/>
                <w:p>
                  <w:pPr>
                    <w:pStyle w:val="Compact"/>
                    <w:jc w:val="left"/>
                    <w:jc w:val="center"/>
                  </w:pPr>
                  <w:r>
                    <w:t xml:space="preserve">n esperado acima</w:t>
                  </w:r>
                </w:p>
              </w:tc>
              <w:tc>
                <w:tcPr/>
                <w:p>
                  <w:pPr>
                    <w:pStyle w:val="Compact"/>
                    <w:jc w:val="left"/>
                    <w:jc w:val="center"/>
                  </w:pPr>
                  <w:r>
                    <w:t xml:space="preserve">empirico</w:t>
                  </w:r>
                </w:p>
              </w:tc>
              <w:tc>
                <w:tcPr/>
                <w:p>
                  <w:pPr>
                    <w:pStyle w:val="Compact"/>
                    <w:jc w:val="left"/>
                    <w:jc w:val="center"/>
                  </w:pPr>
                  <w:r>
                    <w:t xml:space="preserve">GEV</w:t>
                  </w:r>
                </w:p>
              </w:tc>
              <w:tc>
                <w:tcPr/>
                <w:p>
                  <w:pPr>
                    <w:pStyle w:val="Compact"/>
                    <w:jc w:val="left"/>
                    <w:jc w:val="center"/>
                  </w:pPr>
                  <w:r>
                    <w:t xml:space="preserve">Skew t</w:t>
                  </w:r>
                </w:p>
              </w:tc>
            </w:tr>
            <w:tr>
              <w:tc>
                <w:tcPr/>
                <w:p>
                  <w:pPr>
                    <w:pStyle w:val="Compact"/>
                    <w:jc w:val="left"/>
                    <w:jc w:val="center"/>
                  </w:pPr>
                  <w:r>
                    <w:t xml:space="preserve">0.9</w:t>
                  </w:r>
                </w:p>
              </w:tc>
              <w:tc>
                <w:tcPr/>
                <w:p>
                  <w:pPr>
                    <w:pStyle w:val="Compact"/>
                    <w:jc w:val="left"/>
                    <w:jc w:val="center"/>
                  </w:pPr>
                  <w:r>
                    <w:t xml:space="preserve">9.4</w:t>
                  </w:r>
                </w:p>
              </w:tc>
              <w:tc>
                <w:tcPr/>
                <w:p>
                  <w:pPr>
                    <w:pStyle w:val="Compact"/>
                    <w:jc w:val="left"/>
                    <w:jc w:val="center"/>
                  </w:pPr>
                  <w:r>
                    <w:t xml:space="preserve">2.190e-04</w:t>
                  </w:r>
                </w:p>
              </w:tc>
              <w:tc>
                <w:tcPr/>
                <w:p>
                  <w:pPr>
                    <w:pStyle w:val="Compact"/>
                    <w:jc w:val="left"/>
                    <w:jc w:val="center"/>
                  </w:pPr>
                  <w:r>
                    <w:t xml:space="preserve">0.001516</w:t>
                  </w:r>
                </w:p>
              </w:tc>
              <w:tc>
                <w:tcPr/>
                <w:p>
                  <w:pPr>
                    <w:pStyle w:val="Compact"/>
                    <w:jc w:val="left"/>
                    <w:jc w:val="center"/>
                  </w:pPr>
                  <w:r>
                    <w:t xml:space="preserve">0.001163</w:t>
                  </w:r>
                </w:p>
              </w:tc>
            </w:tr>
            <w:tr>
              <w:tc>
                <w:tcPr/>
                <w:p>
                  <w:pPr>
                    <w:pStyle w:val="Compact"/>
                    <w:jc w:val="left"/>
                    <w:jc w:val="center"/>
                  </w:pPr>
                  <w:r>
                    <w:t xml:space="preserve">0.95</w:t>
                  </w:r>
                </w:p>
              </w:tc>
              <w:tc>
                <w:tcPr/>
                <w:p>
                  <w:pPr>
                    <w:pStyle w:val="Compact"/>
                    <w:jc w:val="left"/>
                    <w:jc w:val="center"/>
                  </w:pPr>
                  <w:r>
                    <w:t xml:space="preserve">4.7</w:t>
                  </w:r>
                </w:p>
              </w:tc>
              <w:tc>
                <w:tcPr/>
                <w:p>
                  <w:pPr>
                    <w:pStyle w:val="Compact"/>
                    <w:jc w:val="left"/>
                    <w:jc w:val="center"/>
                  </w:pPr>
                  <w:r>
                    <w:t xml:space="preserve">3.736e-04</w:t>
                  </w:r>
                </w:p>
              </w:tc>
              <w:tc>
                <w:tcPr/>
                <w:p>
                  <w:pPr>
                    <w:pStyle w:val="Compact"/>
                    <w:jc w:val="left"/>
                    <w:jc w:val="center"/>
                  </w:pPr>
                  <w:r>
                    <w:t xml:space="preserve">0.01115</w:t>
                  </w:r>
                </w:p>
              </w:tc>
              <w:tc>
                <w:tcPr/>
                <w:p>
                  <w:pPr>
                    <w:pStyle w:val="Compact"/>
                    <w:jc w:val="left"/>
                    <w:jc w:val="center"/>
                  </w:pPr>
                  <w:r>
                    <w:t xml:space="preserve">0.01097</w:t>
                  </w:r>
                </w:p>
              </w:tc>
            </w:tr>
            <w:tr>
              <w:tc>
                <w:tcPr/>
                <w:p>
                  <w:pPr>
                    <w:pStyle w:val="Compact"/>
                    <w:jc w:val="left"/>
                    <w:jc w:val="center"/>
                  </w:pPr>
                  <w:r>
                    <w:t xml:space="preserve">0.975</w:t>
                  </w:r>
                </w:p>
              </w:tc>
              <w:tc>
                <w:tcPr/>
                <w:p>
                  <w:pPr>
                    <w:pStyle w:val="Compact"/>
                    <w:jc w:val="left"/>
                    <w:jc w:val="center"/>
                  </w:pPr>
                  <w:r>
                    <w:t xml:space="preserve">2.35</w:t>
                  </w:r>
                </w:p>
              </w:tc>
              <w:tc>
                <w:tcPr/>
                <w:p>
                  <w:pPr>
                    <w:pStyle w:val="Compact"/>
                    <w:jc w:val="left"/>
                    <w:jc w:val="center"/>
                  </w:pPr>
                  <w:r>
                    <w:t xml:space="preserve">7.472e-04</w:t>
                  </w:r>
                </w:p>
              </w:tc>
              <w:tc>
                <w:tcPr/>
                <w:p>
                  <w:pPr>
                    <w:pStyle w:val="Compact"/>
                    <w:jc w:val="left"/>
                    <w:jc w:val="center"/>
                  </w:pPr>
                  <w:r>
                    <w:t xml:space="preserve">0.07891</w:t>
                  </w:r>
                </w:p>
              </w:tc>
              <w:tc>
                <w:tcPr/>
                <w:p>
                  <w:pPr>
                    <w:pStyle w:val="Compact"/>
                    <w:jc w:val="left"/>
                    <w:jc w:val="center"/>
                  </w:pPr>
                  <w:r>
                    <w:t xml:space="preserve">0.1034</w:t>
                  </w:r>
                </w:p>
              </w:tc>
            </w:tr>
            <w:tr>
              <w:tc>
                <w:tcPr/>
                <w:p>
                  <w:pPr>
                    <w:pStyle w:val="Compact"/>
                    <w:jc w:val="left"/>
                    <w:jc w:val="center"/>
                  </w:pPr>
                  <w:r>
                    <w:t xml:space="preserve">0.99</w:t>
                  </w:r>
                </w:p>
              </w:tc>
              <w:tc>
                <w:tcPr/>
                <w:p>
                  <w:pPr>
                    <w:pStyle w:val="Compact"/>
                    <w:jc w:val="left"/>
                    <w:jc w:val="center"/>
                  </w:pPr>
                  <w:r>
                    <w:t xml:space="preserve">0.94</w:t>
                  </w:r>
                </w:p>
              </w:tc>
              <w:tc>
                <w:tcPr/>
                <w:p>
                  <w:pPr>
                    <w:pStyle w:val="Compact"/>
                    <w:jc w:val="left"/>
                    <w:jc w:val="center"/>
                  </w:pPr>
                  <w:r>
                    <w:t xml:space="preserve">9.342e-04</w:t>
                  </w:r>
                </w:p>
              </w:tc>
              <w:tc>
                <w:tcPr/>
                <w:p>
                  <w:pPr>
                    <w:pStyle w:val="Compact"/>
                    <w:jc w:val="left"/>
                    <w:jc w:val="center"/>
                  </w:pPr>
                  <w:r>
                    <w:t xml:space="preserve">1.022</w:t>
                  </w:r>
                </w:p>
              </w:tc>
              <w:tc>
                <w:tcPr/>
                <w:p>
                  <w:pPr>
                    <w:pStyle w:val="Compact"/>
                    <w:jc w:val="left"/>
                    <w:jc w:val="center"/>
                  </w:pPr>
                  <w:r>
                    <w:t xml:space="preserve">2.01</w:t>
                  </w:r>
                </w:p>
              </w:tc>
            </w:tr>
          </w:tbl>
          <w:bookmarkEnd w:id="22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tbl-cauda-erros"/>
          <w:p>
            <w:pPr>
              <w:jc w:val="center"/>
            </w:pPr>
            <w:pPr>
              <w:jc w:val="start"/>
              <w:spacing w:before="200"/>
              <w:pStyle w:val="ImageCaption"/>
            </w:pPr>
            <w:r>
              <w:t xml:space="preserve">Tabela 27: Erros relativos (modelo/empírico - 1), em fração, não porcentagem. Os denominadores são quantis superiores positivos, evitando divisões pelo fluxo mínimo.</w:t>
            </w:r>
          </w:p>
          <w:p>
            <w:pPr>
              <w:pStyle w:val="Compact"/>
              <w:jc w:val="center"/>
            </w:pPr>
            <w:r>
              <w:t xml:space="preserve">Erros relativos (modelo/empírico - 1), em fração, não porcentagem. Os denominadores são quantis superiores positivos, evitando divisões pelo fluxo mínimo.</w:t>
            </w:r>
          </w:p>
          <w:tbl>
            <w:tblPr>
              <w:tblStyle w:val="Table"/>
              <w:tblW w:type="pct" w:w="5000"/>
              <w:tblLayout w:type="fixed"/>
              <w:tblLook w:firstRow="1" w:lastRow="0" w:firstColumn="0" w:lastColumn="0" w:noHBand="0" w:noVBand="0" w:val="0020"/>
              <w:tblCaption w:val="Erros relativos (modelo/empírico - 1), em fração, não porcentagem. Os denominadores são quantis superiores positivos, evitando divisões pelo fluxo mínimo."/>
            </w:tblPr>
            <w:tblGrid>
              <w:gridCol w:w="3960"/>
              <w:gridCol w:w="1980"/>
              <w:gridCol w:w="1980"/>
            </w:tblGrid>
            <w:tr>
              <w:trPr>
                <w:tblHeader w:val="on"/>
              </w:trPr>
              <w:tc>
                <w:tcPr/>
                <w:p>
                  <w:pPr>
                    <w:pStyle w:val="Compact"/>
                    <w:jc w:val="left"/>
                    <w:jc w:val="center"/>
                  </w:pPr>
                  <w:r>
                    <w:t xml:space="preserve">probabilidade</w:t>
                  </w:r>
                </w:p>
              </w:tc>
              <w:tc>
                <w:tcPr/>
                <w:p>
                  <w:pPr>
                    <w:pStyle w:val="Compact"/>
                    <w:jc w:val="left"/>
                    <w:jc w:val="center"/>
                  </w:pPr>
                  <w:r>
                    <w:t xml:space="preserve">erro rel GEV</w:t>
                  </w:r>
                </w:p>
              </w:tc>
              <w:tc>
                <w:tcPr/>
                <w:p>
                  <w:pPr>
                    <w:pStyle w:val="Compact"/>
                    <w:jc w:val="left"/>
                    <w:jc w:val="center"/>
                  </w:pPr>
                  <w:r>
                    <w:t xml:space="preserve">erro rel Skew t</w:t>
                  </w:r>
                </w:p>
              </w:tc>
            </w:tr>
            <w:tr>
              <w:tc>
                <w:tcPr/>
                <w:p>
                  <w:pPr>
                    <w:pStyle w:val="Compact"/>
                    <w:jc w:val="left"/>
                    <w:jc w:val="center"/>
                  </w:pPr>
                  <w:r>
                    <w:t xml:space="preserve">0.9</w:t>
                  </w:r>
                </w:p>
              </w:tc>
              <w:tc>
                <w:tcPr/>
                <w:p>
                  <w:pPr>
                    <w:pStyle w:val="Compact"/>
                    <w:jc w:val="left"/>
                    <w:jc w:val="center"/>
                  </w:pPr>
                  <w:r>
                    <w:t xml:space="preserve">5.92</w:t>
                  </w:r>
                </w:p>
              </w:tc>
              <w:tc>
                <w:tcPr/>
                <w:p>
                  <w:pPr>
                    <w:pStyle w:val="Compact"/>
                    <w:jc w:val="left"/>
                    <w:jc w:val="center"/>
                  </w:pPr>
                  <w:r>
                    <w:t xml:space="preserve">4.308</w:t>
                  </w:r>
                </w:p>
              </w:tc>
            </w:tr>
            <w:tr>
              <w:tc>
                <w:tcPr/>
                <w:p>
                  <w:pPr>
                    <w:pStyle w:val="Compact"/>
                    <w:jc w:val="left"/>
                    <w:jc w:val="center"/>
                  </w:pPr>
                  <w:r>
                    <w:t xml:space="preserve">0.95</w:t>
                  </w:r>
                </w:p>
              </w:tc>
              <w:tc>
                <w:tcPr/>
                <w:p>
                  <w:pPr>
                    <w:pStyle w:val="Compact"/>
                    <w:jc w:val="left"/>
                    <w:jc w:val="center"/>
                  </w:pPr>
                  <w:r>
                    <w:t xml:space="preserve">28.83</w:t>
                  </w:r>
                </w:p>
              </w:tc>
              <w:tc>
                <w:tcPr/>
                <w:p>
                  <w:pPr>
                    <w:pStyle w:val="Compact"/>
                    <w:jc w:val="left"/>
                    <w:jc w:val="center"/>
                  </w:pPr>
                  <w:r>
                    <w:t xml:space="preserve">28.35</w:t>
                  </w:r>
                </w:p>
              </w:tc>
            </w:tr>
            <w:tr>
              <w:tc>
                <w:tcPr/>
                <w:p>
                  <w:pPr>
                    <w:pStyle w:val="Compact"/>
                    <w:jc w:val="left"/>
                    <w:jc w:val="center"/>
                  </w:pPr>
                  <w:r>
                    <w:t xml:space="preserve">0.975</w:t>
                  </w:r>
                </w:p>
              </w:tc>
              <w:tc>
                <w:tcPr/>
                <w:p>
                  <w:pPr>
                    <w:pStyle w:val="Compact"/>
                    <w:jc w:val="left"/>
                    <w:jc w:val="center"/>
                  </w:pPr>
                  <w:r>
                    <w:t xml:space="preserve">104.6</w:t>
                  </w:r>
                </w:p>
              </w:tc>
              <w:tc>
                <w:tcPr/>
                <w:p>
                  <w:pPr>
                    <w:pStyle w:val="Compact"/>
                    <w:jc w:val="left"/>
                    <w:jc w:val="center"/>
                  </w:pPr>
                  <w:r>
                    <w:t xml:space="preserve">137.4</w:t>
                  </w:r>
                </w:p>
              </w:tc>
            </w:tr>
            <w:tr>
              <w:tc>
                <w:tcPr/>
                <w:p>
                  <w:pPr>
                    <w:pStyle w:val="Compact"/>
                    <w:jc w:val="left"/>
                    <w:jc w:val="center"/>
                  </w:pPr>
                  <w:r>
                    <w:t xml:space="preserve">0.99</w:t>
                  </w:r>
                </w:p>
              </w:tc>
              <w:tc>
                <w:tcPr/>
                <w:p>
                  <w:pPr>
                    <w:pStyle w:val="Compact"/>
                    <w:jc w:val="left"/>
                    <w:jc w:val="center"/>
                  </w:pPr>
                  <w:r>
                    <w:t xml:space="preserve">1093</w:t>
                  </w:r>
                </w:p>
              </w:tc>
              <w:tc>
                <w:tcPr/>
                <w:p>
                  <w:pPr>
                    <w:pStyle w:val="Compact"/>
                    <w:jc w:val="left"/>
                    <w:jc w:val="center"/>
                  </w:pPr>
                  <w:r>
                    <w:t xml:space="preserve">2150</w:t>
                  </w:r>
                </w:p>
              </w:tc>
            </w:tr>
          </w:tbl>
          <w:bookmarkEnd w:id="221"/>
          <w:p/>
        </w:tc>
      </w:tr>
    </w:tbl>
    <w:tbl>
      <w:tblPr>
        <w:tblStyle w:val="Table"/>
        <w:tblW w:type="pct" w:w="5000"/>
        <w:tblLayout w:type="fixed"/>
        <w:tblLook w:firstRow="0" w:lastRow="0" w:firstColumn="0" w:lastColumn="0" w:noHBand="0" w:noVBand="0" w:val="0000"/>
      </w:tblPr>
      <w:tblGrid>
        <w:gridCol w:w="7920"/>
      </w:tblGrid>
      <w:tr>
        <w:tc>
          <w:tcPr/>
          <w:bookmarkStart w:id="225" w:name="fig-cauda-comparada"/>
          <w:p>
            <w:pPr>
              <w:pStyle w:val="Compact"/>
              <w:jc w:val="center"/>
            </w:pPr>
            <w:r>
              <w:drawing>
                <wp:inline>
                  <wp:extent cx="5829300" cy="2975821"/>
                  <wp:effectExtent b="0" l="0" r="0" t="0"/>
                  <wp:docPr descr="" title="" id="223" name="Picture"/>
                  <a:graphic>
                    <a:graphicData uri="http://schemas.openxmlformats.org/drawingml/2006/picture">
                      <pic:pic>
                        <pic:nvPicPr>
                          <pic:cNvPr descr="figuras/comparacao_cauda.png" id="224" name="Picture"/>
                          <pic:cNvPicPr>
                            <a:picLocks noChangeArrowheads="1" noChangeAspect="1"/>
                          </pic:cNvPicPr>
                        </pic:nvPicPr>
                        <pic:blipFill>
                          <a:blip r:embed="rId222"/>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40: Comparação da cauda superior com ordenada logarítmica. Os pontos de probabilidades mais altas são exploratórios e têm grande incerteza.</w:t>
            </w:r>
          </w:p>
          <w:bookmarkEnd w:id="225"/>
        </w:tc>
      </w:tr>
    </w:tbl>
    <w:p>
      <w:pPr>
        <w:pStyle w:val="BodyText"/>
      </w:pPr>
      <w:r>
        <w:t xml:space="preserve">Com 94 máximos, apenas 4.7 observações são esperadas acima de P95 e 0.94 acima de P99 sob uma distribuição constante. A dependência reduz ainda mais a informação efetiva. P97,5 e P99 não oferecem validação empírica precisa: são exibidos para mostrar a extrapolação e não como quantis populacionais bem determinados. No P99, a razão teórico/empírico é 1093.8 para GEV e 2151.2 para Skew-t. A Skew-t é relativamente mais próxima em parte dos quantis menos extremos, mas excede até a GEV no extremo superior examinado; a mudança de família não resolveu a cauda excessivamente pesada.</w:t>
      </w:r>
    </w:p>
    <w:bookmarkEnd w:id="226"/>
    <w:bookmarkStart w:id="230" w:name="influência-dos-maiores-máximos"/>
    <w:p>
      <w:pPr>
        <w:pStyle w:val="Heading2"/>
      </w:pPr>
      <w:r>
        <w:t xml:space="preserve">10.3 Influência dos maiores máximos</w:t>
      </w:r>
    </w:p>
    <w:p>
      <w:pPr>
        <w:pStyle w:val="FirstParagraph"/>
      </w:pPr>
      <w:r>
        <w:t xml:space="preserve">As exclusões a seguir são apenas diagnósticas. Em cada cenário, as duas famílias recebem exatamente os mesmos valores e datas; os ajustes principais permanecem completos. Em empates, a exclusão usa a data de início para manter a regra determinística. As datas conservadas e retiradas podem ser auditadas pelos arquivos</w:t>
      </w:r>
      <w:r>
        <w:t xml:space="preserve"> </w:t>
      </w:r>
      <w:r>
        <w:rPr>
          <w:rStyle w:val="VerbatimChar"/>
        </w:rPr>
        <w:t xml:space="preserve">amostra_comum_completa.csv</w:t>
      </w:r>
      <w:r>
        <w:t xml:space="preserve">,</w:t>
      </w:r>
      <w:r>
        <w:t xml:space="preserve"> </w:t>
      </w:r>
      <w:r>
        <w:rPr>
          <w:rStyle w:val="VerbatimChar"/>
        </w:rPr>
        <w:t xml:space="preserve">amostra_comum_sem_1_maior.csv</w:t>
      </w:r>
      <w:r>
        <w:t xml:space="preserve"> </w:t>
      </w:r>
      <w:r>
        <w:t xml:space="preserve">e</w:t>
      </w:r>
      <w:r>
        <w:t xml:space="preserve"> </w:t>
      </w:r>
      <w:r>
        <w:rPr>
          <w:rStyle w:val="VerbatimChar"/>
        </w:rPr>
        <w:t xml:space="preserve">amostra_comum_sem_3_maiores.csv</w:t>
      </w:r>
      <w:r>
        <w:t xml:space="preserve">.</w:t>
      </w:r>
    </w:p>
    <w:tbl>
      <w:tblPr>
        <w:tblStyle w:val="Table"/>
        <w:tblW w:type="pct" w:w="5000"/>
        <w:tblLayout w:type="fixed"/>
        <w:tblLook w:firstRow="0" w:lastRow="0" w:firstColumn="0" w:lastColumn="0" w:noHBand="0" w:noVBand="0" w:val="0000"/>
      </w:tblPr>
      <w:tblGrid>
        <w:gridCol w:w="7920"/>
      </w:tblGrid>
      <w:tr>
        <w:tc>
          <w:tcPr/>
          <w:bookmarkStart w:id="227" w:name="tbl-sensibilidade-criterios-skew"/>
          <w:p>
            <w:pPr>
              <w:jc w:val="center"/>
            </w:pPr>
            <w:pPr>
              <w:jc w:val="start"/>
              <w:spacing w:before="200"/>
              <w:pStyle w:val="ImageCaption"/>
            </w:pPr>
            <w:r>
              <w:t xml:space="preserve">Tabela 28: Critérios por cenário, mesma unidade W/m². Compare modelos dentro de cada cenário; não compare AIC absoluto entre amostras diferentes.</w:t>
            </w:r>
          </w:p>
          <w:p>
            <w:pPr>
              <w:pStyle w:val="Compact"/>
              <w:jc w:val="center"/>
            </w:pPr>
            <w:r>
              <w:t xml:space="preserve">Critérios por cenário, mesma unidade W/m². Compare modelos dentro de cada cenário; não compare AIC absoluto entre amostras diferentes.</w:t>
            </w:r>
          </w:p>
          <w:tbl>
            <w:tblPr>
              <w:tblStyle w:val="Table"/>
              <w:tblW w:type="pct" w:w="5000"/>
              <w:tblLayout w:type="fixed"/>
              <w:tblLook w:firstRow="1" w:lastRow="0" w:firstColumn="0" w:lastColumn="0" w:noHBand="0" w:noVBand="0" w:val="0020"/>
              <w:tblCaption w:val="Critérios por cenário, mesma unidade W/m². Compare modelos dentro de cada cenário; não compare AIC absoluto entre amostras diferentes."/>
            </w:tblPr>
            <w:tblGrid>
              <w:gridCol w:w="2262"/>
              <w:gridCol w:w="1131"/>
              <w:gridCol w:w="1131"/>
              <w:gridCol w:w="1131"/>
              <w:gridCol w:w="1131"/>
              <w:gridCol w:w="1131"/>
            </w:tblGrid>
            <w:tr>
              <w:trPr>
                <w:tblHeader w:val="on"/>
              </w:trPr>
              <w:tc>
                <w:tcPr/>
                <w:p>
                  <w:pPr>
                    <w:pStyle w:val="Compact"/>
                    <w:jc w:val="left"/>
                    <w:jc w:val="center"/>
                  </w:pPr>
                  <w:r>
                    <w:t xml:space="preserve">cenario</w:t>
                  </w:r>
                </w:p>
              </w:tc>
              <w:tc>
                <w:tcPr/>
                <w:p>
                  <w:pPr>
                    <w:pStyle w:val="Compact"/>
                    <w:jc w:val="left"/>
                    <w:jc w:val="center"/>
                  </w:pPr>
                  <w:r>
                    <w:t xml:space="preserve">modelo</w:t>
                  </w:r>
                </w:p>
              </w:tc>
              <w:tc>
                <w:tcPr/>
                <w:p>
                  <w:pPr>
                    <w:pStyle w:val="Compact"/>
                    <w:jc w:val="left"/>
                    <w:jc w:val="center"/>
                  </w:pPr>
                  <w:r>
                    <w:t xml:space="preserve">n</w:t>
                  </w:r>
                </w:p>
              </w:tc>
              <w:tc>
                <w:tcPr/>
                <w:p>
                  <w:pPr>
                    <w:pStyle w:val="Compact"/>
                    <w:jc w:val="left"/>
                    <w:jc w:val="center"/>
                  </w:pPr>
                  <w:r>
                    <w:t xml:space="preserve">logLik</w:t>
                  </w:r>
                </w:p>
              </w:tc>
              <w:tc>
                <w:tcPr/>
                <w:p>
                  <w:pPr>
                    <w:pStyle w:val="Compact"/>
                    <w:jc w:val="left"/>
                    <w:jc w:val="center"/>
                  </w:pPr>
                  <w:r>
                    <w:t xml:space="preserve">AIC</w:t>
                  </w:r>
                </w:p>
              </w:tc>
              <w:tc>
                <w:tcPr/>
                <w:p>
                  <w:pPr>
                    <w:pStyle w:val="Compact"/>
                    <w:jc w:val="left"/>
                    <w:jc w:val="center"/>
                  </w:pPr>
                  <w:r>
                    <w:t xml:space="preserve">BIC</w:t>
                  </w:r>
                </w:p>
              </w:tc>
            </w:tr>
            <w:tr>
              <w:tc>
                <w:tcPr/>
                <w:p>
                  <w:pPr>
                    <w:pStyle w:val="Compact"/>
                    <w:jc w:val="left"/>
                    <w:jc w:val="center"/>
                  </w:pPr>
                  <w:r>
                    <w:t xml:space="preserve">completa</w:t>
                  </w:r>
                </w:p>
              </w:tc>
              <w:tc>
                <w:tcPr/>
                <w:p>
                  <w:pPr>
                    <w:pStyle w:val="Compact"/>
                    <w:jc w:val="left"/>
                    <w:jc w:val="center"/>
                  </w:pPr>
                  <w:r>
                    <w:t xml:space="preserve">GEV</w:t>
                  </w:r>
                </w:p>
              </w:tc>
              <w:tc>
                <w:tcPr/>
                <w:p>
                  <w:pPr>
                    <w:pStyle w:val="Compact"/>
                    <w:jc w:val="left"/>
                    <w:jc w:val="center"/>
                  </w:pPr>
                  <w:r>
                    <w:t xml:space="preserve">94</w:t>
                  </w:r>
                </w:p>
              </w:tc>
              <w:tc>
                <w:tcPr/>
                <w:p>
                  <w:pPr>
                    <w:pStyle w:val="Compact"/>
                    <w:jc w:val="left"/>
                    <w:jc w:val="center"/>
                  </w:pPr>
                  <w:r>
                    <w:t xml:space="preserve">826.1</w:t>
                  </w:r>
                </w:p>
              </w:tc>
              <w:tc>
                <w:tcPr/>
                <w:p>
                  <w:pPr>
                    <w:pStyle w:val="Compact"/>
                    <w:jc w:val="left"/>
                    <w:jc w:val="center"/>
                  </w:pPr>
                  <w:r>
                    <w:t xml:space="preserve">-1646</w:t>
                  </w:r>
                </w:p>
              </w:tc>
              <w:tc>
                <w:tcPr/>
                <w:p>
                  <w:pPr>
                    <w:pStyle w:val="Compact"/>
                    <w:jc w:val="left"/>
                    <w:jc w:val="center"/>
                  </w:pPr>
                  <w:r>
                    <w:t xml:space="preserve">-1639</w:t>
                  </w:r>
                </w:p>
              </w:tc>
            </w:tr>
            <w:tr>
              <w:tc>
                <w:tcPr/>
                <w:p>
                  <w:pPr>
                    <w:pStyle w:val="Compact"/>
                    <w:jc w:val="left"/>
                    <w:jc w:val="center"/>
                  </w:pPr>
                  <w:r>
                    <w:t xml:space="preserve">completa</w:t>
                  </w:r>
                </w:p>
              </w:tc>
              <w:tc>
                <w:tcPr/>
                <w:p>
                  <w:pPr>
                    <w:pStyle w:val="Compact"/>
                    <w:jc w:val="left"/>
                    <w:jc w:val="center"/>
                  </w:pPr>
                  <w:r>
                    <w:t xml:space="preserve">Skew-t</w:t>
                  </w:r>
                </w:p>
              </w:tc>
              <w:tc>
                <w:tcPr/>
                <w:p>
                  <w:pPr>
                    <w:pStyle w:val="Compact"/>
                    <w:jc w:val="left"/>
                    <w:jc w:val="center"/>
                  </w:pPr>
                  <w:r>
                    <w:t xml:space="preserve">94</w:t>
                  </w:r>
                </w:p>
              </w:tc>
              <w:tc>
                <w:tcPr/>
                <w:p>
                  <w:pPr>
                    <w:pStyle w:val="Compact"/>
                    <w:jc w:val="left"/>
                    <w:jc w:val="center"/>
                  </w:pPr>
                  <w:r>
                    <w:t xml:space="preserve">816.7</w:t>
                  </w:r>
                </w:p>
              </w:tc>
              <w:tc>
                <w:tcPr/>
                <w:p>
                  <w:pPr>
                    <w:pStyle w:val="Compact"/>
                    <w:jc w:val="left"/>
                    <w:jc w:val="center"/>
                  </w:pPr>
                  <w:r>
                    <w:t xml:space="preserve">-1625</w:t>
                  </w:r>
                </w:p>
              </w:tc>
              <w:tc>
                <w:tcPr/>
                <w:p>
                  <w:pPr>
                    <w:pStyle w:val="Compact"/>
                    <w:jc w:val="left"/>
                    <w:jc w:val="center"/>
                  </w:pPr>
                  <w:r>
                    <w:t xml:space="preserve">-1615</w:t>
                  </w:r>
                </w:p>
              </w:tc>
            </w:tr>
            <w:tr>
              <w:tc>
                <w:tcPr/>
                <w:p>
                  <w:pPr>
                    <w:pStyle w:val="Compact"/>
                    <w:jc w:val="left"/>
                    <w:jc w:val="center"/>
                  </w:pPr>
                  <w:r>
                    <w:t xml:space="preserve">sem_1_maior</w:t>
                  </w:r>
                </w:p>
              </w:tc>
              <w:tc>
                <w:tcPr/>
                <w:p>
                  <w:pPr>
                    <w:pStyle w:val="Compact"/>
                    <w:jc w:val="left"/>
                    <w:jc w:val="center"/>
                  </w:pPr>
                  <w:r>
                    <w:t xml:space="preserve">GEV</w:t>
                  </w:r>
                </w:p>
              </w:tc>
              <w:tc>
                <w:tcPr/>
                <w:p>
                  <w:pPr>
                    <w:pStyle w:val="Compact"/>
                    <w:jc w:val="left"/>
                    <w:jc w:val="center"/>
                  </w:pPr>
                  <w:r>
                    <w:t xml:space="preserve">93</w:t>
                  </w:r>
                </w:p>
              </w:tc>
              <w:tc>
                <w:tcPr/>
                <w:p>
                  <w:pPr>
                    <w:pStyle w:val="Compact"/>
                    <w:jc w:val="left"/>
                    <w:jc w:val="center"/>
                  </w:pPr>
                  <w:r>
                    <w:t xml:space="preserve">823</w:t>
                  </w:r>
                </w:p>
              </w:tc>
              <w:tc>
                <w:tcPr/>
                <w:p>
                  <w:pPr>
                    <w:pStyle w:val="Compact"/>
                    <w:jc w:val="left"/>
                    <w:jc w:val="center"/>
                  </w:pPr>
                  <w:r>
                    <w:t xml:space="preserve">-1640</w:t>
                  </w:r>
                </w:p>
              </w:tc>
              <w:tc>
                <w:tcPr/>
                <w:p>
                  <w:pPr>
                    <w:pStyle w:val="Compact"/>
                    <w:jc w:val="left"/>
                    <w:jc w:val="center"/>
                  </w:pPr>
                  <w:r>
                    <w:t xml:space="preserve">-1632</w:t>
                  </w:r>
                </w:p>
              </w:tc>
            </w:tr>
            <w:tr>
              <w:tc>
                <w:tcPr/>
                <w:p>
                  <w:pPr>
                    <w:pStyle w:val="Compact"/>
                    <w:jc w:val="left"/>
                    <w:jc w:val="center"/>
                  </w:pPr>
                  <w:r>
                    <w:t xml:space="preserve">sem_1_maior</w:t>
                  </w:r>
                </w:p>
              </w:tc>
              <w:tc>
                <w:tcPr/>
                <w:p>
                  <w:pPr>
                    <w:pStyle w:val="Compact"/>
                    <w:jc w:val="left"/>
                    <w:jc w:val="center"/>
                  </w:pPr>
                  <w:r>
                    <w:t xml:space="preserve">Skew-t</w:t>
                  </w:r>
                </w:p>
              </w:tc>
              <w:tc>
                <w:tcPr/>
                <w:p>
                  <w:pPr>
                    <w:pStyle w:val="Compact"/>
                    <w:jc w:val="left"/>
                    <w:jc w:val="center"/>
                  </w:pPr>
                  <w:r>
                    <w:t xml:space="preserve">93</w:t>
                  </w:r>
                </w:p>
              </w:tc>
              <w:tc>
                <w:tcPr/>
                <w:p>
                  <w:pPr>
                    <w:pStyle w:val="Compact"/>
                    <w:jc w:val="left"/>
                    <w:jc w:val="center"/>
                  </w:pPr>
                  <w:r>
                    <w:t xml:space="preserve">813.7</w:t>
                  </w:r>
                </w:p>
              </w:tc>
              <w:tc>
                <w:tcPr/>
                <w:p>
                  <w:pPr>
                    <w:pStyle w:val="Compact"/>
                    <w:jc w:val="left"/>
                    <w:jc w:val="center"/>
                  </w:pPr>
                  <w:r>
                    <w:t xml:space="preserve">-1619</w:t>
                  </w:r>
                </w:p>
              </w:tc>
              <w:tc>
                <w:tcPr/>
                <w:p>
                  <w:pPr>
                    <w:pStyle w:val="Compact"/>
                    <w:jc w:val="left"/>
                    <w:jc w:val="center"/>
                  </w:pPr>
                  <w:r>
                    <w:t xml:space="preserve">-1609</w:t>
                  </w:r>
                </w:p>
              </w:tc>
            </w:tr>
            <w:tr>
              <w:tc>
                <w:tcPr/>
                <w:p>
                  <w:pPr>
                    <w:pStyle w:val="Compact"/>
                    <w:jc w:val="left"/>
                    <w:jc w:val="center"/>
                  </w:pPr>
                  <w:r>
                    <w:t xml:space="preserve">sem_3_maiores</w:t>
                  </w:r>
                </w:p>
              </w:tc>
              <w:tc>
                <w:tcPr/>
                <w:p>
                  <w:pPr>
                    <w:pStyle w:val="Compact"/>
                    <w:jc w:val="left"/>
                    <w:jc w:val="center"/>
                  </w:pPr>
                  <w:r>
                    <w:t xml:space="preserve">GEV</w:t>
                  </w:r>
                </w:p>
              </w:tc>
              <w:tc>
                <w:tcPr/>
                <w:p>
                  <w:pPr>
                    <w:pStyle w:val="Compact"/>
                    <w:jc w:val="left"/>
                    <w:jc w:val="center"/>
                  </w:pPr>
                  <w:r>
                    <w:t xml:space="preserve">91</w:t>
                  </w:r>
                </w:p>
              </w:tc>
              <w:tc>
                <w:tcPr/>
                <w:p>
                  <w:pPr>
                    <w:pStyle w:val="Compact"/>
                    <w:jc w:val="left"/>
                    <w:jc w:val="center"/>
                  </w:pPr>
                  <w:r>
                    <w:t xml:space="preserve">815.4</w:t>
                  </w:r>
                </w:p>
              </w:tc>
              <w:tc>
                <w:tcPr/>
                <w:p>
                  <w:pPr>
                    <w:pStyle w:val="Compact"/>
                    <w:jc w:val="left"/>
                    <w:jc w:val="center"/>
                  </w:pPr>
                  <w:r>
                    <w:t xml:space="preserve">-1625</w:t>
                  </w:r>
                </w:p>
              </w:tc>
              <w:tc>
                <w:tcPr/>
                <w:p>
                  <w:pPr>
                    <w:pStyle w:val="Compact"/>
                    <w:jc w:val="left"/>
                    <w:jc w:val="center"/>
                  </w:pPr>
                  <w:r>
                    <w:t xml:space="preserve">-1617</w:t>
                  </w:r>
                </w:p>
              </w:tc>
            </w:tr>
            <w:tr>
              <w:tc>
                <w:tcPr/>
                <w:p>
                  <w:pPr>
                    <w:pStyle w:val="Compact"/>
                    <w:jc w:val="left"/>
                    <w:jc w:val="center"/>
                  </w:pPr>
                  <w:r>
                    <w:t xml:space="preserve">sem_3_maiores</w:t>
                  </w:r>
                </w:p>
              </w:tc>
              <w:tc>
                <w:tcPr/>
                <w:p>
                  <w:pPr>
                    <w:pStyle w:val="Compact"/>
                    <w:jc w:val="left"/>
                    <w:jc w:val="center"/>
                  </w:pPr>
                  <w:r>
                    <w:t xml:space="preserve">Skew-t</w:t>
                  </w:r>
                </w:p>
              </w:tc>
              <w:tc>
                <w:tcPr/>
                <w:p>
                  <w:pPr>
                    <w:pStyle w:val="Compact"/>
                    <w:jc w:val="left"/>
                    <w:jc w:val="center"/>
                  </w:pPr>
                  <w:r>
                    <w:t xml:space="preserve">91</w:t>
                  </w:r>
                </w:p>
              </w:tc>
              <w:tc>
                <w:tcPr/>
                <w:p>
                  <w:pPr>
                    <w:pStyle w:val="Compact"/>
                    <w:jc w:val="left"/>
                    <w:jc w:val="center"/>
                  </w:pPr>
                  <w:r>
                    <w:t xml:space="preserve">806.5</w:t>
                  </w:r>
                </w:p>
              </w:tc>
              <w:tc>
                <w:tcPr/>
                <w:p>
                  <w:pPr>
                    <w:pStyle w:val="Compact"/>
                    <w:jc w:val="left"/>
                    <w:jc w:val="center"/>
                  </w:pPr>
                  <w:r>
                    <w:t xml:space="preserve">-1605</w:t>
                  </w:r>
                </w:p>
              </w:tc>
              <w:tc>
                <w:tcPr/>
                <w:p>
                  <w:pPr>
                    <w:pStyle w:val="Compact"/>
                    <w:jc w:val="left"/>
                    <w:jc w:val="center"/>
                  </w:pPr>
                  <w:r>
                    <w:t xml:space="preserve">-1595</w:t>
                  </w:r>
                </w:p>
              </w:tc>
            </w:tr>
          </w:tbl>
          <w:bookmarkEnd w:id="2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8" w:name="tbl-sensibilidade-parametros-skew"/>
          <w:p>
            <w:pPr>
              <w:jc w:val="center"/>
            </w:pPr>
            <w:pPr>
              <w:jc w:val="start"/>
              <w:spacing w:before="200"/>
              <w:pStyle w:val="ImageCaption"/>
            </w:pPr>
            <w:r>
              <w:t xml:space="preserve">Tabela 29: Parâmetros por cenário; localização/escala em W m⁻². xi_GEV e os parâmetros ST têm significados diferentes.</w:t>
            </w:r>
          </w:p>
          <w:p>
            <w:pPr>
              <w:pStyle w:val="Compact"/>
              <w:jc w:val="center"/>
            </w:pPr>
            <w:r>
              <w:t xml:space="preserve">Parâmetros por cenário; localização/escala em W m⁻². xi_GEV e os parâmetros ST têm significados diferentes.</w:t>
            </w:r>
          </w:p>
          <w:tbl>
            <w:tblPr>
              <w:tblStyle w:val="Table"/>
              <w:tblW w:type="pct" w:w="5000"/>
              <w:tblLayout w:type="fixed"/>
              <w:tblLook w:firstRow="1" w:lastRow="0" w:firstColumn="0" w:lastColumn="0" w:noHBand="0" w:noVBand="0" w:val="0020"/>
              <w:tblCaption w:val="Parâmetros por cenário; localização/escala em W m⁻². xi_GEV e os parâmetros ST têm significados diferentes."/>
            </w:tblPr>
            <w:tblGrid>
              <w:gridCol w:w="1654"/>
              <w:gridCol w:w="827"/>
              <w:gridCol w:w="1418"/>
              <w:gridCol w:w="1182"/>
              <w:gridCol w:w="827"/>
              <w:gridCol w:w="1182"/>
              <w:gridCol w:w="827"/>
            </w:tblGrid>
            <w:tr>
              <w:trPr>
                <w:tblHeader w:val="on"/>
              </w:trPr>
              <w:tc>
                <w:tcPr/>
                <w:p>
                  <w:pPr>
                    <w:pStyle w:val="Compact"/>
                    <w:jc w:val="left"/>
                    <w:jc w:val="center"/>
                  </w:pPr>
                  <w:r>
                    <w:t xml:space="preserve">cenario</w:t>
                  </w:r>
                </w:p>
              </w:tc>
              <w:tc>
                <w:tcPr/>
                <w:p>
                  <w:pPr>
                    <w:pStyle w:val="Compact"/>
                    <w:jc w:val="left"/>
                    <w:jc w:val="center"/>
                  </w:pPr>
                  <w:r>
                    <w:t xml:space="preserve">modelo</w:t>
                  </w:r>
                </w:p>
              </w:tc>
              <w:tc>
                <w:tcPr/>
                <w:p>
                  <w:pPr>
                    <w:pStyle w:val="Compact"/>
                    <w:jc w:val="left"/>
                    <w:jc w:val="center"/>
                  </w:pPr>
                  <w:r>
                    <w:t xml:space="preserve">localizacao</w:t>
                  </w:r>
                </w:p>
              </w:tc>
              <w:tc>
                <w:tcPr/>
                <w:p>
                  <w:pPr>
                    <w:pStyle w:val="Compact"/>
                    <w:jc w:val="left"/>
                    <w:jc w:val="center"/>
                  </w:pPr>
                  <w:r>
                    <w:t xml:space="preserve">escala</w:t>
                  </w:r>
                </w:p>
              </w:tc>
              <w:tc>
                <w:tcPr/>
                <w:p>
                  <w:pPr>
                    <w:pStyle w:val="Compact"/>
                    <w:jc w:val="left"/>
                    <w:jc w:val="center"/>
                  </w:pPr>
                  <w:r>
                    <w:t xml:space="preserve">xi GEV</w:t>
                  </w:r>
                </w:p>
              </w:tc>
              <w:tc>
                <w:tcPr/>
                <w:p>
                  <w:pPr>
                    <w:pStyle w:val="Compact"/>
                    <w:jc w:val="left"/>
                    <w:jc w:val="center"/>
                  </w:pPr>
                  <w:r>
                    <w:t xml:space="preserve">alpha ST</w:t>
                  </w:r>
                </w:p>
              </w:tc>
              <w:tc>
                <w:tcPr/>
                <w:p>
                  <w:pPr>
                    <w:pStyle w:val="Compact"/>
                    <w:jc w:val="left"/>
                    <w:jc w:val="center"/>
                  </w:pPr>
                  <w:r>
                    <w:t xml:space="preserve">nu ST</w:t>
                  </w:r>
                </w:p>
              </w:tc>
            </w:tr>
            <w:tr>
              <w:tc>
                <w:tcPr/>
                <w:p>
                  <w:pPr>
                    <w:pStyle w:val="Compact"/>
                    <w:jc w:val="left"/>
                    <w:jc w:val="center"/>
                  </w:pPr>
                  <w:r>
                    <w:t xml:space="preserve">completa</w:t>
                  </w:r>
                </w:p>
              </w:tc>
              <w:tc>
                <w:tcPr/>
                <w:p>
                  <w:pPr>
                    <w:pStyle w:val="Compact"/>
                    <w:jc w:val="left"/>
                    <w:jc w:val="center"/>
                  </w:pPr>
                  <w:r>
                    <w:t xml:space="preserve">GEV</w:t>
                  </w:r>
                </w:p>
              </w:tc>
              <w:tc>
                <w:tcPr/>
                <w:p>
                  <w:pPr>
                    <w:pStyle w:val="Compact"/>
                    <w:jc w:val="left"/>
                    <w:jc w:val="center"/>
                  </w:pPr>
                  <w:r>
                    <w:t xml:space="preserve">2.979e-06</w:t>
                  </w:r>
                </w:p>
              </w:tc>
              <w:tc>
                <w:tcPr/>
                <w:p>
                  <w:pPr>
                    <w:pStyle w:val="Compact"/>
                    <w:jc w:val="left"/>
                    <w:jc w:val="center"/>
                  </w:pPr>
                  <w:r>
                    <w:t xml:space="preserve">8.208e-06</w:t>
                  </w:r>
                </w:p>
              </w:tc>
              <w:tc>
                <w:tcPr/>
                <w:p>
                  <w:pPr>
                    <w:pStyle w:val="Compact"/>
                    <w:jc w:val="left"/>
                    <w:jc w:val="center"/>
                  </w:pPr>
                  <w:r>
                    <w:t xml:space="preserve">2.772</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completa</w:t>
                  </w:r>
                </w:p>
              </w:tc>
              <w:tc>
                <w:tcPr/>
                <w:p>
                  <w:pPr>
                    <w:pStyle w:val="Compact"/>
                    <w:jc w:val="left"/>
                    <w:jc w:val="center"/>
                  </w:pPr>
                  <w:r>
                    <w:t xml:space="preserve">Skew-t</w:t>
                  </w:r>
                </w:p>
              </w:tc>
              <w:tc>
                <w:tcPr/>
                <w:p>
                  <w:pPr>
                    <w:pStyle w:val="Compact"/>
                    <w:jc w:val="left"/>
                    <w:jc w:val="center"/>
                  </w:pPr>
                  <w:r>
                    <w:t xml:space="preserve">4.101e-08</w:t>
                  </w:r>
                </w:p>
              </w:tc>
              <w:tc>
                <w:tcPr/>
                <w:p>
                  <w:pPr>
                    <w:pStyle w:val="Compact"/>
                    <w:jc w:val="left"/>
                    <w:jc w:val="center"/>
                  </w:pPr>
                  <w:r>
                    <w:t xml:space="preserve">2.181e-06</w:t>
                  </w:r>
                </w:p>
              </w:tc>
              <w:tc>
                <w:tcPr/>
                <w:p>
                  <w:pPr>
                    <w:pStyle w:val="Compact"/>
                    <w:jc w:val="left"/>
                    <w:jc w:val="center"/>
                  </w:pPr>
                  <w:r>
                    <w:t xml:space="preserve">—</w:t>
                  </w:r>
                </w:p>
              </w:tc>
              <w:tc>
                <w:tcPr/>
                <w:p>
                  <w:pPr>
                    <w:pStyle w:val="Compact"/>
                    <w:jc w:val="left"/>
                    <w:jc w:val="center"/>
                  </w:pPr>
                  <w:r>
                    <w:t xml:space="preserve">6.007e+14</w:t>
                  </w:r>
                </w:p>
              </w:tc>
              <w:tc>
                <w:tcPr/>
                <w:p>
                  <w:pPr>
                    <w:pStyle w:val="Compact"/>
                    <w:jc w:val="left"/>
                    <w:jc w:val="center"/>
                  </w:pPr>
                  <w:r>
                    <w:t xml:space="preserve">0.3089</w:t>
                  </w:r>
                </w:p>
              </w:tc>
            </w:tr>
            <w:tr>
              <w:tc>
                <w:tcPr/>
                <w:p>
                  <w:pPr>
                    <w:pStyle w:val="Compact"/>
                    <w:jc w:val="left"/>
                    <w:jc w:val="center"/>
                  </w:pPr>
                  <w:r>
                    <w:t xml:space="preserve">sem_1_maior</w:t>
                  </w:r>
                </w:p>
              </w:tc>
              <w:tc>
                <w:tcPr/>
                <w:p>
                  <w:pPr>
                    <w:pStyle w:val="Compact"/>
                    <w:jc w:val="left"/>
                    <w:jc w:val="center"/>
                  </w:pPr>
                  <w:r>
                    <w:t xml:space="preserve">GEV</w:t>
                  </w:r>
                </w:p>
              </w:tc>
              <w:tc>
                <w:tcPr/>
                <w:p>
                  <w:pPr>
                    <w:pStyle w:val="Compact"/>
                    <w:jc w:val="left"/>
                    <w:jc w:val="center"/>
                  </w:pPr>
                  <w:r>
                    <w:t xml:space="preserve">2.876e-06</w:t>
                  </w:r>
                </w:p>
              </w:tc>
              <w:tc>
                <w:tcPr/>
                <w:p>
                  <w:pPr>
                    <w:pStyle w:val="Compact"/>
                    <w:jc w:val="left"/>
                    <w:jc w:val="center"/>
                  </w:pPr>
                  <w:r>
                    <w:t xml:space="preserve">7.846e-06</w:t>
                  </w:r>
                </w:p>
              </w:tc>
              <w:tc>
                <w:tcPr/>
                <w:p>
                  <w:pPr>
                    <w:pStyle w:val="Compact"/>
                    <w:jc w:val="left"/>
                    <w:jc w:val="center"/>
                  </w:pPr>
                  <w:r>
                    <w:t xml:space="preserve">2.745</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sem_1_maior</w:t>
                  </w:r>
                </w:p>
              </w:tc>
              <w:tc>
                <w:tcPr/>
                <w:p>
                  <w:pPr>
                    <w:pStyle w:val="Compact"/>
                    <w:jc w:val="left"/>
                    <w:jc w:val="center"/>
                  </w:pPr>
                  <w:r>
                    <w:t xml:space="preserve">Skew-t</w:t>
                  </w:r>
                </w:p>
              </w:tc>
              <w:tc>
                <w:tcPr/>
                <w:p>
                  <w:pPr>
                    <w:pStyle w:val="Compact"/>
                    <w:jc w:val="left"/>
                    <w:jc w:val="center"/>
                  </w:pPr>
                  <w:r>
                    <w:t xml:space="preserve">4.101e-08</w:t>
                  </w:r>
                </w:p>
              </w:tc>
              <w:tc>
                <w:tcPr/>
                <w:p>
                  <w:pPr>
                    <w:pStyle w:val="Compact"/>
                    <w:jc w:val="left"/>
                    <w:jc w:val="center"/>
                  </w:pPr>
                  <w:r>
                    <w:t xml:space="preserve">2.179e-06</w:t>
                  </w:r>
                </w:p>
              </w:tc>
              <w:tc>
                <w:tcPr/>
                <w:p>
                  <w:pPr>
                    <w:pStyle w:val="Compact"/>
                    <w:jc w:val="left"/>
                    <w:jc w:val="center"/>
                  </w:pPr>
                  <w:r>
                    <w:t xml:space="preserve">—</w:t>
                  </w:r>
                </w:p>
              </w:tc>
              <w:tc>
                <w:tcPr/>
                <w:p>
                  <w:pPr>
                    <w:pStyle w:val="Compact"/>
                    <w:jc w:val="left"/>
                    <w:jc w:val="center"/>
                  </w:pPr>
                  <w:r>
                    <w:t xml:space="preserve">3.269e+14</w:t>
                  </w:r>
                </w:p>
              </w:tc>
              <w:tc>
                <w:tcPr/>
                <w:p>
                  <w:pPr>
                    <w:pStyle w:val="Compact"/>
                    <w:jc w:val="left"/>
                    <w:jc w:val="center"/>
                  </w:pPr>
                  <w:r>
                    <w:t xml:space="preserve">0.3142</w:t>
                  </w:r>
                </w:p>
              </w:tc>
            </w:tr>
            <w:tr>
              <w:tc>
                <w:tcPr/>
                <w:p>
                  <w:pPr>
                    <w:pStyle w:val="Compact"/>
                    <w:jc w:val="left"/>
                    <w:jc w:val="center"/>
                  </w:pPr>
                  <w:r>
                    <w:t xml:space="preserve">sem_3_maiores</w:t>
                  </w:r>
                </w:p>
              </w:tc>
              <w:tc>
                <w:tcPr/>
                <w:p>
                  <w:pPr>
                    <w:pStyle w:val="Compact"/>
                    <w:jc w:val="left"/>
                    <w:jc w:val="center"/>
                  </w:pPr>
                  <w:r>
                    <w:t xml:space="preserve">GEV</w:t>
                  </w:r>
                </w:p>
              </w:tc>
              <w:tc>
                <w:tcPr/>
                <w:p>
                  <w:pPr>
                    <w:pStyle w:val="Compact"/>
                    <w:jc w:val="left"/>
                    <w:jc w:val="center"/>
                  </w:pPr>
                  <w:r>
                    <w:t xml:space="preserve">2.685e-06</w:t>
                  </w:r>
                </w:p>
              </w:tc>
              <w:tc>
                <w:tcPr/>
                <w:p>
                  <w:pPr>
                    <w:pStyle w:val="Compact"/>
                    <w:jc w:val="left"/>
                    <w:jc w:val="center"/>
                  </w:pPr>
                  <w:r>
                    <w:t xml:space="preserve">7.200e-06</w:t>
                  </w:r>
                </w:p>
              </w:tc>
              <w:tc>
                <w:tcPr/>
                <w:p>
                  <w:pPr>
                    <w:pStyle w:val="Compact"/>
                    <w:jc w:val="left"/>
                    <w:jc w:val="center"/>
                  </w:pPr>
                  <w:r>
                    <w:t xml:space="preserve">2.698</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sem_3_maiores</w:t>
                  </w:r>
                </w:p>
              </w:tc>
              <w:tc>
                <w:tcPr/>
                <w:p>
                  <w:pPr>
                    <w:pStyle w:val="Compact"/>
                    <w:jc w:val="left"/>
                    <w:jc w:val="center"/>
                  </w:pPr>
                  <w:r>
                    <w:t xml:space="preserve">Skew-t</w:t>
                  </w:r>
                </w:p>
              </w:tc>
              <w:tc>
                <w:tcPr/>
                <w:p>
                  <w:pPr>
                    <w:pStyle w:val="Compact"/>
                    <w:jc w:val="left"/>
                    <w:jc w:val="center"/>
                  </w:pPr>
                  <w:r>
                    <w:t xml:space="preserve">4.101e-08</w:t>
                  </w:r>
                </w:p>
              </w:tc>
              <w:tc>
                <w:tcPr/>
                <w:p>
                  <w:pPr>
                    <w:pStyle w:val="Compact"/>
                    <w:jc w:val="left"/>
                    <w:jc w:val="center"/>
                  </w:pPr>
                  <w:r>
                    <w:t xml:space="preserve">2.147e-06</w:t>
                  </w:r>
                </w:p>
              </w:tc>
              <w:tc>
                <w:tcPr/>
                <w:p>
                  <w:pPr>
                    <w:pStyle w:val="Compact"/>
                    <w:jc w:val="left"/>
                    <w:jc w:val="center"/>
                  </w:pPr>
                  <w:r>
                    <w:t xml:space="preserve">—</w:t>
                  </w:r>
                </w:p>
              </w:tc>
              <w:tc>
                <w:tcPr/>
                <w:p>
                  <w:pPr>
                    <w:pStyle w:val="Compact"/>
                    <w:jc w:val="left"/>
                    <w:jc w:val="center"/>
                  </w:pPr>
                  <w:r>
                    <w:t xml:space="preserve">1.107e+15</w:t>
                  </w:r>
                </w:p>
              </w:tc>
              <w:tc>
                <w:tcPr/>
                <w:p>
                  <w:pPr>
                    <w:pStyle w:val="Compact"/>
                    <w:jc w:val="left"/>
                    <w:jc w:val="center"/>
                  </w:pPr>
                  <w:r>
                    <w:t xml:space="preserve">0.3233</w:t>
                  </w:r>
                </w:p>
              </w:tc>
            </w:tr>
          </w:tbl>
          <w:bookmarkEnd w:id="2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9" w:name="tbl-sensibilidade-diagnosticos-skew"/>
          <w:p>
            <w:pPr>
              <w:jc w:val="center"/>
            </w:pPr>
            <w:pPr>
              <w:jc w:val="start"/>
              <w:spacing w:before="200"/>
              <w:pStyle w:val="ImageCaption"/>
            </w:pPr>
            <w:r>
              <w:t xml:space="preserve">Tabela 30: Influência nos critérios, PP e P99. Diferenças positivas dos critérios favorecem GEV; quantis em W m⁻².</w:t>
            </w:r>
          </w:p>
          <w:p>
            <w:pPr>
              <w:pStyle w:val="Compact"/>
              <w:jc w:val="center"/>
            </w:pPr>
            <w:r>
              <w:t xml:space="preserve">Influência nos critérios, PP e P99. Diferenças positivas dos critérios favorecem GEV; quantis em W m⁻².</w:t>
            </w:r>
          </w:p>
          <w:tbl>
            <w:tblPr>
              <w:tblStyle w:val="Table"/>
              <w:tblW w:type="pct" w:w="5000"/>
              <w:tblLayout w:type="fixed"/>
              <w:tblLook w:firstRow="1" w:lastRow="0" w:firstColumn="0" w:lastColumn="0" w:noHBand="0" w:noVBand="0" w:val="0020"/>
              <w:tblCaption w:val="Influência nos critérios, PP e P99. Diferenças positivas dos critérios favorecem GEV; quantis em W m⁻²."/>
            </w:tblPr>
            <w:tblGrid>
              <w:gridCol w:w="1911"/>
              <w:gridCol w:w="955"/>
              <w:gridCol w:w="955"/>
              <w:gridCol w:w="1092"/>
              <w:gridCol w:w="1092"/>
              <w:gridCol w:w="955"/>
              <w:gridCol w:w="955"/>
            </w:tblGrid>
            <w:tr>
              <w:trPr>
                <w:tblHeader w:val="on"/>
              </w:trPr>
              <w:tc>
                <w:tcPr/>
                <w:p>
                  <w:pPr>
                    <w:pStyle w:val="Compact"/>
                    <w:jc w:val="left"/>
                    <w:jc w:val="center"/>
                  </w:pPr>
                  <w:r>
                    <w:t xml:space="preserve">cenario</w:t>
                  </w:r>
                </w:p>
              </w:tc>
              <w:tc>
                <w:tcPr/>
                <w:p>
                  <w:pPr>
                    <w:pStyle w:val="Compact"/>
                    <w:jc w:val="left"/>
                    <w:jc w:val="center"/>
                  </w:pPr>
                  <w:r>
                    <w:t xml:space="preserve">delta AIC</w:t>
                  </w:r>
                </w:p>
              </w:tc>
              <w:tc>
                <w:tcPr/>
                <w:p>
                  <w:pPr>
                    <w:pStyle w:val="Compact"/>
                    <w:jc w:val="left"/>
                    <w:jc w:val="center"/>
                  </w:pPr>
                  <w:r>
                    <w:t xml:space="preserve">delta BIC</w:t>
                  </w:r>
                </w:p>
              </w:tc>
              <w:tc>
                <w:tcPr/>
                <w:p>
                  <w:pPr>
                    <w:pStyle w:val="Compact"/>
                    <w:jc w:val="left"/>
                    <w:jc w:val="center"/>
                  </w:pPr>
                  <w:r>
                    <w:t xml:space="preserve">rmse pp GEV</w:t>
                  </w:r>
                </w:p>
              </w:tc>
              <w:tc>
                <w:tcPr/>
                <w:p>
                  <w:pPr>
                    <w:pStyle w:val="Compact"/>
                    <w:jc w:val="left"/>
                    <w:jc w:val="center"/>
                  </w:pPr>
                  <w:r>
                    <w:t xml:space="preserve">rmse pp ST</w:t>
                  </w:r>
                </w:p>
              </w:tc>
              <w:tc>
                <w:tcPr/>
                <w:p>
                  <w:pPr>
                    <w:pStyle w:val="Compact"/>
                    <w:jc w:val="left"/>
                    <w:jc w:val="center"/>
                  </w:pPr>
                  <w:r>
                    <w:t xml:space="preserve">P99 GEV</w:t>
                  </w:r>
                </w:p>
              </w:tc>
              <w:tc>
                <w:tcPr/>
                <w:p>
                  <w:pPr>
                    <w:pStyle w:val="Compact"/>
                    <w:jc w:val="left"/>
                    <w:jc w:val="center"/>
                  </w:pPr>
                  <w:r>
                    <w:t xml:space="preserve">P99 ST</w:t>
                  </w:r>
                </w:p>
              </w:tc>
            </w:tr>
            <w:tr>
              <w:tc>
                <w:tcPr/>
                <w:p>
                  <w:pPr>
                    <w:pStyle w:val="Compact"/>
                    <w:jc w:val="left"/>
                    <w:jc w:val="center"/>
                  </w:pPr>
                  <w:r>
                    <w:t xml:space="preserve">completa</w:t>
                  </w:r>
                </w:p>
              </w:tc>
              <w:tc>
                <w:tcPr/>
                <w:p>
                  <w:pPr>
                    <w:pStyle w:val="Compact"/>
                    <w:jc w:val="left"/>
                    <w:jc w:val="center"/>
                  </w:pPr>
                  <w:r>
                    <w:t xml:space="preserve">20.9</w:t>
                  </w:r>
                </w:p>
              </w:tc>
              <w:tc>
                <w:tcPr/>
                <w:p>
                  <w:pPr>
                    <w:pStyle w:val="Compact"/>
                    <w:jc w:val="left"/>
                    <w:jc w:val="center"/>
                  </w:pPr>
                  <w:r>
                    <w:t xml:space="preserve">23.45</w:t>
                  </w:r>
                </w:p>
              </w:tc>
              <w:tc>
                <w:tcPr/>
                <w:p>
                  <w:pPr>
                    <w:pStyle w:val="Compact"/>
                    <w:jc w:val="left"/>
                    <w:jc w:val="center"/>
                  </w:pPr>
                  <w:r>
                    <w:t xml:space="preserve">0.07587</w:t>
                  </w:r>
                </w:p>
              </w:tc>
              <w:tc>
                <w:tcPr/>
                <w:p>
                  <w:pPr>
                    <w:pStyle w:val="Compact"/>
                    <w:jc w:val="left"/>
                    <w:jc w:val="center"/>
                  </w:pPr>
                  <w:r>
                    <w:t xml:space="preserve">0.09711</w:t>
                  </w:r>
                </w:p>
              </w:tc>
              <w:tc>
                <w:tcPr/>
                <w:p>
                  <w:pPr>
                    <w:pStyle w:val="Compact"/>
                    <w:jc w:val="left"/>
                    <w:jc w:val="center"/>
                  </w:pPr>
                  <w:r>
                    <w:t xml:space="preserve">1.022</w:t>
                  </w:r>
                </w:p>
              </w:tc>
              <w:tc>
                <w:tcPr/>
                <w:p>
                  <w:pPr>
                    <w:pStyle w:val="Compact"/>
                    <w:jc w:val="left"/>
                    <w:jc w:val="center"/>
                  </w:pPr>
                  <w:r>
                    <w:t xml:space="preserve">2.01</w:t>
                  </w:r>
                </w:p>
              </w:tc>
            </w:tr>
            <w:tr>
              <w:tc>
                <w:tcPr/>
                <w:p>
                  <w:pPr>
                    <w:pStyle w:val="Compact"/>
                    <w:jc w:val="left"/>
                    <w:jc w:val="center"/>
                  </w:pPr>
                  <w:r>
                    <w:t xml:space="preserve">sem_1_maior</w:t>
                  </w:r>
                </w:p>
              </w:tc>
              <w:tc>
                <w:tcPr/>
                <w:p>
                  <w:pPr>
                    <w:pStyle w:val="Compact"/>
                    <w:jc w:val="left"/>
                    <w:jc w:val="center"/>
                  </w:pPr>
                  <w:r>
                    <w:t xml:space="preserve">20.53</w:t>
                  </w:r>
                </w:p>
              </w:tc>
              <w:tc>
                <w:tcPr/>
                <w:p>
                  <w:pPr>
                    <w:pStyle w:val="Compact"/>
                    <w:jc w:val="left"/>
                    <w:jc w:val="center"/>
                  </w:pPr>
                  <w:r>
                    <w:t xml:space="preserve">23.07</w:t>
                  </w:r>
                </w:p>
              </w:tc>
              <w:tc>
                <w:tcPr/>
                <w:p>
                  <w:pPr>
                    <w:pStyle w:val="Compact"/>
                    <w:jc w:val="left"/>
                    <w:jc w:val="center"/>
                  </w:pPr>
                  <w:r>
                    <w:t xml:space="preserve">0.07695</w:t>
                  </w:r>
                </w:p>
              </w:tc>
              <w:tc>
                <w:tcPr/>
                <w:p>
                  <w:pPr>
                    <w:pStyle w:val="Compact"/>
                    <w:jc w:val="left"/>
                    <w:jc w:val="center"/>
                  </w:pPr>
                  <w:r>
                    <w:t xml:space="preserve">0.09767</w:t>
                  </w:r>
                </w:p>
              </w:tc>
              <w:tc>
                <w:tcPr/>
                <w:p>
                  <w:pPr>
                    <w:pStyle w:val="Compact"/>
                    <w:jc w:val="left"/>
                    <w:jc w:val="center"/>
                  </w:pPr>
                  <w:r>
                    <w:t xml:space="preserve">0.8701</w:t>
                  </w:r>
                </w:p>
              </w:tc>
              <w:tc>
                <w:tcPr/>
                <w:p>
                  <w:pPr>
                    <w:pStyle w:val="Compact"/>
                    <w:jc w:val="left"/>
                    <w:jc w:val="center"/>
                  </w:pPr>
                  <w:r>
                    <w:t xml:space="preserve">1.575</w:t>
                  </w:r>
                </w:p>
              </w:tc>
            </w:tr>
            <w:tr>
              <w:tc>
                <w:tcPr/>
                <w:p>
                  <w:pPr>
                    <w:pStyle w:val="Compact"/>
                    <w:jc w:val="left"/>
                    <w:jc w:val="center"/>
                  </w:pPr>
                  <w:r>
                    <w:t xml:space="preserve">sem_3_maiores</w:t>
                  </w:r>
                </w:p>
              </w:tc>
              <w:tc>
                <w:tcPr/>
                <w:p>
                  <w:pPr>
                    <w:pStyle w:val="Compact"/>
                    <w:jc w:val="left"/>
                    <w:jc w:val="center"/>
                  </w:pPr>
                  <w:r>
                    <w:t xml:space="preserve">19.78</w:t>
                  </w:r>
                </w:p>
              </w:tc>
              <w:tc>
                <w:tcPr/>
                <w:p>
                  <w:pPr>
                    <w:pStyle w:val="Compact"/>
                    <w:jc w:val="left"/>
                    <w:jc w:val="center"/>
                  </w:pPr>
                  <w:r>
                    <w:t xml:space="preserve">22.29</w:t>
                  </w:r>
                </w:p>
              </w:tc>
              <w:tc>
                <w:tcPr/>
                <w:p>
                  <w:pPr>
                    <w:pStyle w:val="Compact"/>
                    <w:jc w:val="left"/>
                    <w:jc w:val="center"/>
                  </w:pPr>
                  <w:r>
                    <w:t xml:space="preserve">0.07849</w:t>
                  </w:r>
                </w:p>
              </w:tc>
              <w:tc>
                <w:tcPr/>
                <w:p>
                  <w:pPr>
                    <w:pStyle w:val="Compact"/>
                    <w:jc w:val="left"/>
                    <w:jc w:val="center"/>
                  </w:pPr>
                  <w:r>
                    <w:t xml:space="preserve">0.09833</w:t>
                  </w:r>
                </w:p>
              </w:tc>
              <w:tc>
                <w:tcPr/>
                <w:p>
                  <w:pPr>
                    <w:pStyle w:val="Compact"/>
                    <w:jc w:val="left"/>
                    <w:jc w:val="center"/>
                  </w:pPr>
                  <w:r>
                    <w:t xml:space="preserve">0.6544</w:t>
                  </w:r>
                </w:p>
              </w:tc>
              <w:tc>
                <w:tcPr/>
                <w:p>
                  <w:pPr>
                    <w:pStyle w:val="Compact"/>
                    <w:jc w:val="left"/>
                    <w:jc w:val="center"/>
                  </w:pPr>
                  <w:r>
                    <w:t xml:space="preserve">1.045</w:t>
                  </w:r>
                </w:p>
              </w:tc>
            </w:tr>
          </w:tbl>
          <w:bookmarkEnd w:id="229"/>
          <w:p/>
        </w:tc>
      </w:tr>
    </w:tbl>
    <w:p>
      <w:pPr>
        <w:pStyle w:val="BodyText"/>
      </w:pPr>
      <w:r>
        <w:t xml:space="preserve">A retirada do maior máximo resulta em</w:t>
      </w:r>
      <w:r>
        <w:t xml:space="preserve"> </w:t>
      </w:r>
      <m:oMath>
        <m:r>
          <m:t>Δ</m:t>
        </m:r>
        <m:r>
          <m:t>A</m:t>
        </m:r>
        <m:r>
          <m:t>I</m:t>
        </m:r>
        <m:r>
          <m:t>C</m:t>
        </m:r>
        <m:r>
          <m:rPr>
            <m:sty m:val="p"/>
          </m:rPr>
          <m:t>=</m:t>
        </m:r>
      </m:oMath>
      <w:r>
        <w:t xml:space="preserve"> </w:t>
      </w:r>
      <w:r>
        <w:t xml:space="preserve">20.534 e</w:t>
      </w:r>
      <w:r>
        <w:t xml:space="preserve"> </w:t>
      </w:r>
      <m:oMath>
        <m:r>
          <m:t>Δ</m:t>
        </m:r>
        <m:r>
          <m:t>B</m:t>
        </m:r>
        <m:r>
          <m:t>I</m:t>
        </m:r>
        <m:r>
          <m:t>C</m:t>
        </m:r>
        <m:r>
          <m:rPr>
            <m:sty m:val="p"/>
          </m:rPr>
          <m:t>=</m:t>
        </m:r>
      </m:oMath>
      <w:r>
        <w:t xml:space="preserve"> </w:t>
      </w:r>
      <w:r>
        <w:t xml:space="preserve">23.066; a retirada dos três maiores produz 19.782 e 22.293, respectivamente. A preferência relativa dos critérios pela GEV persiste: ela não é invertida pela retirada de um ou três máximos. Isso não significa estabilidade de todos os parâmetros ou adequação de qualquer família. A Skew-t permanece na fronteira em todos os cenários, com alpha sem estimativa finita estável. A cauda continua pesada mesmo sem os maiores eventos; os problemas não se resumem a um único pico. A escala das extrapolações e os graus de liberdade mudam, conforme as tabelas, mas nenhuma exclusão serve para escolher artificialmente um ajuste final.</w:t>
      </w:r>
    </w:p>
    <w:bookmarkEnd w:id="230"/>
    <w:bookmarkStart w:id="232" w:name="quantis-equivalentes-e-interpretação"/>
    <w:p>
      <w:pPr>
        <w:pStyle w:val="Heading2"/>
      </w:pPr>
      <w:r>
        <w:t xml:space="preserve">10.4 Quantis equivalentes e interpretação</w:t>
      </w:r>
    </w:p>
    <w:tbl>
      <w:tblPr>
        <w:tblStyle w:val="Table"/>
        <w:tblW w:type="pct" w:w="5000"/>
        <w:tblLayout w:type="fixed"/>
        <w:tblLook w:firstRow="0" w:lastRow="0" w:firstColumn="0" w:lastColumn="0" w:noHBand="0" w:noVBand="0" w:val="0000"/>
      </w:tblPr>
      <w:tblGrid>
        <w:gridCol w:w="7920"/>
      </w:tblGrid>
      <w:tr>
        <w:tc>
          <w:tcPr/>
          <w:bookmarkStart w:id="231" w:name="tbl-equivalentes-skew"/>
          <w:p>
            <w:pPr>
              <w:jc w:val="center"/>
            </w:pPr>
            <w:pPr>
              <w:jc w:val="start"/>
              <w:spacing w:before="200"/>
              <w:pStyle w:val="ImageCaption"/>
            </w:pPr>
            <w:r>
              <w:t xml:space="preserve">Tabela 31: GEV: níveis formais já calculados. Skew-t: quantis equivalentes em p = 1 - 1/(12T), em W m⁻²; não são níveis de retorno TVE validados.</w:t>
            </w:r>
          </w:p>
          <w:p>
            <w:pPr>
              <w:pStyle w:val="Compact"/>
              <w:jc w:val="center"/>
            </w:pPr>
            <w:r>
              <w:t xml:space="preserve">GEV: níveis formais já calculados. Skew-t: quantis equivalentes em p = 1 - 1/(12T), em W m⁻²; não são níveis de retorno TVE validados.</w:t>
            </w:r>
          </w:p>
          <w:tbl>
            <w:tblPr>
              <w:tblStyle w:val="Table"/>
              <w:tblW w:type="pct" w:w="5000"/>
              <w:tblLayout w:type="fixed"/>
              <w:tblLook w:firstRow="1" w:lastRow="0" w:firstColumn="0" w:lastColumn="0" w:noHBand="0" w:noVBand="0" w:val="0020"/>
              <w:tblCaption w:val="GEV: níveis formais já calculados. Skew-t: quantis equivalentes em p = 1 - 1/(12T), em W m⁻²; não são níveis de retorno TVE validados."/>
            </w:tblPr>
            <w:tblGrid>
              <w:gridCol w:w="1205"/>
              <w:gridCol w:w="2410"/>
              <w:gridCol w:w="1549"/>
              <w:gridCol w:w="1549"/>
              <w:gridCol w:w="1205"/>
            </w:tblGrid>
            <w:tr>
              <w:trPr>
                <w:tblHeader w:val="on"/>
              </w:trPr>
              <w:tc>
                <w:tcPr/>
                <w:p>
                  <w:pPr>
                    <w:pStyle w:val="Compact"/>
                    <w:jc w:val="left"/>
                    <w:jc w:val="center"/>
                  </w:pPr>
                  <w:r>
                    <w:t xml:space="preserve">anos</w:t>
                  </w:r>
                </w:p>
              </w:tc>
              <w:tc>
                <w:tcPr/>
                <w:p>
                  <w:pPr>
                    <w:pStyle w:val="Compact"/>
                    <w:jc w:val="left"/>
                    <w:jc w:val="center"/>
                  </w:pPr>
                  <w:r>
                    <w:t xml:space="preserve">probabilidade</w:t>
                  </w:r>
                </w:p>
              </w:tc>
              <w:tc>
                <w:tcPr/>
                <w:p>
                  <w:pPr>
                    <w:pStyle w:val="Compact"/>
                    <w:jc w:val="left"/>
                    <w:jc w:val="center"/>
                  </w:pPr>
                  <w:r>
                    <w:t xml:space="preserve">GEV</w:t>
                  </w:r>
                </w:p>
              </w:tc>
              <w:tc>
                <w:tcPr/>
                <w:p>
                  <w:pPr>
                    <w:pStyle w:val="Compact"/>
                    <w:jc w:val="left"/>
                    <w:jc w:val="center"/>
                  </w:pPr>
                  <w:r>
                    <w:t xml:space="preserve">Skew t</w:t>
                  </w:r>
                </w:p>
              </w:tc>
              <w:tc>
                <w:tcPr/>
                <w:p>
                  <w:pPr>
                    <w:pStyle w:val="Compact"/>
                    <w:jc w:val="left"/>
                    <w:jc w:val="center"/>
                  </w:pPr>
                  <w:r>
                    <w:t xml:space="preserve">razao Skew t maximo</w:t>
                  </w:r>
                </w:p>
              </w:tc>
            </w:tr>
            <w:tr>
              <w:tc>
                <w:tcPr/>
                <w:p>
                  <w:pPr>
                    <w:pStyle w:val="Compact"/>
                    <w:jc w:val="left"/>
                    <w:jc w:val="center"/>
                  </w:pPr>
                  <w:r>
                    <w:t xml:space="preserve">1</w:t>
                  </w:r>
                </w:p>
              </w:tc>
              <w:tc>
                <w:tcPr/>
                <w:p>
                  <w:pPr>
                    <w:pStyle w:val="Compact"/>
                    <w:jc w:val="left"/>
                    <w:jc w:val="center"/>
                  </w:pPr>
                  <w:r>
                    <w:t xml:space="preserve">0.9167</w:t>
                  </w:r>
                </w:p>
              </w:tc>
              <w:tc>
                <w:tcPr/>
                <w:p>
                  <w:pPr>
                    <w:pStyle w:val="Compact"/>
                    <w:jc w:val="left"/>
                    <w:jc w:val="center"/>
                  </w:pPr>
                  <w:r>
                    <w:t xml:space="preserve">0.002576</w:t>
                  </w:r>
                </w:p>
              </w:tc>
              <w:tc>
                <w:tcPr/>
                <w:p>
                  <w:pPr>
                    <w:pStyle w:val="Compact"/>
                    <w:jc w:val="left"/>
                    <w:jc w:val="center"/>
                  </w:pPr>
                  <w:r>
                    <w:t xml:space="preserve">0.002098</w:t>
                  </w:r>
                </w:p>
              </w:tc>
              <w:tc>
                <w:tcPr/>
                <w:p>
                  <w:pPr>
                    <w:pStyle w:val="Compact"/>
                    <w:jc w:val="left"/>
                    <w:jc w:val="center"/>
                  </w:pPr>
                  <w:r>
                    <w:t xml:space="preserve">1.433</w:t>
                  </w:r>
                </w:p>
              </w:tc>
            </w:tr>
            <w:tr>
              <w:tc>
                <w:tcPr/>
                <w:p>
                  <w:pPr>
                    <w:pStyle w:val="Compact"/>
                    <w:jc w:val="left"/>
                    <w:jc w:val="center"/>
                  </w:pPr>
                  <w:r>
                    <w:t xml:space="preserve">2</w:t>
                  </w:r>
                </w:p>
              </w:tc>
              <w:tc>
                <w:tcPr/>
                <w:p>
                  <w:pPr>
                    <w:pStyle w:val="Compact"/>
                    <w:jc w:val="left"/>
                    <w:jc w:val="center"/>
                  </w:pPr>
                  <w:r>
                    <w:t xml:space="preserve">0.9583</w:t>
                  </w:r>
                </w:p>
              </w:tc>
              <w:tc>
                <w:tcPr/>
                <w:p>
                  <w:pPr>
                    <w:pStyle w:val="Compact"/>
                    <w:jc w:val="left"/>
                    <w:jc w:val="center"/>
                  </w:pPr>
                  <w:r>
                    <w:t xml:space="preserve">0.0187</w:t>
                  </w:r>
                </w:p>
              </w:tc>
              <w:tc>
                <w:tcPr/>
                <w:p>
                  <w:pPr>
                    <w:pStyle w:val="Compact"/>
                    <w:jc w:val="left"/>
                    <w:jc w:val="center"/>
                  </w:pPr>
                  <w:r>
                    <w:t xml:space="preserve">0.01979</w:t>
                  </w:r>
                </w:p>
              </w:tc>
              <w:tc>
                <w:tcPr/>
                <w:p>
                  <w:pPr>
                    <w:pStyle w:val="Compact"/>
                    <w:jc w:val="left"/>
                    <w:jc w:val="center"/>
                  </w:pPr>
                  <w:r>
                    <w:t xml:space="preserve">13.52</w:t>
                  </w:r>
                </w:p>
              </w:tc>
            </w:tr>
            <w:tr>
              <w:tc>
                <w:tcPr/>
                <w:p>
                  <w:pPr>
                    <w:pStyle w:val="Compact"/>
                    <w:jc w:val="left"/>
                    <w:jc w:val="center"/>
                  </w:pPr>
                  <w:r>
                    <w:t xml:space="preserve">5</w:t>
                  </w:r>
                </w:p>
              </w:tc>
              <w:tc>
                <w:tcPr/>
                <w:p>
                  <w:pPr>
                    <w:pStyle w:val="Compact"/>
                    <w:jc w:val="left"/>
                    <w:jc w:val="center"/>
                  </w:pPr>
                  <w:r>
                    <w:t xml:space="preserve">0.9833</w:t>
                  </w:r>
                </w:p>
              </w:tc>
              <w:tc>
                <w:tcPr/>
                <w:p>
                  <w:pPr>
                    <w:pStyle w:val="Compact"/>
                    <w:jc w:val="left"/>
                    <w:jc w:val="center"/>
                  </w:pPr>
                  <w:r>
                    <w:t xml:space="preserve">0.2457</w:t>
                  </w:r>
                </w:p>
              </w:tc>
              <w:tc>
                <w:tcPr/>
                <w:p>
                  <w:pPr>
                    <w:pStyle w:val="Compact"/>
                    <w:jc w:val="left"/>
                    <w:jc w:val="center"/>
                  </w:pPr>
                  <w:r>
                    <w:t xml:space="preserve">0.3845</w:t>
                  </w:r>
                </w:p>
              </w:tc>
              <w:tc>
                <w:tcPr/>
                <w:p>
                  <w:pPr>
                    <w:pStyle w:val="Compact"/>
                    <w:jc w:val="left"/>
                    <w:jc w:val="center"/>
                  </w:pPr>
                  <w:r>
                    <w:t xml:space="preserve">262.6</w:t>
                  </w:r>
                </w:p>
              </w:tc>
            </w:tr>
            <w:tr>
              <w:tc>
                <w:tcPr/>
                <w:p>
                  <w:pPr>
                    <w:pStyle w:val="Compact"/>
                    <w:jc w:val="left"/>
                    <w:jc w:val="center"/>
                  </w:pPr>
                  <w:r>
                    <w:t xml:space="preserve">10</w:t>
                  </w:r>
                </w:p>
              </w:tc>
              <w:tc>
                <w:tcPr/>
                <w:p>
                  <w:pPr>
                    <w:pStyle w:val="Compact"/>
                    <w:jc w:val="left"/>
                    <w:jc w:val="center"/>
                  </w:pPr>
                  <w:r>
                    <w:t xml:space="preserve">0.9917</w:t>
                  </w:r>
                </w:p>
              </w:tc>
              <w:tc>
                <w:tcPr/>
                <w:p>
                  <w:pPr>
                    <w:pStyle w:val="Compact"/>
                    <w:jc w:val="left"/>
                    <w:jc w:val="center"/>
                  </w:pPr>
                  <w:r>
                    <w:t xml:space="preserve">1.698</w:t>
                  </w:r>
                </w:p>
              </w:tc>
              <w:tc>
                <w:tcPr/>
                <w:p>
                  <w:pPr>
                    <w:pStyle w:val="Compact"/>
                    <w:jc w:val="left"/>
                    <w:jc w:val="center"/>
                  </w:pPr>
                  <w:r>
                    <w:t xml:space="preserve">3.627</w:t>
                  </w:r>
                </w:p>
              </w:tc>
              <w:tc>
                <w:tcPr/>
                <w:p>
                  <w:pPr>
                    <w:pStyle w:val="Compact"/>
                    <w:jc w:val="left"/>
                    <w:jc w:val="center"/>
                  </w:pPr>
                  <w:r>
                    <w:t xml:space="preserve">2477</w:t>
                  </w:r>
                </w:p>
              </w:tc>
            </w:tr>
          </w:tbl>
          <w:bookmarkEnd w:id="231"/>
          <w:p/>
        </w:tc>
      </w:tr>
    </w:tbl>
    <w:p>
      <w:pPr>
        <w:pStyle w:val="BodyText"/>
      </w:pPr>
      <w:r>
        <w:t xml:space="preserve">Os quantis equivalentes da Skew-t não substituem os níveis GEV nem herdam sua fundamentação assintótica. Mesmo para GEV, a interpretação prospectiva depende de estabilidade e dependência compatíveis com o modelo. O quantil Skew-t equivalente a dez anos é 3.627e+00 W m⁻², 2477 vezes o maior máximo observado. Valores muito acima da amostra ou da faixa válida do produto evidenciam extrapolação sem validação. Não são adicionados IC artificiais a esses quantis de uma solução Skew-t não regular.</w:t>
      </w:r>
    </w:p>
    <w:p>
      <w:pPr>
        <w:pStyle w:val="BodyText"/>
      </w:pPr>
      <w:r>
        <w:rPr>
          <w:b/>
          <w:bCs/>
        </w:rPr>
        <w:t xml:space="preserve">A Skew-t apresentou evidência de ajuste empírico melhor que a GEV para os máximos mensais?</w:t>
      </w:r>
      <w:r>
        <w:t xml:space="preserve"> </w:t>
      </w:r>
      <w:r>
        <w:t xml:space="preserve">Não. A Skew-t não apresentou evidência de ajuste empírico melhor que a GEV: os critérios e o erro descritivo dos maiores quantis favorecem a GEV. Essa preferência relativa não corrige a má calibração superior da GEV; nenhuma das duas distribuições oferece representação plenamente satisfatória para extrapolação.</w:t>
      </w:r>
    </w:p>
    <w:bookmarkEnd w:id="232"/>
    <w:bookmarkEnd w:id="233"/>
    <w:bookmarkStart w:id="249" w:name="níveis-de-retorno"/>
    <w:p>
      <w:pPr>
        <w:pStyle w:val="Heading1"/>
      </w:pPr>
      <w:r>
        <w:t xml:space="preserve">11. Níveis de retorno</w:t>
      </w:r>
    </w:p>
    <w:tbl>
      <w:tblPr>
        <w:tblStyle w:val="Table"/>
        <w:tblW w:type="pct" w:w="5000"/>
        <w:tblLayout w:type="fixed"/>
        <w:tblLook w:firstRow="0" w:lastRow="0" w:firstColumn="0" w:lastColumn="0" w:noHBand="0" w:noVBand="0" w:val="0000"/>
      </w:tblPr>
      <w:tblGrid>
        <w:gridCol w:w="7920"/>
      </w:tblGrid>
      <w:tr>
        <w:tc>
          <w:tcPr/>
          <w:bookmarkStart w:id="234" w:name="tbl-retornos"/>
          <w:p>
            <w:pPr>
              <w:jc w:val="center"/>
            </w:pPr>
            <w:pPr>
              <w:jc w:val="start"/>
              <w:spacing w:before="200"/>
              <w:pStyle w:val="ImageCaption"/>
            </w:pPr>
            <w:r>
              <w:t xml:space="preserve">Tabela 32: Níveis formais da GEV estacionária e IC bootstrap de 95% (W m⁻²). Resultados de modelo agregado: consultar a calibração antes de qualquer interpretação prospectiva.</w:t>
            </w:r>
          </w:p>
          <w:p>
            <w:pPr>
              <w:pStyle w:val="Compact"/>
              <w:jc w:val="center"/>
            </w:pPr>
            <w:r>
              <w:t xml:space="preserve">Níveis formais da GEV estacionária e IC bootstrap de 95% (W m⁻²). Resultados de modelo agregado: consultar a calibração antes de qualquer interpretação prospectiva.</w:t>
            </w:r>
          </w:p>
          <w:tbl>
            <w:tblPr>
              <w:tblStyle w:val="Table"/>
              <w:tblW w:type="pct" w:w="5000"/>
              <w:tblLayout w:type="fixed"/>
              <w:tblLook w:firstRow="1" w:lastRow="0" w:firstColumn="0" w:lastColumn="0" w:noHBand="0" w:noVBand="0" w:val="0020"/>
              <w:tblCaption w:val="Níveis formais da GEV estacionária e IC bootstrap de 95% (W m⁻²). Resultados de modelo agregado: consultar a calibração antes de qualquer interpretação prospectiva."/>
            </w:tblPr>
            <w:tblGrid>
              <w:gridCol w:w="1066"/>
              <w:gridCol w:w="1066"/>
              <w:gridCol w:w="1675"/>
              <w:gridCol w:w="1523"/>
              <w:gridCol w:w="1370"/>
              <w:gridCol w:w="1218"/>
            </w:tblGrid>
            <w:tr>
              <w:trPr>
                <w:tblHeader w:val="on"/>
              </w:trPr>
              <w:tc>
                <w:tcPr/>
                <w:p>
                  <w:pPr>
                    <w:pStyle w:val="Compact"/>
                    <w:jc w:val="left"/>
                    <w:jc w:val="center"/>
                  </w:pPr>
                  <w:r>
                    <w:t xml:space="preserve">anos</w:t>
                  </w:r>
                </w:p>
              </w:tc>
              <w:tc>
                <w:tcPr/>
                <w:p>
                  <w:pPr>
                    <w:pStyle w:val="Compact"/>
                    <w:jc w:val="left"/>
                    <w:jc w:val="center"/>
                  </w:pPr>
                  <w:r>
                    <w:t xml:space="preserve">blocos</w:t>
                  </w:r>
                </w:p>
              </w:tc>
              <w:tc>
                <w:tcPr/>
                <w:p>
                  <w:pPr>
                    <w:pStyle w:val="Compact"/>
                    <w:jc w:val="left"/>
                    <w:jc w:val="center"/>
                  </w:pPr>
                  <w:r>
                    <w:t xml:space="preserve">estimativa</w:t>
                  </w:r>
                </w:p>
              </w:tc>
              <w:tc>
                <w:tcPr/>
                <w:p>
                  <w:pPr>
                    <w:pStyle w:val="Compact"/>
                    <w:jc w:val="left"/>
                    <w:jc w:val="center"/>
                  </w:pPr>
                  <w:r>
                    <w:t xml:space="preserve">inferior</w:t>
                  </w:r>
                </w:p>
              </w:tc>
              <w:tc>
                <w:tcPr/>
                <w:p>
                  <w:pPr>
                    <w:pStyle w:val="Compact"/>
                    <w:jc w:val="left"/>
                    <w:jc w:val="center"/>
                  </w:pPr>
                  <w:r>
                    <w:t xml:space="preserve">superior</w:t>
                  </w:r>
                </w:p>
              </w:tc>
              <w:tc>
                <w:tcPr/>
                <w:p>
                  <w:pPr>
                    <w:pStyle w:val="Compact"/>
                    <w:jc w:val="left"/>
                    <w:jc w:val="center"/>
                  </w:pPr>
                  <w:r>
                    <w:t xml:space="preserve">unidade</w:t>
                  </w:r>
                </w:p>
              </w:tc>
            </w:tr>
            <w:tr>
              <w:tc>
                <w:tcPr/>
                <w:p>
                  <w:pPr>
                    <w:pStyle w:val="Compact"/>
                    <w:jc w:val="left"/>
                    <w:jc w:val="center"/>
                  </w:pPr>
                  <w:r>
                    <w:t xml:space="preserve">1</w:t>
                  </w:r>
                </w:p>
              </w:tc>
              <w:tc>
                <w:tcPr/>
                <w:p>
                  <w:pPr>
                    <w:pStyle w:val="Compact"/>
                    <w:jc w:val="left"/>
                    <w:jc w:val="center"/>
                  </w:pPr>
                  <w:r>
                    <w:t xml:space="preserve">12</w:t>
                  </w:r>
                </w:p>
              </w:tc>
              <w:tc>
                <w:tcPr/>
                <w:p>
                  <w:pPr>
                    <w:pStyle w:val="Compact"/>
                    <w:jc w:val="left"/>
                    <w:jc w:val="center"/>
                  </w:pPr>
                  <w:r>
                    <w:t xml:space="preserve">0.002576</w:t>
                  </w:r>
                </w:p>
              </w:tc>
              <w:tc>
                <w:tcPr/>
                <w:p>
                  <w:pPr>
                    <w:pStyle w:val="Compact"/>
                    <w:jc w:val="left"/>
                    <w:jc w:val="center"/>
                  </w:pPr>
                  <w:r>
                    <w:t xml:space="preserve">4.208e-04</w:t>
                  </w:r>
                </w:p>
              </w:tc>
              <w:tc>
                <w:tcPr/>
                <w:p>
                  <w:pPr>
                    <w:pStyle w:val="Compact"/>
                    <w:jc w:val="left"/>
                    <w:jc w:val="center"/>
                  </w:pPr>
                  <w:r>
                    <w:t xml:space="preserve">0.009815</w:t>
                  </w:r>
                </w:p>
              </w:tc>
              <w:tc>
                <w:tcPr/>
                <w:p>
                  <w:pPr>
                    <w:pStyle w:val="Compact"/>
                    <w:jc w:val="left"/>
                    <w:jc w:val="center"/>
                  </w:pPr>
                  <w:r>
                    <w:t xml:space="preserve">W m^-2</w:t>
                  </w:r>
                </w:p>
              </w:tc>
            </w:tr>
            <w:tr>
              <w:tc>
                <w:tcPr/>
                <w:p>
                  <w:pPr>
                    <w:pStyle w:val="Compact"/>
                    <w:jc w:val="left"/>
                    <w:jc w:val="center"/>
                  </w:pPr>
                  <w:r>
                    <w:t xml:space="preserve">2</w:t>
                  </w:r>
                </w:p>
              </w:tc>
              <w:tc>
                <w:tcPr/>
                <w:p>
                  <w:pPr>
                    <w:pStyle w:val="Compact"/>
                    <w:jc w:val="left"/>
                    <w:jc w:val="center"/>
                  </w:pPr>
                  <w:r>
                    <w:t xml:space="preserve">24</w:t>
                  </w:r>
                </w:p>
              </w:tc>
              <w:tc>
                <w:tcPr/>
                <w:p>
                  <w:pPr>
                    <w:pStyle w:val="Compact"/>
                    <w:jc w:val="left"/>
                    <w:jc w:val="center"/>
                  </w:pPr>
                  <w:r>
                    <w:t xml:space="preserve">0.0187</w:t>
                  </w:r>
                </w:p>
              </w:tc>
              <w:tc>
                <w:tcPr/>
                <w:p>
                  <w:pPr>
                    <w:pStyle w:val="Compact"/>
                    <w:jc w:val="left"/>
                    <w:jc w:val="center"/>
                  </w:pPr>
                  <w:r>
                    <w:t xml:space="preserve">0.001222</w:t>
                  </w:r>
                </w:p>
              </w:tc>
              <w:tc>
                <w:tcPr/>
                <w:p>
                  <w:pPr>
                    <w:pStyle w:val="Compact"/>
                    <w:jc w:val="left"/>
                    <w:jc w:val="center"/>
                  </w:pPr>
                  <w:r>
                    <w:t xml:space="preserve">0.1019</w:t>
                  </w:r>
                </w:p>
              </w:tc>
              <w:tc>
                <w:tcPr/>
                <w:p>
                  <w:pPr>
                    <w:pStyle w:val="Compact"/>
                    <w:jc w:val="left"/>
                    <w:jc w:val="center"/>
                  </w:pPr>
                  <w:r>
                    <w:t xml:space="preserve">W m^-2</w:t>
                  </w:r>
                </w:p>
              </w:tc>
            </w:tr>
            <w:tr>
              <w:tc>
                <w:tcPr/>
                <w:p>
                  <w:pPr>
                    <w:pStyle w:val="Compact"/>
                    <w:jc w:val="left"/>
                    <w:jc w:val="center"/>
                  </w:pPr>
                  <w:r>
                    <w:t xml:space="preserve">5</w:t>
                  </w:r>
                </w:p>
              </w:tc>
              <w:tc>
                <w:tcPr/>
                <w:p>
                  <w:pPr>
                    <w:pStyle w:val="Compact"/>
                    <w:jc w:val="left"/>
                    <w:jc w:val="center"/>
                  </w:pPr>
                  <w:r>
                    <w:t xml:space="preserve">60</w:t>
                  </w:r>
                </w:p>
              </w:tc>
              <w:tc>
                <w:tcPr/>
                <w:p>
                  <w:pPr>
                    <w:pStyle w:val="Compact"/>
                    <w:jc w:val="left"/>
                    <w:jc w:val="center"/>
                  </w:pPr>
                  <w:r>
                    <w:t xml:space="preserve">0.2457</w:t>
                  </w:r>
                </w:p>
              </w:tc>
              <w:tc>
                <w:tcPr/>
                <w:p>
                  <w:pPr>
                    <w:pStyle w:val="Compact"/>
                    <w:jc w:val="left"/>
                    <w:jc w:val="center"/>
                  </w:pPr>
                  <w:r>
                    <w:t xml:space="preserve">0.004057</w:t>
                  </w:r>
                </w:p>
              </w:tc>
              <w:tc>
                <w:tcPr/>
                <w:p>
                  <w:pPr>
                    <w:pStyle w:val="Compact"/>
                    <w:jc w:val="left"/>
                    <w:jc w:val="center"/>
                  </w:pPr>
                  <w:r>
                    <w:t xml:space="preserve">2.556</w:t>
                  </w:r>
                </w:p>
              </w:tc>
              <w:tc>
                <w:tcPr/>
                <w:p>
                  <w:pPr>
                    <w:pStyle w:val="Compact"/>
                    <w:jc w:val="left"/>
                    <w:jc w:val="center"/>
                  </w:pPr>
                  <w:r>
                    <w:t xml:space="preserve">W m^-2</w:t>
                  </w:r>
                </w:p>
              </w:tc>
            </w:tr>
            <w:tr>
              <w:tc>
                <w:tcPr/>
                <w:p>
                  <w:pPr>
                    <w:pStyle w:val="Compact"/>
                    <w:jc w:val="left"/>
                    <w:jc w:val="center"/>
                  </w:pPr>
                  <w:r>
                    <w:t xml:space="preserve">10</w:t>
                  </w:r>
                </w:p>
              </w:tc>
              <w:tc>
                <w:tcPr/>
                <w:p>
                  <w:pPr>
                    <w:pStyle w:val="Compact"/>
                    <w:jc w:val="left"/>
                    <w:jc w:val="center"/>
                  </w:pPr>
                  <w:r>
                    <w:t xml:space="preserve">120</w:t>
                  </w:r>
                </w:p>
              </w:tc>
              <w:tc>
                <w:tcPr/>
                <w:p>
                  <w:pPr>
                    <w:pStyle w:val="Compact"/>
                    <w:jc w:val="left"/>
                    <w:jc w:val="center"/>
                  </w:pPr>
                  <w:r>
                    <w:t xml:space="preserve">1.698</w:t>
                  </w:r>
                </w:p>
              </w:tc>
              <w:tc>
                <w:tcPr/>
                <w:p>
                  <w:pPr>
                    <w:pStyle w:val="Compact"/>
                    <w:jc w:val="left"/>
                    <w:jc w:val="center"/>
                  </w:pPr>
                  <w:r>
                    <w:t xml:space="preserve">0.009712</w:t>
                  </w:r>
                </w:p>
              </w:tc>
              <w:tc>
                <w:tcPr/>
                <w:p>
                  <w:pPr>
                    <w:pStyle w:val="Compact"/>
                    <w:jc w:val="left"/>
                    <w:jc w:val="center"/>
                  </w:pPr>
                  <w:r>
                    <w:t xml:space="preserve">26.51</w:t>
                  </w:r>
                </w:p>
              </w:tc>
              <w:tc>
                <w:tcPr/>
                <w:p>
                  <w:pPr>
                    <w:pStyle w:val="Compact"/>
                    <w:jc w:val="left"/>
                    <w:jc w:val="center"/>
                  </w:pPr>
                  <w:r>
                    <w:t xml:space="preserve">W m^-2</w:t>
                  </w:r>
                </w:p>
              </w:tc>
            </w:tr>
          </w:tbl>
          <w:bookmarkEnd w:id="234"/>
          <w:p/>
        </w:tc>
      </w:tr>
    </w:tbl>
    <w:tbl>
      <w:tblPr>
        <w:tblStyle w:val="Table"/>
        <w:tblW w:type="pct" w:w="5000"/>
        <w:tblLayout w:type="fixed"/>
        <w:tblLook w:firstRow="0" w:lastRow="0" w:firstColumn="0" w:lastColumn="0" w:noHBand="0" w:noVBand="0" w:val="0000"/>
      </w:tblPr>
      <w:tblGrid>
        <w:gridCol w:w="7920"/>
      </w:tblGrid>
      <w:tr>
        <w:tc>
          <w:tcPr/>
          <w:bookmarkStart w:id="238" w:name="fig-retornos"/>
          <w:p>
            <w:pPr>
              <w:pStyle w:val="Compact"/>
              <w:jc w:val="center"/>
            </w:pPr>
            <w:r>
              <w:drawing>
                <wp:inline>
                  <wp:extent cx="5829300" cy="2975821"/>
                  <wp:effectExtent b="0" l="0" r="0" t="0"/>
                  <wp:docPr descr="" title="" id="236" name="Picture"/>
                  <a:graphic>
                    <a:graphicData uri="http://schemas.openxmlformats.org/drawingml/2006/picture">
                      <pic:pic>
                        <pic:nvPicPr>
                          <pic:cNvPr descr="figuras/niveis_retorno.png" id="237" name="Picture"/>
                          <pic:cNvPicPr>
                            <a:picLocks noChangeArrowheads="1" noChangeAspect="1"/>
                          </pic:cNvPicPr>
                        </pic:nvPicPr>
                        <pic:blipFill>
                          <a:blip r:embed="rId235"/>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41: Curva de retorno estacionária histórica e intervalo bootstrap. Dez anos já extrapolam o período observado; a faixa não inclui toda a incerteza estrutural do modelo. Pontos com posição empírica até dez anos; todos os máximos constam do QQ e das tabelas.</w:t>
            </w:r>
          </w:p>
          <w:bookmarkEnd w:id="238"/>
        </w:tc>
      </w:tr>
    </w:tbl>
    <w:tbl>
      <w:tblPr>
        <w:tblStyle w:val="Table"/>
        <w:tblW w:type="pct" w:w="5000"/>
        <w:tblLayout w:type="fixed"/>
        <w:tblLook w:firstRow="0" w:lastRow="0" w:firstColumn="0" w:lastColumn="0" w:noHBand="0" w:noVBand="0" w:val="0000"/>
      </w:tblPr>
      <w:tblGrid>
        <w:gridCol w:w="7920"/>
      </w:tblGrid>
      <w:tr>
        <w:tc>
          <w:tcPr/>
          <w:bookmarkStart w:id="239" w:name="tbl-calibracao-retornos"/>
          <w:p>
            <w:pPr>
              <w:jc w:val="center"/>
            </w:pPr>
            <w:pPr>
              <w:jc w:val="start"/>
              <w:spacing w:before="200"/>
              <w:pStyle w:val="ImageCaption"/>
            </w:pPr>
            <w:r>
              <w:t xml:space="preserve">Tabela 33: Calibração na amostra: excedências observadas dos níveis calculados e contagens esperadas pela GEV constante. Diagnóstico descritivo, não teste binomial sob dependência.</w:t>
            </w:r>
          </w:p>
          <w:p>
            <w:pPr>
              <w:pStyle w:val="Compact"/>
              <w:jc w:val="center"/>
            </w:pPr>
            <w:r>
              <w:t xml:space="preserve">Calibração na amostra: excedências observadas dos níveis calculados e contagens esperadas pela GEV constante. Diagnóstico descritivo, não teste binomial sob dependência.</w:t>
            </w:r>
          </w:p>
          <w:tbl>
            <w:tblPr>
              <w:tblStyle w:val="Table"/>
              <w:tblW w:type="pct" w:w="5000"/>
              <w:tblLayout w:type="fixed"/>
              <w:tblLook w:firstRow="1" w:lastRow="0" w:firstColumn="0" w:lastColumn="0" w:noHBand="0" w:noVBand="0" w:val="0020"/>
              <w:tblCaption w:val="Calibração na amostra: excedências observadas dos níveis calculados e contagens esperadas pela GEV constante. Diagnóstico descritivo, não teste binomial sob dependência."/>
            </w:tblPr>
            <w:tblGrid>
              <w:gridCol w:w="1980"/>
              <w:gridCol w:w="3111"/>
              <w:gridCol w:w="2828"/>
            </w:tblGrid>
            <w:tr>
              <w:trPr>
                <w:tblHeader w:val="on"/>
              </w:trPr>
              <w:tc>
                <w:tcPr/>
                <w:p>
                  <w:pPr>
                    <w:pStyle w:val="Compact"/>
                    <w:jc w:val="left"/>
                    <w:jc w:val="center"/>
                  </w:pPr>
                  <w:r>
                    <w:t xml:space="preserve">anos</w:t>
                  </w:r>
                </w:p>
              </w:tc>
              <w:tc>
                <w:tcPr/>
                <w:p>
                  <w:pPr>
                    <w:pStyle w:val="Compact"/>
                    <w:jc w:val="left"/>
                    <w:jc w:val="center"/>
                  </w:pPr>
                  <w:r>
                    <w:t xml:space="preserve">observadas</w:t>
                  </w:r>
                </w:p>
              </w:tc>
              <w:tc>
                <w:tcPr/>
                <w:p>
                  <w:pPr>
                    <w:pStyle w:val="Compact"/>
                    <w:jc w:val="left"/>
                    <w:jc w:val="center"/>
                  </w:pPr>
                  <w:r>
                    <w:t xml:space="preserve">esperadas modelo</w:t>
                  </w:r>
                </w:p>
              </w:tc>
            </w:tr>
            <w:tr>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7.833</w:t>
                  </w:r>
                </w:p>
              </w:tc>
            </w:tr>
            <w:tr>
              <w:tc>
                <w:tcPr/>
                <w:p>
                  <w:pPr>
                    <w:pStyle w:val="Compact"/>
                    <w:jc w:val="left"/>
                    <w:jc w:val="center"/>
                  </w:pPr>
                  <w:r>
                    <w:t xml:space="preserve">2</w:t>
                  </w:r>
                </w:p>
              </w:tc>
              <w:tc>
                <w:tcPr/>
                <w:p>
                  <w:pPr>
                    <w:pStyle w:val="Compact"/>
                    <w:jc w:val="left"/>
                    <w:jc w:val="center"/>
                  </w:pPr>
                  <w:r>
                    <w:t xml:space="preserve">0</w:t>
                  </w:r>
                </w:p>
              </w:tc>
              <w:tc>
                <w:tcPr/>
                <w:p>
                  <w:pPr>
                    <w:pStyle w:val="Compact"/>
                    <w:jc w:val="left"/>
                    <w:jc w:val="center"/>
                  </w:pPr>
                  <w:r>
                    <w:t xml:space="preserve">3.917</w:t>
                  </w:r>
                </w:p>
              </w:tc>
            </w:tr>
            <w:tr>
              <w:tc>
                <w:tcPr/>
                <w:p>
                  <w:pPr>
                    <w:pStyle w:val="Compact"/>
                    <w:jc w:val="left"/>
                    <w:jc w:val="center"/>
                  </w:pPr>
                  <w:r>
                    <w:t xml:space="preserve">5</w:t>
                  </w:r>
                </w:p>
              </w:tc>
              <w:tc>
                <w:tcPr/>
                <w:p>
                  <w:pPr>
                    <w:pStyle w:val="Compact"/>
                    <w:jc w:val="left"/>
                    <w:jc w:val="center"/>
                  </w:pPr>
                  <w:r>
                    <w:t xml:space="preserve">0</w:t>
                  </w:r>
                </w:p>
              </w:tc>
              <w:tc>
                <w:tcPr/>
                <w:p>
                  <w:pPr>
                    <w:pStyle w:val="Compact"/>
                    <w:jc w:val="left"/>
                    <w:jc w:val="center"/>
                  </w:pPr>
                  <w:r>
                    <w:t xml:space="preserve">1.567</w:t>
                  </w:r>
                </w:p>
              </w:tc>
            </w:tr>
            <w:tr>
              <w:tc>
                <w:tcPr/>
                <w:p>
                  <w:pPr>
                    <w:pStyle w:val="Compact"/>
                    <w:jc w:val="left"/>
                    <w:jc w:val="center"/>
                  </w:pPr>
                  <w:r>
                    <w:t xml:space="preserve">10</w:t>
                  </w:r>
                </w:p>
              </w:tc>
              <w:tc>
                <w:tcPr/>
                <w:p>
                  <w:pPr>
                    <w:pStyle w:val="Compact"/>
                    <w:jc w:val="left"/>
                    <w:jc w:val="center"/>
                  </w:pPr>
                  <w:r>
                    <w:t xml:space="preserve">0</w:t>
                  </w:r>
                </w:p>
              </w:tc>
              <w:tc>
                <w:tcPr/>
                <w:p>
                  <w:pPr>
                    <w:pStyle w:val="Compact"/>
                    <w:jc w:val="left"/>
                    <w:jc w:val="center"/>
                  </w:pPr>
                  <w:r>
                    <w:t xml:space="preserve">0.7833</w:t>
                  </w:r>
                </w:p>
              </w:tc>
            </w:tr>
          </w:tbl>
          <w:bookmarkEnd w:id="239"/>
          <w:p/>
        </w:tc>
      </w:tr>
    </w:tbl>
    <w:p>
      <w:pPr>
        <w:pStyle w:val="BodyText"/>
      </w:pPr>
      <w:r>
        <w:t xml:space="preserve">Os níveis são inadequados para uso prospectivo: o nível formal de um ano é 1.8 vezes o maior fluxo efetivamente observado, e não teve excedências, embora o modelo constante esperasse aproximadamente 7.8 na amostra elegível. A extrapolação de dez anos atinge 1160 vezes o maior fluxo observado. O bootstrap quantifica variação sob a aproximação de referência, mas não corrige sua má especificação.</w:t>
      </w:r>
    </w:p>
    <w:p>
      <w:pPr>
        <w:pStyle w:val="BodyText"/>
      </w:pPr>
      <w:r>
        <w:t xml:space="preserve">Além disso, 2 níveis excedem o limite valid_max declarado pelo produto (2.000e-01 W m⁻²). Esse limite é da faixa declarada de validade do produto, não um limite físico demonstrado para a emissão solar; extrapolações além dele carecem também de validação instrumental.</w:t>
      </w:r>
    </w:p>
    <w:p>
      <w:pPr>
        <w:pStyle w:val="BodyText"/>
      </w:pPr>
      <w:r>
        <w:t xml:space="preserve">Para o bloco mensal, são usados 12 blocos por ano. O nível de 10 anos é 1.698e+00 W m⁻², com IC de 95% [9.712e-03, 2.651e+01] W m⁻². Ele corresponde à probabilidade de excedência</w:t>
      </w:r>
      <w:r>
        <w:t xml:space="preserve"> </w:t>
      </w:r>
      <w:r>
        <w:rPr>
          <w:b/>
          <w:bCs/>
        </w:rPr>
        <w:t xml:space="preserve">por bloco</w:t>
      </w:r>
      <w:r>
        <w:t xml:space="preserve"> </w:t>
      </w:r>
      <m:oMath>
        <m:r>
          <m:t>1</m:t>
        </m:r>
        <m:r>
          <m:rPr>
            <m:sty m:val="p"/>
          </m:rPr>
          <m:t>/</m:t>
        </m:r>
        <m:d>
          <m:dPr>
            <m:begChr m:val="("/>
            <m:sepChr m:val=""/>
            <m:endChr m:val=")"/>
            <m:grow/>
          </m:dPr>
          <m:e>
            <m:r>
              <m:t>10</m:t>
            </m:r>
            <m:r>
              <m:t>b</m:t>
            </m:r>
          </m:e>
        </m:d>
      </m:oMath>
      <w:r>
        <w:t xml:space="preserve"> </w:t>
      </w:r>
      <w:r>
        <w:t xml:space="preserve">no modelo histórico. Não significa ocorrência agendada uma vez a cada dez anos.</w:t>
      </w:r>
    </w:p>
    <w:p>
      <w:pPr>
        <w:pStyle w:val="BodyText"/>
      </w:pPr>
      <w:r>
        <w:t xml:space="preserve">Sob independência, a probabilidade de pelo menos uma excedência em um ano é</w:t>
      </w:r>
      <w:r>
        <w:t xml:space="preserve"> </w:t>
      </w:r>
      <m:oMath>
        <m:r>
          <m:t>1</m:t>
        </m:r>
        <m:r>
          <m:rPr>
            <m:sty m:val="p"/>
          </m:rPr>
          <m:t>−</m:t>
        </m:r>
        <m:sSup>
          <m:e>
            <m:d>
              <m:dPr>
                <m:begChr m:val="("/>
                <m:sepChr m:val=""/>
                <m:endChr m:val=")"/>
                <m:grow/>
              </m:dPr>
              <m:e>
                <m:r>
                  <m:t>1</m:t>
                </m:r>
                <m:r>
                  <m:rPr>
                    <m:sty m:val="p"/>
                  </m:rPr>
                  <m:t>−</m:t>
                </m:r>
                <m:r>
                  <m:t>1</m:t>
                </m:r>
                <m:r>
                  <m:rPr>
                    <m:sty m:val="p"/>
                  </m:rPr>
                  <m:t>/</m:t>
                </m:r>
                <m:d>
                  <m:dPr>
                    <m:begChr m:val="("/>
                    <m:sepChr m:val=""/>
                    <m:endChr m:val=")"/>
                    <m:grow/>
                  </m:dPr>
                  <m:e>
                    <m:r>
                      <m:t>b</m:t>
                    </m:r>
                    <m:r>
                      <m:t>T</m:t>
                    </m:r>
                  </m:e>
                </m:d>
              </m:e>
            </m:d>
          </m:e>
          <m:sup>
            <m:r>
              <m:t>b</m:t>
            </m:r>
          </m:sup>
        </m:sSup>
      </m:oMath>
      <w:r>
        <w:t xml:space="preserve">, que não é exatamente</w:t>
      </w:r>
      <w:r>
        <w:t xml:space="preserve"> </w:t>
      </w:r>
      <m:oMath>
        <m:r>
          <m:t>1</m:t>
        </m:r>
        <m:r>
          <m:rPr>
            <m:sty m:val="p"/>
          </m:rPr>
          <m:t>/</m:t>
        </m:r>
        <m:r>
          <m:t>T</m:t>
        </m:r>
      </m:oMath>
      <w:r>
        <w:t xml:space="preserve">. A média de espera de</w:t>
      </w:r>
      <w:r>
        <w:t xml:space="preserve"> </w:t>
      </w:r>
      <m:oMath>
        <m:r>
          <m:t>b</m:t>
        </m:r>
        <m:r>
          <m:t>T</m:t>
        </m:r>
      </m:oMath>
      <w:r>
        <w:t xml:space="preserve"> </w:t>
      </w:r>
      <w:r>
        <w:t xml:space="preserve">blocos exige estabilidade e independência aproximadas. Mudanças de atividade e agrupamento de flares alteram essa leitura. Um IC frequentista de 95% descreve a cobertura de um procedimento sob suas hipóteses, não uma probabilidade posterior de 95% para um parâmetro fixo.</w:t>
      </w:r>
    </w:p>
    <w:tbl>
      <w:tblPr>
        <w:tblStyle w:val="Table"/>
        <w:tblW w:type="pct" w:w="5000"/>
        <w:tblLayout w:type="fixed"/>
        <w:tblLook w:firstRow="0" w:lastRow="0" w:firstColumn="0" w:lastColumn="0" w:noHBand="0" w:noVBand="0" w:val="0000"/>
      </w:tblPr>
      <w:tblGrid>
        <w:gridCol w:w="7920"/>
      </w:tblGrid>
      <w:tr>
        <w:tc>
          <w:tcPr/>
          <w:bookmarkStart w:id="240" w:name="tbl-condicionais"/>
          <w:p>
            <w:pPr>
              <w:jc w:val="center"/>
            </w:pPr>
            <w:pPr>
              <w:jc w:val="start"/>
              <w:spacing w:before="200"/>
              <w:pStyle w:val="ImageCaption"/>
            </w:pPr>
            <w:r>
              <w:t xml:space="preserve">Tabela 34: Extensão: quantis condicionais com a covariável congelada na data do último bloco; IC delta no log-quantil sob independência aproximada, em W m⁻².</w:t>
            </w:r>
          </w:p>
          <w:p>
            <w:pPr>
              <w:pStyle w:val="Compact"/>
              <w:jc w:val="center"/>
            </w:pPr>
            <w:r>
              <w:t xml:space="preserve">Extensão: quantis condicionais com a covariável congelada na data do último bloco; IC delta no log-quantil sob independência aproximada, em W m⁻².</w:t>
            </w:r>
          </w:p>
          <w:tbl>
            <w:tblPr>
              <w:tblStyle w:val="Table"/>
              <w:tblW w:type="pct" w:w="5000"/>
              <w:tblLayout w:type="fixed"/>
              <w:tblLook w:firstRow="1" w:lastRow="0" w:firstColumn="0" w:lastColumn="0" w:noHBand="0" w:noVBand="0" w:val="0020"/>
              <w:tblCaption w:val="Extensão: quantis condicionais com a covariável congelada na data do último bloco; IC delta no log-quantil sob independência aproximada, em W m⁻²."/>
            </w:tblPr>
            <w:tblGrid>
              <w:gridCol w:w="1155"/>
              <w:gridCol w:w="1815"/>
              <w:gridCol w:w="1815"/>
              <w:gridCol w:w="1650"/>
              <w:gridCol w:w="1485"/>
            </w:tblGrid>
            <w:tr>
              <w:trPr>
                <w:tblHeader w:val="on"/>
              </w:trPr>
              <w:tc>
                <w:tcPr/>
                <w:p>
                  <w:pPr>
                    <w:pStyle w:val="Compact"/>
                    <w:jc w:val="left"/>
                    <w:jc w:val="center"/>
                  </w:pPr>
                  <w:r>
                    <w:t xml:space="preserve">anos</w:t>
                  </w:r>
                </w:p>
              </w:tc>
              <w:tc>
                <w:tcPr/>
                <w:p>
                  <w:pPr>
                    <w:pStyle w:val="Compact"/>
                    <w:jc w:val="left"/>
                    <w:jc w:val="center"/>
                  </w:pPr>
                  <w:r>
                    <w:t xml:space="preserve">referencia</w:t>
                  </w:r>
                </w:p>
              </w:tc>
              <w:tc>
                <w:tcPr/>
                <w:p>
                  <w:pPr>
                    <w:pStyle w:val="Compact"/>
                    <w:jc w:val="left"/>
                    <w:jc w:val="center"/>
                  </w:pPr>
                  <w:r>
                    <w:t xml:space="preserve">estimativa</w:t>
                  </w:r>
                </w:p>
              </w:tc>
              <w:tc>
                <w:tcPr/>
                <w:p>
                  <w:pPr>
                    <w:pStyle w:val="Compact"/>
                    <w:jc w:val="left"/>
                    <w:jc w:val="center"/>
                  </w:pPr>
                  <w:r>
                    <w:t xml:space="preserve">inferior</w:t>
                  </w:r>
                </w:p>
              </w:tc>
              <w:tc>
                <w:tcPr/>
                <w:p>
                  <w:pPr>
                    <w:pStyle w:val="Compact"/>
                    <w:jc w:val="left"/>
                    <w:jc w:val="center"/>
                  </w:pPr>
                  <w:r>
                    <w:t xml:space="preserve">superior</w:t>
                  </w:r>
                </w:p>
              </w:tc>
            </w:tr>
            <w:tr>
              <w:tc>
                <w:tcPr/>
                <w:p>
                  <w:pPr>
                    <w:pStyle w:val="Compact"/>
                    <w:jc w:val="left"/>
                    <w:jc w:val="center"/>
                  </w:pPr>
                  <w:r>
                    <w:t xml:space="preserve">1</w:t>
                  </w:r>
                </w:p>
              </w:tc>
              <w:tc>
                <w:tcPr/>
                <w:p>
                  <w:pPr>
                    <w:pStyle w:val="Compact"/>
                    <w:jc w:val="left"/>
                    <w:jc w:val="center"/>
                  </w:pPr>
                  <w:r>
                    <w:t xml:space="preserve">2025-03-01</w:t>
                  </w:r>
                </w:p>
              </w:tc>
              <w:tc>
                <w:tcPr/>
                <w:p>
                  <w:pPr>
                    <w:pStyle w:val="Compact"/>
                    <w:jc w:val="left"/>
                    <w:jc w:val="center"/>
                  </w:pPr>
                  <w:r>
                    <w:t xml:space="preserve">0.003009</w:t>
                  </w:r>
                </w:p>
              </w:tc>
              <w:tc>
                <w:tcPr/>
                <w:p>
                  <w:pPr>
                    <w:pStyle w:val="Compact"/>
                    <w:jc w:val="left"/>
                    <w:jc w:val="center"/>
                  </w:pPr>
                  <w:r>
                    <w:t xml:space="preserve">6.389e-04</w:t>
                  </w:r>
                </w:p>
              </w:tc>
              <w:tc>
                <w:tcPr/>
                <w:p>
                  <w:pPr>
                    <w:pStyle w:val="Compact"/>
                    <w:jc w:val="left"/>
                    <w:jc w:val="center"/>
                  </w:pPr>
                  <w:r>
                    <w:t xml:space="preserve">0.01417</w:t>
                  </w:r>
                </w:p>
              </w:tc>
            </w:tr>
            <w:tr>
              <w:tc>
                <w:tcPr/>
                <w:p>
                  <w:pPr>
                    <w:pStyle w:val="Compact"/>
                    <w:jc w:val="left"/>
                    <w:jc w:val="center"/>
                  </w:pPr>
                  <w:r>
                    <w:t xml:space="preserve">2</w:t>
                  </w:r>
                </w:p>
              </w:tc>
              <w:tc>
                <w:tcPr/>
                <w:p>
                  <w:pPr>
                    <w:pStyle w:val="Compact"/>
                    <w:jc w:val="left"/>
                    <w:jc w:val="center"/>
                  </w:pPr>
                  <w:r>
                    <w:t xml:space="preserve">2025-03-01</w:t>
                  </w:r>
                </w:p>
              </w:tc>
              <w:tc>
                <w:tcPr/>
                <w:p>
                  <w:pPr>
                    <w:pStyle w:val="Compact"/>
                    <w:jc w:val="left"/>
                    <w:jc w:val="center"/>
                  </w:pPr>
                  <w:r>
                    <w:t xml:space="preserve">0.02332</w:t>
                  </w:r>
                </w:p>
              </w:tc>
              <w:tc>
                <w:tcPr/>
                <w:p>
                  <w:pPr>
                    <w:pStyle w:val="Compact"/>
                    <w:jc w:val="left"/>
                    <w:jc w:val="center"/>
                  </w:pPr>
                  <w:r>
                    <w:t xml:space="preserve">0.003367</w:t>
                  </w:r>
                </w:p>
              </w:tc>
              <w:tc>
                <w:tcPr/>
                <w:p>
                  <w:pPr>
                    <w:pStyle w:val="Compact"/>
                    <w:jc w:val="left"/>
                    <w:jc w:val="center"/>
                  </w:pPr>
                  <w:r>
                    <w:t xml:space="preserve">0.1615</w:t>
                  </w:r>
                </w:p>
              </w:tc>
            </w:tr>
            <w:tr>
              <w:tc>
                <w:tcPr/>
                <w:p>
                  <w:pPr>
                    <w:pStyle w:val="Compact"/>
                    <w:jc w:val="left"/>
                    <w:jc w:val="center"/>
                  </w:pPr>
                  <w:r>
                    <w:t xml:space="preserve">5</w:t>
                  </w:r>
                </w:p>
              </w:tc>
              <w:tc>
                <w:tcPr/>
                <w:p>
                  <w:pPr>
                    <w:pStyle w:val="Compact"/>
                    <w:jc w:val="left"/>
                    <w:jc w:val="center"/>
                  </w:pPr>
                  <w:r>
                    <w:t xml:space="preserve">2025-03-01</w:t>
                  </w:r>
                </w:p>
              </w:tc>
              <w:tc>
                <w:tcPr/>
                <w:p>
                  <w:pPr>
                    <w:pStyle w:val="Compact"/>
                    <w:jc w:val="left"/>
                    <w:jc w:val="center"/>
                  </w:pPr>
                  <w:r>
                    <w:t xml:space="preserve">0.3334</w:t>
                  </w:r>
                </w:p>
              </w:tc>
              <w:tc>
                <w:tcPr/>
                <w:p>
                  <w:pPr>
                    <w:pStyle w:val="Compact"/>
                    <w:jc w:val="left"/>
                    <w:jc w:val="center"/>
                  </w:pPr>
                  <w:r>
                    <w:t xml:space="preserve">0.02872</w:t>
                  </w:r>
                </w:p>
              </w:tc>
              <w:tc>
                <w:tcPr/>
                <w:p>
                  <w:pPr>
                    <w:pStyle w:val="Compact"/>
                    <w:jc w:val="left"/>
                    <w:jc w:val="center"/>
                  </w:pPr>
                  <w:r>
                    <w:t xml:space="preserve">3.871</w:t>
                  </w:r>
                </w:p>
              </w:tc>
            </w:tr>
            <w:tr>
              <w:tc>
                <w:tcPr/>
                <w:p>
                  <w:pPr>
                    <w:pStyle w:val="Compact"/>
                    <w:jc w:val="left"/>
                    <w:jc w:val="center"/>
                  </w:pPr>
                  <w:r>
                    <w:t xml:space="preserve">10</w:t>
                  </w:r>
                </w:p>
              </w:tc>
              <w:tc>
                <w:tcPr/>
                <w:p>
                  <w:pPr>
                    <w:pStyle w:val="Compact"/>
                    <w:jc w:val="left"/>
                    <w:jc w:val="center"/>
                  </w:pPr>
                  <w:r>
                    <w:t xml:space="preserve">2025-03-01</w:t>
                  </w:r>
                </w:p>
              </w:tc>
              <w:tc>
                <w:tcPr/>
                <w:p>
                  <w:pPr>
                    <w:pStyle w:val="Compact"/>
                    <w:jc w:val="left"/>
                    <w:jc w:val="center"/>
                  </w:pPr>
                  <w:r>
                    <w:t xml:space="preserve">2.455</w:t>
                  </w:r>
                </w:p>
              </w:tc>
              <w:tc>
                <w:tcPr/>
                <w:p>
                  <w:pPr>
                    <w:pStyle w:val="Compact"/>
                    <w:jc w:val="left"/>
                    <w:jc w:val="center"/>
                  </w:pPr>
                  <w:r>
                    <w:t xml:space="preserve">0.1426</w:t>
                  </w:r>
                </w:p>
              </w:tc>
              <w:tc>
                <w:tcPr/>
                <w:p>
                  <w:pPr>
                    <w:pStyle w:val="Compact"/>
                    <w:jc w:val="left"/>
                    <w:jc w:val="center"/>
                  </w:pPr>
                  <w:r>
                    <w:t xml:space="preserve">42.29</w:t>
                  </w:r>
                </w:p>
              </w:tc>
            </w:tr>
          </w:tbl>
          <w:bookmarkEnd w:id="240"/>
          <w:p/>
        </w:tc>
      </w:tr>
    </w:tbl>
    <w:p>
      <w:pPr>
        <w:pStyle w:val="BodyText"/>
      </w:pPr>
      <w:r>
        <w:t xml:space="preserve">Esses quantis condicionais representam o cenário de manter a covariável temporal no valor de referência. Não são níveis de retorno para uma trajetória futura de atividade variável. Sob não estacionariedade, uma avaliação prospectiva exigiria integrar probabilidades de excedência ao longo de uma trajetória de covariáveis fisicamente justificada. O intervalo delta é calculado no log-quantil quando positivo e reconvertido à unidade original, evitando limites inferiores negativos puramente numéricos. A incerteza delta da extensão não inclui dependência nem incerteza sobre essa trajetória e não deve ser confundida com a faixa bootstrap histórica.</w:t>
      </w:r>
    </w:p>
    <w:bookmarkStart w:id="248" w:name="Xc8ef70a092cb28d47579b0c7b94cf4689feacef"/>
    <w:p>
      <w:pPr>
        <w:pStyle w:val="Heading2"/>
      </w:pPr>
      <w:r>
        <w:t xml:space="preserve">11.1 Maiores minutos e episódios temporalmente separados</w:t>
      </w:r>
    </w:p>
    <w:tbl>
      <w:tblPr>
        <w:tblStyle w:val="Table"/>
        <w:tblW w:type="pct" w:w="5000"/>
        <w:tblLayout w:type="fixed"/>
        <w:tblLook w:firstRow="0" w:lastRow="0" w:firstColumn="0" w:lastColumn="0" w:noHBand="0" w:noVBand="0" w:val="0000"/>
      </w:tblPr>
      <w:tblGrid>
        <w:gridCol w:w="7920"/>
      </w:tblGrid>
      <w:tr>
        <w:tc>
          <w:tcPr/>
          <w:bookmarkStart w:id="241" w:name="tbl-picos"/>
          <w:p>
            <w:pPr>
              <w:jc w:val="center"/>
            </w:pPr>
            <w:pPr>
              <w:jc w:val="start"/>
              <w:spacing w:before="200"/>
              <w:pStyle w:val="ImageCaption"/>
            </w:pPr>
            <w:r>
              <w:t xml:space="preserve">Tabela 35: Vinte maiores minutos válidos, em UTC, fluxo em W m⁻². Não são necessariamente vinte eventos distintos.</w:t>
            </w:r>
          </w:p>
          <w:p>
            <w:pPr>
              <w:pStyle w:val="Compact"/>
              <w:jc w:val="center"/>
            </w:pPr>
            <w:r>
              <w:t xml:space="preserve">Vinte maiores minutos válidos, em UTC, fluxo em W m⁻². Não são necessariamente vinte eventos distintos.</w:t>
            </w:r>
          </w:p>
          <w:tbl>
            <w:tblPr>
              <w:tblStyle w:val="Table"/>
              <w:tblW w:type="pct" w:w="5000"/>
              <w:tblLayout w:type="fixed"/>
              <w:tblLook w:firstRow="1" w:lastRow="0" w:firstColumn="0" w:lastColumn="0" w:noHBand="0" w:noVBand="0" w:val="0020"/>
              <w:tblCaption w:val="Vinte maiores minutos válidos, em UTC, fluxo em W m⁻². Não são necessariamente vinte eventos distintos."/>
            </w:tblPr>
            <w:tblGrid>
              <w:gridCol w:w="1712"/>
              <w:gridCol w:w="2354"/>
              <w:gridCol w:w="1926"/>
              <w:gridCol w:w="1926"/>
            </w:tblGrid>
            <w:tr>
              <w:trPr>
                <w:tblHeader w:val="on"/>
              </w:trPr>
              <w:tc>
                <w:tcPr/>
                <w:p>
                  <w:pPr>
                    <w:pStyle w:val="Compact"/>
                    <w:jc w:val="left"/>
                    <w:jc w:val="center"/>
                  </w:pPr>
                  <w:r>
                    <w:t xml:space="preserve">posicao</w:t>
                  </w:r>
                </w:p>
              </w:tc>
              <w:tc>
                <w:tcPr/>
                <w:p>
                  <w:pPr>
                    <w:pStyle w:val="Compact"/>
                    <w:jc w:val="left"/>
                    <w:jc w:val="center"/>
                  </w:pPr>
                  <w:r>
                    <w:t xml:space="preserve">data</w:t>
                  </w:r>
                </w:p>
              </w:tc>
              <w:tc>
                <w:tcPr/>
                <w:p>
                  <w:pPr>
                    <w:pStyle w:val="Compact"/>
                    <w:jc w:val="left"/>
                    <w:jc w:val="center"/>
                  </w:pPr>
                  <w:r>
                    <w:t xml:space="preserve">horario</w:t>
                  </w:r>
                </w:p>
              </w:tc>
              <w:tc>
                <w:tcPr/>
                <w:p>
                  <w:pPr>
                    <w:pStyle w:val="Compact"/>
                    <w:jc w:val="left"/>
                    <w:jc w:val="center"/>
                  </w:pPr>
                  <w:r>
                    <w:t xml:space="preserve">xrsb flux</w:t>
                  </w:r>
                </w:p>
              </w:tc>
            </w:tr>
            <w:tr>
              <w:tc>
                <w:tcPr/>
                <w:p>
                  <w:pPr>
                    <w:pStyle w:val="Compact"/>
                    <w:jc w:val="left"/>
                    <w:jc w:val="center"/>
                  </w:pPr>
                  <w:r>
                    <w:t xml:space="preserve">1</w:t>
                  </w:r>
                </w:p>
              </w:tc>
              <w:tc>
                <w:tcPr/>
                <w:p>
                  <w:pPr>
                    <w:pStyle w:val="Compact"/>
                    <w:jc w:val="left"/>
                    <w:jc w:val="center"/>
                  </w:pPr>
                  <w:r>
                    <w:t xml:space="preserve">2017-09-06</w:t>
                  </w:r>
                </w:p>
              </w:tc>
              <w:tc>
                <w:tcPr/>
                <w:p>
                  <w:pPr>
                    <w:pStyle w:val="Compact"/>
                    <w:jc w:val="left"/>
                    <w:jc w:val="center"/>
                  </w:pPr>
                  <w:r>
                    <w:t xml:space="preserve">12:02:00</w:t>
                  </w:r>
                </w:p>
              </w:tc>
              <w:tc>
                <w:tcPr/>
                <w:p>
                  <w:pPr>
                    <w:pStyle w:val="Compact"/>
                    <w:jc w:val="left"/>
                    <w:jc w:val="center"/>
                  </w:pPr>
                  <w:r>
                    <w:t xml:space="preserve">0.001464</w:t>
                  </w:r>
                </w:p>
              </w:tc>
            </w:tr>
            <w:tr>
              <w:tc>
                <w:tcPr/>
                <w:p>
                  <w:pPr>
                    <w:pStyle w:val="Compact"/>
                    <w:jc w:val="left"/>
                    <w:jc w:val="center"/>
                  </w:pPr>
                  <w:r>
                    <w:t xml:space="preserve">2</w:t>
                  </w:r>
                </w:p>
              </w:tc>
              <w:tc>
                <w:tcPr/>
                <w:p>
                  <w:pPr>
                    <w:pStyle w:val="Compact"/>
                    <w:jc w:val="left"/>
                    <w:jc w:val="center"/>
                  </w:pPr>
                  <w:r>
                    <w:t xml:space="preserve">2017-09-06</w:t>
                  </w:r>
                </w:p>
              </w:tc>
              <w:tc>
                <w:tcPr/>
                <w:p>
                  <w:pPr>
                    <w:pStyle w:val="Compact"/>
                    <w:jc w:val="left"/>
                    <w:jc w:val="center"/>
                  </w:pPr>
                  <w:r>
                    <w:t xml:space="preserve">12:01:00</w:t>
                  </w:r>
                </w:p>
              </w:tc>
              <w:tc>
                <w:tcPr/>
                <w:p>
                  <w:pPr>
                    <w:pStyle w:val="Compact"/>
                    <w:jc w:val="left"/>
                    <w:jc w:val="center"/>
                  </w:pPr>
                  <w:r>
                    <w:t xml:space="preserve">0.001415</w:t>
                  </w:r>
                </w:p>
              </w:tc>
            </w:tr>
            <w:tr>
              <w:tc>
                <w:tcPr/>
                <w:p>
                  <w:pPr>
                    <w:pStyle w:val="Compact"/>
                    <w:jc w:val="left"/>
                    <w:jc w:val="center"/>
                  </w:pPr>
                  <w:r>
                    <w:t xml:space="preserve">3</w:t>
                  </w:r>
                </w:p>
              </w:tc>
              <w:tc>
                <w:tcPr/>
                <w:p>
                  <w:pPr>
                    <w:pStyle w:val="Compact"/>
                    <w:jc w:val="left"/>
                    <w:jc w:val="center"/>
                  </w:pPr>
                  <w:r>
                    <w:t xml:space="preserve">2017-09-06</w:t>
                  </w:r>
                </w:p>
              </w:tc>
              <w:tc>
                <w:tcPr/>
                <w:p>
                  <w:pPr>
                    <w:pStyle w:val="Compact"/>
                    <w:jc w:val="left"/>
                    <w:jc w:val="center"/>
                  </w:pPr>
                  <w:r>
                    <w:t xml:space="preserve">12:03:00</w:t>
                  </w:r>
                </w:p>
              </w:tc>
              <w:tc>
                <w:tcPr/>
                <w:p>
                  <w:pPr>
                    <w:pStyle w:val="Compact"/>
                    <w:jc w:val="left"/>
                    <w:jc w:val="center"/>
                  </w:pPr>
                  <w:r>
                    <w:t xml:space="preserve">0.001373</w:t>
                  </w:r>
                </w:p>
              </w:tc>
            </w:tr>
            <w:tr>
              <w:tc>
                <w:tcPr/>
                <w:p>
                  <w:pPr>
                    <w:pStyle w:val="Compact"/>
                    <w:jc w:val="left"/>
                    <w:jc w:val="center"/>
                  </w:pPr>
                  <w:r>
                    <w:t xml:space="preserve">4</w:t>
                  </w:r>
                </w:p>
              </w:tc>
              <w:tc>
                <w:tcPr/>
                <w:p>
                  <w:pPr>
                    <w:pStyle w:val="Compact"/>
                    <w:jc w:val="left"/>
                    <w:jc w:val="center"/>
                  </w:pPr>
                  <w:r>
                    <w:t xml:space="preserve">2017-09-10</w:t>
                  </w:r>
                </w:p>
              </w:tc>
              <w:tc>
                <w:tcPr/>
                <w:p>
                  <w:pPr>
                    <w:pStyle w:val="Compact"/>
                    <w:jc w:val="left"/>
                    <w:jc w:val="center"/>
                  </w:pPr>
                  <w:r>
                    <w:t xml:space="preserve">16:06:00</w:t>
                  </w:r>
                </w:p>
              </w:tc>
              <w:tc>
                <w:tcPr/>
                <w:p>
                  <w:pPr>
                    <w:pStyle w:val="Compact"/>
                    <w:jc w:val="left"/>
                    <w:jc w:val="center"/>
                  </w:pPr>
                  <w:r>
                    <w:t xml:space="preserve">0.001292</w:t>
                  </w:r>
                </w:p>
              </w:tc>
            </w:tr>
            <w:tr>
              <w:tc>
                <w:tcPr/>
                <w:p>
                  <w:pPr>
                    <w:pStyle w:val="Compact"/>
                    <w:jc w:val="left"/>
                    <w:jc w:val="center"/>
                  </w:pPr>
                  <w:r>
                    <w:t xml:space="preserve">5</w:t>
                  </w:r>
                </w:p>
              </w:tc>
              <w:tc>
                <w:tcPr/>
                <w:p>
                  <w:pPr>
                    <w:pStyle w:val="Compact"/>
                    <w:jc w:val="left"/>
                    <w:jc w:val="center"/>
                  </w:pPr>
                  <w:r>
                    <w:t xml:space="preserve">2017-09-10</w:t>
                  </w:r>
                </w:p>
              </w:tc>
              <w:tc>
                <w:tcPr/>
                <w:p>
                  <w:pPr>
                    <w:pStyle w:val="Compact"/>
                    <w:jc w:val="left"/>
                    <w:jc w:val="center"/>
                  </w:pPr>
                  <w:r>
                    <w:t xml:space="preserve">16:05:00</w:t>
                  </w:r>
                </w:p>
              </w:tc>
              <w:tc>
                <w:tcPr/>
                <w:p>
                  <w:pPr>
                    <w:pStyle w:val="Compact"/>
                    <w:jc w:val="left"/>
                    <w:jc w:val="center"/>
                  </w:pPr>
                  <w:r>
                    <w:t xml:space="preserve">0.001284</w:t>
                  </w:r>
                </w:p>
              </w:tc>
            </w:tr>
            <w:tr>
              <w:tc>
                <w:tcPr/>
                <w:p>
                  <w:pPr>
                    <w:pStyle w:val="Compact"/>
                    <w:jc w:val="left"/>
                    <w:jc w:val="center"/>
                  </w:pPr>
                  <w:r>
                    <w:t xml:space="preserve">6</w:t>
                  </w:r>
                </w:p>
              </w:tc>
              <w:tc>
                <w:tcPr/>
                <w:p>
                  <w:pPr>
                    <w:pStyle w:val="Compact"/>
                    <w:jc w:val="left"/>
                    <w:jc w:val="center"/>
                  </w:pPr>
                  <w:r>
                    <w:t xml:space="preserve">2017-09-10</w:t>
                  </w:r>
                </w:p>
              </w:tc>
              <w:tc>
                <w:tcPr/>
                <w:p>
                  <w:pPr>
                    <w:pStyle w:val="Compact"/>
                    <w:jc w:val="left"/>
                    <w:jc w:val="center"/>
                  </w:pPr>
                  <w:r>
                    <w:t xml:space="preserve">16:04:00</w:t>
                  </w:r>
                </w:p>
              </w:tc>
              <w:tc>
                <w:tcPr/>
                <w:p>
                  <w:pPr>
                    <w:pStyle w:val="Compact"/>
                    <w:jc w:val="left"/>
                    <w:jc w:val="center"/>
                  </w:pPr>
                  <w:r>
                    <w:t xml:space="preserve">0.001276</w:t>
                  </w:r>
                </w:p>
              </w:tc>
            </w:tr>
            <w:tr>
              <w:tc>
                <w:tcPr/>
                <w:p>
                  <w:pPr>
                    <w:pStyle w:val="Compact"/>
                    <w:jc w:val="left"/>
                    <w:jc w:val="center"/>
                  </w:pPr>
                  <w:r>
                    <w:t xml:space="preserve">7</w:t>
                  </w:r>
                </w:p>
              </w:tc>
              <w:tc>
                <w:tcPr/>
                <w:p>
                  <w:pPr>
                    <w:pStyle w:val="Compact"/>
                    <w:jc w:val="left"/>
                    <w:jc w:val="center"/>
                  </w:pPr>
                  <w:r>
                    <w:t xml:space="preserve">2017-09-10</w:t>
                  </w:r>
                </w:p>
              </w:tc>
              <w:tc>
                <w:tcPr/>
                <w:p>
                  <w:pPr>
                    <w:pStyle w:val="Compact"/>
                    <w:jc w:val="left"/>
                    <w:jc w:val="center"/>
                  </w:pPr>
                  <w:r>
                    <w:t xml:space="preserve">16:07:00</w:t>
                  </w:r>
                </w:p>
              </w:tc>
              <w:tc>
                <w:tcPr/>
                <w:p>
                  <w:pPr>
                    <w:pStyle w:val="Compact"/>
                    <w:jc w:val="left"/>
                    <w:jc w:val="center"/>
                  </w:pPr>
                  <w:r>
                    <w:t xml:space="preserve">0.001273</w:t>
                  </w:r>
                </w:p>
              </w:tc>
            </w:tr>
            <w:tr>
              <w:tc>
                <w:tcPr/>
                <w:p>
                  <w:pPr>
                    <w:pStyle w:val="Compact"/>
                    <w:jc w:val="left"/>
                    <w:jc w:val="center"/>
                  </w:pPr>
                  <w:r>
                    <w:t xml:space="preserve">8</w:t>
                  </w:r>
                </w:p>
              </w:tc>
              <w:tc>
                <w:tcPr/>
                <w:p>
                  <w:pPr>
                    <w:pStyle w:val="Compact"/>
                    <w:jc w:val="left"/>
                    <w:jc w:val="center"/>
                  </w:pPr>
                  <w:r>
                    <w:t xml:space="preserve">2017-09-10</w:t>
                  </w:r>
                </w:p>
              </w:tc>
              <w:tc>
                <w:tcPr/>
                <w:p>
                  <w:pPr>
                    <w:pStyle w:val="Compact"/>
                    <w:jc w:val="left"/>
                    <w:jc w:val="center"/>
                  </w:pPr>
                  <w:r>
                    <w:t xml:space="preserve">16:08:00</w:t>
                  </w:r>
                </w:p>
              </w:tc>
              <w:tc>
                <w:tcPr/>
                <w:p>
                  <w:pPr>
                    <w:pStyle w:val="Compact"/>
                    <w:jc w:val="left"/>
                    <w:jc w:val="center"/>
                  </w:pPr>
                  <w:r>
                    <w:t xml:space="preserve">0.00125</w:t>
                  </w:r>
                </w:p>
              </w:tc>
            </w:tr>
            <w:tr>
              <w:tc>
                <w:tcPr/>
                <w:p>
                  <w:pPr>
                    <w:pStyle w:val="Compact"/>
                    <w:jc w:val="left"/>
                    <w:jc w:val="center"/>
                  </w:pPr>
                  <w:r>
                    <w:t xml:space="preserve">9</w:t>
                  </w:r>
                </w:p>
              </w:tc>
              <w:tc>
                <w:tcPr/>
                <w:p>
                  <w:pPr>
                    <w:pStyle w:val="Compact"/>
                    <w:jc w:val="left"/>
                    <w:jc w:val="center"/>
                  </w:pPr>
                  <w:r>
                    <w:t xml:space="preserve">2017-09-06</w:t>
                  </w:r>
                </w:p>
              </w:tc>
              <w:tc>
                <w:tcPr/>
                <w:p>
                  <w:pPr>
                    <w:pStyle w:val="Compact"/>
                    <w:jc w:val="left"/>
                    <w:jc w:val="center"/>
                  </w:pPr>
                  <w:r>
                    <w:t xml:space="preserve">12:00:00</w:t>
                  </w:r>
                </w:p>
              </w:tc>
              <w:tc>
                <w:tcPr/>
                <w:p>
                  <w:pPr>
                    <w:pStyle w:val="Compact"/>
                    <w:jc w:val="left"/>
                    <w:jc w:val="center"/>
                  </w:pPr>
                  <w:r>
                    <w:t xml:space="preserve">0.00125</w:t>
                  </w:r>
                </w:p>
              </w:tc>
            </w:tr>
            <w:tr>
              <w:tc>
                <w:tcPr/>
                <w:p>
                  <w:pPr>
                    <w:pStyle w:val="Compact"/>
                    <w:jc w:val="left"/>
                    <w:jc w:val="center"/>
                  </w:pPr>
                  <w:r>
                    <w:t xml:space="preserve">10</w:t>
                  </w:r>
                </w:p>
              </w:tc>
              <w:tc>
                <w:tcPr/>
                <w:p>
                  <w:pPr>
                    <w:pStyle w:val="Compact"/>
                    <w:jc w:val="left"/>
                    <w:jc w:val="center"/>
                  </w:pPr>
                  <w:r>
                    <w:t xml:space="preserve">2017-09-06</w:t>
                  </w:r>
                </w:p>
              </w:tc>
              <w:tc>
                <w:tcPr/>
                <w:p>
                  <w:pPr>
                    <w:pStyle w:val="Compact"/>
                    <w:jc w:val="left"/>
                    <w:jc w:val="center"/>
                  </w:pPr>
                  <w:r>
                    <w:t xml:space="preserve">12:04:00</w:t>
                  </w:r>
                </w:p>
              </w:tc>
              <w:tc>
                <w:tcPr/>
                <w:p>
                  <w:pPr>
                    <w:pStyle w:val="Compact"/>
                    <w:jc w:val="left"/>
                    <w:jc w:val="center"/>
                  </w:pPr>
                  <w:r>
                    <w:t xml:space="preserve">0.001248</w:t>
                  </w:r>
                </w:p>
              </w:tc>
            </w:tr>
            <w:tr>
              <w:tc>
                <w:tcPr/>
                <w:p>
                  <w:pPr>
                    <w:pStyle w:val="Compact"/>
                    <w:jc w:val="left"/>
                    <w:jc w:val="center"/>
                  </w:pPr>
                  <w:r>
                    <w:t xml:space="preserve">11</w:t>
                  </w:r>
                </w:p>
              </w:tc>
              <w:tc>
                <w:tcPr/>
                <w:p>
                  <w:pPr>
                    <w:pStyle w:val="Compact"/>
                    <w:jc w:val="left"/>
                    <w:jc w:val="center"/>
                  </w:pPr>
                  <w:r>
                    <w:t xml:space="preserve">2017-09-10</w:t>
                  </w:r>
                </w:p>
              </w:tc>
              <w:tc>
                <w:tcPr/>
                <w:p>
                  <w:pPr>
                    <w:pStyle w:val="Compact"/>
                    <w:jc w:val="left"/>
                    <w:jc w:val="center"/>
                  </w:pPr>
                  <w:r>
                    <w:t xml:space="preserve">16:03:00</w:t>
                  </w:r>
                </w:p>
              </w:tc>
              <w:tc>
                <w:tcPr/>
                <w:p>
                  <w:pPr>
                    <w:pStyle w:val="Compact"/>
                    <w:jc w:val="left"/>
                    <w:jc w:val="center"/>
                  </w:pPr>
                  <w:r>
                    <w:t xml:space="preserve">0.001245</w:t>
                  </w:r>
                </w:p>
              </w:tc>
            </w:tr>
            <w:tr>
              <w:tc>
                <w:tcPr/>
                <w:p>
                  <w:pPr>
                    <w:pStyle w:val="Compact"/>
                    <w:jc w:val="left"/>
                    <w:jc w:val="center"/>
                  </w:pPr>
                  <w:r>
                    <w:t xml:space="preserve">12</w:t>
                  </w:r>
                </w:p>
              </w:tc>
              <w:tc>
                <w:tcPr/>
                <w:p>
                  <w:pPr>
                    <w:pStyle w:val="Compact"/>
                    <w:jc w:val="left"/>
                    <w:jc w:val="center"/>
                  </w:pPr>
                  <w:r>
                    <w:t xml:space="preserve">2017-09-10</w:t>
                  </w:r>
                </w:p>
              </w:tc>
              <w:tc>
                <w:tcPr/>
                <w:p>
                  <w:pPr>
                    <w:pStyle w:val="Compact"/>
                    <w:jc w:val="left"/>
                    <w:jc w:val="center"/>
                  </w:pPr>
                  <w:r>
                    <w:t xml:space="preserve">16:09:00</w:t>
                  </w:r>
                </w:p>
              </w:tc>
              <w:tc>
                <w:tcPr/>
                <w:p>
                  <w:pPr>
                    <w:pStyle w:val="Compact"/>
                    <w:jc w:val="left"/>
                    <w:jc w:val="center"/>
                  </w:pPr>
                  <w:r>
                    <w:t xml:space="preserve">0.001224</w:t>
                  </w:r>
                </w:p>
              </w:tc>
            </w:tr>
            <w:tr>
              <w:tc>
                <w:tcPr/>
                <w:p>
                  <w:pPr>
                    <w:pStyle w:val="Compact"/>
                    <w:jc w:val="left"/>
                    <w:jc w:val="center"/>
                  </w:pPr>
                  <w:r>
                    <w:t xml:space="preserve">13</w:t>
                  </w:r>
                </w:p>
              </w:tc>
              <w:tc>
                <w:tcPr/>
                <w:p>
                  <w:pPr>
                    <w:pStyle w:val="Compact"/>
                    <w:jc w:val="left"/>
                    <w:jc w:val="center"/>
                  </w:pPr>
                  <w:r>
                    <w:t xml:space="preserve">2017-09-10</w:t>
                  </w:r>
                </w:p>
              </w:tc>
              <w:tc>
                <w:tcPr/>
                <w:p>
                  <w:pPr>
                    <w:pStyle w:val="Compact"/>
                    <w:jc w:val="left"/>
                    <w:jc w:val="center"/>
                  </w:pPr>
                  <w:r>
                    <w:t xml:space="preserve">16:02:00</w:t>
                  </w:r>
                </w:p>
              </w:tc>
              <w:tc>
                <w:tcPr/>
                <w:p>
                  <w:pPr>
                    <w:pStyle w:val="Compact"/>
                    <w:jc w:val="left"/>
                    <w:jc w:val="center"/>
                  </w:pPr>
                  <w:r>
                    <w:t xml:space="preserve">0.001197</w:t>
                  </w:r>
                </w:p>
              </w:tc>
            </w:tr>
            <w:tr>
              <w:tc>
                <w:tcPr/>
                <w:p>
                  <w:pPr>
                    <w:pStyle w:val="Compact"/>
                    <w:jc w:val="left"/>
                    <w:jc w:val="center"/>
                  </w:pPr>
                  <w:r>
                    <w:t xml:space="preserve">14</w:t>
                  </w:r>
                </w:p>
              </w:tc>
              <w:tc>
                <w:tcPr/>
                <w:p>
                  <w:pPr>
                    <w:pStyle w:val="Compact"/>
                    <w:jc w:val="left"/>
                    <w:jc w:val="center"/>
                  </w:pPr>
                  <w:r>
                    <w:t xml:space="preserve">2017-09-10</w:t>
                  </w:r>
                </w:p>
              </w:tc>
              <w:tc>
                <w:tcPr/>
                <w:p>
                  <w:pPr>
                    <w:pStyle w:val="Compact"/>
                    <w:jc w:val="left"/>
                    <w:jc w:val="center"/>
                  </w:pPr>
                  <w:r>
                    <w:t xml:space="preserve">16:10:00</w:t>
                  </w:r>
                </w:p>
              </w:tc>
              <w:tc>
                <w:tcPr/>
                <w:p>
                  <w:pPr>
                    <w:pStyle w:val="Compact"/>
                    <w:jc w:val="left"/>
                    <w:jc w:val="center"/>
                  </w:pPr>
                  <w:r>
                    <w:t xml:space="preserve">0.001189</w:t>
                  </w:r>
                </w:p>
              </w:tc>
            </w:tr>
            <w:tr>
              <w:tc>
                <w:tcPr/>
                <w:p>
                  <w:pPr>
                    <w:pStyle w:val="Compact"/>
                    <w:jc w:val="left"/>
                    <w:jc w:val="center"/>
                  </w:pPr>
                  <w:r>
                    <w:t xml:space="preserve">15</w:t>
                  </w:r>
                </w:p>
              </w:tc>
              <w:tc>
                <w:tcPr/>
                <w:p>
                  <w:pPr>
                    <w:pStyle w:val="Compact"/>
                    <w:jc w:val="left"/>
                    <w:jc w:val="center"/>
                  </w:pPr>
                  <w:r>
                    <w:t xml:space="preserve">2017-09-10</w:t>
                  </w:r>
                </w:p>
              </w:tc>
              <w:tc>
                <w:tcPr/>
                <w:p>
                  <w:pPr>
                    <w:pStyle w:val="Compact"/>
                    <w:jc w:val="left"/>
                    <w:jc w:val="center"/>
                  </w:pPr>
                  <w:r>
                    <w:t xml:space="preserve">16:11:00</w:t>
                  </w:r>
                </w:p>
              </w:tc>
              <w:tc>
                <w:tcPr/>
                <w:p>
                  <w:pPr>
                    <w:pStyle w:val="Compact"/>
                    <w:jc w:val="left"/>
                    <w:jc w:val="center"/>
                  </w:pPr>
                  <w:r>
                    <w:t xml:space="preserve">0.001163</w:t>
                  </w:r>
                </w:p>
              </w:tc>
            </w:tr>
            <w:tr>
              <w:tc>
                <w:tcPr/>
                <w:p>
                  <w:pPr>
                    <w:pStyle w:val="Compact"/>
                    <w:jc w:val="left"/>
                    <w:jc w:val="center"/>
                  </w:pPr>
                  <w:r>
                    <w:t xml:space="preserve">16</w:t>
                  </w:r>
                </w:p>
              </w:tc>
              <w:tc>
                <w:tcPr/>
                <w:p>
                  <w:pPr>
                    <w:pStyle w:val="Compact"/>
                    <w:jc w:val="left"/>
                    <w:jc w:val="center"/>
                  </w:pPr>
                  <w:r>
                    <w:t xml:space="preserve">2017-09-10</w:t>
                  </w:r>
                </w:p>
              </w:tc>
              <w:tc>
                <w:tcPr/>
                <w:p>
                  <w:pPr>
                    <w:pStyle w:val="Compact"/>
                    <w:jc w:val="left"/>
                    <w:jc w:val="center"/>
                  </w:pPr>
                  <w:r>
                    <w:t xml:space="preserve">16:12:00</w:t>
                  </w:r>
                </w:p>
              </w:tc>
              <w:tc>
                <w:tcPr/>
                <w:p>
                  <w:pPr>
                    <w:pStyle w:val="Compact"/>
                    <w:jc w:val="left"/>
                    <w:jc w:val="center"/>
                  </w:pPr>
                  <w:r>
                    <w:t xml:space="preserve">0.00114</w:t>
                  </w:r>
                </w:p>
              </w:tc>
            </w:tr>
            <w:tr>
              <w:tc>
                <w:tcPr/>
                <w:p>
                  <w:pPr>
                    <w:pStyle w:val="Compact"/>
                    <w:jc w:val="left"/>
                    <w:jc w:val="center"/>
                  </w:pPr>
                  <w:r>
                    <w:t xml:space="preserve">17</w:t>
                  </w:r>
                </w:p>
              </w:tc>
              <w:tc>
                <w:tcPr/>
                <w:p>
                  <w:pPr>
                    <w:pStyle w:val="Compact"/>
                    <w:jc w:val="left"/>
                    <w:jc w:val="center"/>
                  </w:pPr>
                  <w:r>
                    <w:t xml:space="preserve">2017-09-10</w:t>
                  </w:r>
                </w:p>
              </w:tc>
              <w:tc>
                <w:tcPr/>
                <w:p>
                  <w:pPr>
                    <w:pStyle w:val="Compact"/>
                    <w:jc w:val="left"/>
                    <w:jc w:val="center"/>
                  </w:pPr>
                  <w:r>
                    <w:t xml:space="preserve">16:01:00</w:t>
                  </w:r>
                </w:p>
              </w:tc>
              <w:tc>
                <w:tcPr/>
                <w:p>
                  <w:pPr>
                    <w:pStyle w:val="Compact"/>
                    <w:jc w:val="left"/>
                    <w:jc w:val="center"/>
                  </w:pPr>
                  <w:r>
                    <w:t xml:space="preserve">0.001131</w:t>
                  </w:r>
                </w:p>
              </w:tc>
            </w:tr>
            <w:tr>
              <w:tc>
                <w:tcPr/>
                <w:p>
                  <w:pPr>
                    <w:pStyle w:val="Compact"/>
                    <w:jc w:val="left"/>
                    <w:jc w:val="center"/>
                  </w:pPr>
                  <w:r>
                    <w:t xml:space="preserve">18</w:t>
                  </w:r>
                </w:p>
              </w:tc>
              <w:tc>
                <w:tcPr/>
                <w:p>
                  <w:pPr>
                    <w:pStyle w:val="Compact"/>
                    <w:jc w:val="left"/>
                    <w:jc w:val="center"/>
                  </w:pPr>
                  <w:r>
                    <w:t xml:space="preserve">2017-09-06</w:t>
                  </w:r>
                </w:p>
              </w:tc>
              <w:tc>
                <w:tcPr/>
                <w:p>
                  <w:pPr>
                    <w:pStyle w:val="Compact"/>
                    <w:jc w:val="left"/>
                    <w:jc w:val="center"/>
                  </w:pPr>
                  <w:r>
                    <w:t xml:space="preserve">12:05:00</w:t>
                  </w:r>
                </w:p>
              </w:tc>
              <w:tc>
                <w:tcPr/>
                <w:p>
                  <w:pPr>
                    <w:pStyle w:val="Compact"/>
                    <w:jc w:val="left"/>
                    <w:jc w:val="center"/>
                  </w:pPr>
                  <w:r>
                    <w:t xml:space="preserve">0.001129</w:t>
                  </w:r>
                </w:p>
              </w:tc>
            </w:tr>
            <w:tr>
              <w:tc>
                <w:tcPr/>
                <w:p>
                  <w:pPr>
                    <w:pStyle w:val="Compact"/>
                    <w:jc w:val="left"/>
                    <w:jc w:val="center"/>
                  </w:pPr>
                  <w:r>
                    <w:t xml:space="preserve">19</w:t>
                  </w:r>
                </w:p>
              </w:tc>
              <w:tc>
                <w:tcPr/>
                <w:p>
                  <w:pPr>
                    <w:pStyle w:val="Compact"/>
                    <w:jc w:val="left"/>
                    <w:jc w:val="center"/>
                  </w:pPr>
                  <w:r>
                    <w:t xml:space="preserve">2017-09-10</w:t>
                  </w:r>
                </w:p>
              </w:tc>
              <w:tc>
                <w:tcPr/>
                <w:p>
                  <w:pPr>
                    <w:pStyle w:val="Compact"/>
                    <w:jc w:val="left"/>
                    <w:jc w:val="center"/>
                  </w:pPr>
                  <w:r>
                    <w:t xml:space="preserve">16:13:00</w:t>
                  </w:r>
                </w:p>
              </w:tc>
              <w:tc>
                <w:tcPr/>
                <w:p>
                  <w:pPr>
                    <w:pStyle w:val="Compact"/>
                    <w:jc w:val="left"/>
                    <w:jc w:val="center"/>
                  </w:pPr>
                  <w:r>
                    <w:t xml:space="preserve">0.001119</w:t>
                  </w:r>
                </w:p>
              </w:tc>
            </w:tr>
            <w:tr>
              <w:tc>
                <w:tcPr/>
                <w:p>
                  <w:pPr>
                    <w:pStyle w:val="Compact"/>
                    <w:jc w:val="left"/>
                    <w:jc w:val="center"/>
                  </w:pPr>
                  <w:r>
                    <w:t xml:space="preserve">20</w:t>
                  </w:r>
                </w:p>
              </w:tc>
              <w:tc>
                <w:tcPr/>
                <w:p>
                  <w:pPr>
                    <w:pStyle w:val="Compact"/>
                    <w:jc w:val="left"/>
                    <w:jc w:val="center"/>
                  </w:pPr>
                  <w:r>
                    <w:t xml:space="preserve">2017-09-10</w:t>
                  </w:r>
                </w:p>
              </w:tc>
              <w:tc>
                <w:tcPr/>
                <w:p>
                  <w:pPr>
                    <w:pStyle w:val="Compact"/>
                    <w:jc w:val="left"/>
                    <w:jc w:val="center"/>
                  </w:pPr>
                  <w:r>
                    <w:t xml:space="preserve">16:14:00</w:t>
                  </w:r>
                </w:p>
              </w:tc>
              <w:tc>
                <w:tcPr/>
                <w:p>
                  <w:pPr>
                    <w:pStyle w:val="Compact"/>
                    <w:jc w:val="left"/>
                    <w:jc w:val="center"/>
                  </w:pPr>
                  <w:r>
                    <w:t xml:space="preserve">0.001097</w:t>
                  </w:r>
                </w:p>
              </w:tc>
            </w:tr>
          </w:tbl>
          <w:bookmarkEnd w:id="241"/>
          <w:p/>
        </w:tc>
      </w:tr>
    </w:tbl>
    <w:p>
      <w:pPr>
        <w:pStyle w:val="BodyText"/>
      </w:pPr>
      <w:r>
        <w:t xml:space="preserve">Excedências acima do P99,9 global, igual a 5.666e-05 W m⁻², são agrupadas por uma regra de</w:t>
      </w:r>
      <w:r>
        <w:t xml:space="preserve"> </w:t>
      </w:r>
      <w:r>
        <w:rPr>
          <w:i/>
          <w:iCs/>
        </w:rPr>
        <w:t xml:space="preserve">runs</w:t>
      </w:r>
      <w:r>
        <w:t xml:space="preserve">: um novo episódio começa quando o intervalo entre excedências supera a janela indicada. A regra principal usa seis horas; uma e 24 horas são sensibilidades. Um grupo pode durar mais que a janela se houver excedências sucessivas próximas. A regra não é um catálogo físico de flares, e lacunas de aquisição podem separar artificialmente episódios.</w:t>
      </w:r>
    </w:p>
    <w:tbl>
      <w:tblPr>
        <w:tblStyle w:val="Table"/>
        <w:tblW w:type="pct" w:w="5000"/>
        <w:tblLayout w:type="fixed"/>
        <w:tblLook w:firstRow="0" w:lastRow="0" w:firstColumn="0" w:lastColumn="0" w:noHBand="0" w:noVBand="0" w:val="0000"/>
      </w:tblPr>
      <w:tblGrid>
        <w:gridCol w:w="7920"/>
      </w:tblGrid>
      <w:tr>
        <w:tc>
          <w:tcPr/>
          <w:bookmarkStart w:id="242" w:name="tbl-eventos-sens"/>
          <w:p>
            <w:pPr>
              <w:jc w:val="center"/>
            </w:pPr>
            <w:pPr>
              <w:jc w:val="start"/>
              <w:spacing w:before="200"/>
              <w:pStyle w:val="ImageCaption"/>
            </w:pPr>
            <w:r>
              <w:t xml:space="preserve">Tabela 36: Sensibilidade do número de episódios ao intervalo entre excedências.</w:t>
            </w:r>
          </w:p>
          <w:p>
            <w:pPr>
              <w:pStyle w:val="Compact"/>
              <w:jc w:val="center"/>
            </w:pPr>
            <w:r>
              <w:t xml:space="preserve">Sensibilidade do número de episódios ao intervalo entre excedências.</w:t>
            </w:r>
          </w:p>
          <w:tbl>
            <w:tblPr>
              <w:tblStyle w:val="Table"/>
              <w:tblW w:type="pct" w:w="5000"/>
              <w:tblLayout w:type="fixed"/>
              <w:tblLook w:firstRow="1" w:lastRow="0" w:firstColumn="0" w:lastColumn="0" w:noHBand="0" w:noVBand="0" w:val="0020"/>
              <w:tblCaption w:val="Sensibilidade do número de episódios ao intervalo entre excedências."/>
            </w:tblPr>
            <w:tblGrid>
              <w:gridCol w:w="2217"/>
              <w:gridCol w:w="2534"/>
              <w:gridCol w:w="3168"/>
            </w:tblGrid>
            <w:tr>
              <w:trPr>
                <w:tblHeader w:val="on"/>
              </w:trPr>
              <w:tc>
                <w:tcPr/>
                <w:p>
                  <w:pPr>
                    <w:pStyle w:val="Compact"/>
                    <w:jc w:val="left"/>
                    <w:jc w:val="center"/>
                  </w:pPr>
                  <w:r>
                    <w:t xml:space="preserve">janela h</w:t>
                  </w:r>
                </w:p>
              </w:tc>
              <w:tc>
                <w:tcPr/>
                <w:p>
                  <w:pPr>
                    <w:pStyle w:val="Compact"/>
                    <w:jc w:val="left"/>
                    <w:jc w:val="center"/>
                  </w:pPr>
                  <w:r>
                    <w:t xml:space="preserve">n eventos</w:t>
                  </w:r>
                </w:p>
              </w:tc>
              <w:tc>
                <w:tcPr/>
                <w:p>
                  <w:pPr>
                    <w:pStyle w:val="Compact"/>
                    <w:jc w:val="left"/>
                    <w:jc w:val="center"/>
                  </w:pPr>
                  <w:r>
                    <w:t xml:space="preserve">limiar</w:t>
                  </w:r>
                </w:p>
              </w:tc>
            </w:tr>
            <w:tr>
              <w:tc>
                <w:tcPr/>
                <w:p>
                  <w:pPr>
                    <w:pStyle w:val="Compact"/>
                    <w:jc w:val="left"/>
                    <w:jc w:val="center"/>
                  </w:pPr>
                  <w:r>
                    <w:t xml:space="preserve">1</w:t>
                  </w:r>
                </w:p>
              </w:tc>
              <w:tc>
                <w:tcPr/>
                <w:p>
                  <w:pPr>
                    <w:pStyle w:val="Compact"/>
                    <w:jc w:val="left"/>
                    <w:jc w:val="center"/>
                  </w:pPr>
                  <w:r>
                    <w:t xml:space="preserve">190</w:t>
                  </w:r>
                </w:p>
              </w:tc>
              <w:tc>
                <w:tcPr/>
                <w:p>
                  <w:pPr>
                    <w:pStyle w:val="Compact"/>
                    <w:jc w:val="left"/>
                    <w:jc w:val="center"/>
                  </w:pPr>
                  <w:r>
                    <w:t xml:space="preserve">5.666e-05</w:t>
                  </w:r>
                </w:p>
              </w:tc>
            </w:tr>
            <w:tr>
              <w:tc>
                <w:tcPr/>
                <w:p>
                  <w:pPr>
                    <w:pStyle w:val="Compact"/>
                    <w:jc w:val="left"/>
                    <w:jc w:val="center"/>
                  </w:pPr>
                  <w:r>
                    <w:t xml:space="preserve">6</w:t>
                  </w:r>
                </w:p>
              </w:tc>
              <w:tc>
                <w:tcPr/>
                <w:p>
                  <w:pPr>
                    <w:pStyle w:val="Compact"/>
                    <w:jc w:val="left"/>
                    <w:jc w:val="center"/>
                  </w:pPr>
                  <w:r>
                    <w:t xml:space="preserve">161</w:t>
                  </w:r>
                </w:p>
              </w:tc>
              <w:tc>
                <w:tcPr/>
                <w:p>
                  <w:pPr>
                    <w:pStyle w:val="Compact"/>
                    <w:jc w:val="left"/>
                    <w:jc w:val="center"/>
                  </w:pPr>
                  <w:r>
                    <w:t xml:space="preserve">5.666e-05</w:t>
                  </w:r>
                </w:p>
              </w:tc>
            </w:tr>
            <w:tr>
              <w:tc>
                <w:tcPr/>
                <w:p>
                  <w:pPr>
                    <w:pStyle w:val="Compact"/>
                    <w:jc w:val="left"/>
                    <w:jc w:val="center"/>
                  </w:pPr>
                  <w:r>
                    <w:t xml:space="preserve">24</w:t>
                  </w:r>
                </w:p>
              </w:tc>
              <w:tc>
                <w:tcPr/>
                <w:p>
                  <w:pPr>
                    <w:pStyle w:val="Compact"/>
                    <w:jc w:val="left"/>
                    <w:jc w:val="center"/>
                  </w:pPr>
                  <w:r>
                    <w:t xml:space="preserve">107</w:t>
                  </w:r>
                </w:p>
              </w:tc>
              <w:tc>
                <w:tcPr/>
                <w:p>
                  <w:pPr>
                    <w:pStyle w:val="Compact"/>
                    <w:jc w:val="left"/>
                    <w:jc w:val="center"/>
                  </w:pPr>
                  <w:r>
                    <w:t xml:space="preserve">5.666e-05</w:t>
                  </w:r>
                </w:p>
              </w:tc>
            </w:tr>
          </w:tbl>
          <w:bookmarkEnd w:id="2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3" w:name="tbl-eventos"/>
          <w:p>
            <w:pPr>
              <w:jc w:val="center"/>
            </w:pPr>
            <w:pPr>
              <w:jc w:val="start"/>
              <w:spacing w:before="200"/>
              <w:pStyle w:val="ImageCaption"/>
            </w:pPr>
            <w:r>
              <w:t xml:space="preserve">Tabela 37: Vinte maiores episódios pela regra de seis horas, em UTC e W m⁻²; n_minutos conta excedências e não a duração contínua do flare.</w:t>
            </w:r>
          </w:p>
          <w:p>
            <w:pPr>
              <w:pStyle w:val="Compact"/>
              <w:jc w:val="center"/>
            </w:pPr>
            <w:r>
              <w:t xml:space="preserve">Vinte maiores episódios pela regra de seis horas, em UTC e W m⁻²; n_minutos conta excedências e não a duração contínua do flare.</w:t>
            </w:r>
          </w:p>
          <w:tbl>
            <w:tblPr>
              <w:tblStyle w:val="Table"/>
              <w:tblW w:type="pct" w:w="5000"/>
              <w:tblLayout w:type="fixed"/>
              <w:tblLook w:firstRow="1" w:lastRow="0" w:firstColumn="0" w:lastColumn="0" w:noHBand="0" w:noVBand="0" w:val="0020"/>
              <w:tblCaption w:val="Vinte maiores episódios pela regra de seis horas, em UTC e W m⁻²; n_minutos conta excedências e não a duração contínua do flare."/>
            </w:tblPr>
            <w:tblGrid>
              <w:gridCol w:w="1377"/>
              <w:gridCol w:w="1893"/>
              <w:gridCol w:w="1549"/>
              <w:gridCol w:w="1721"/>
              <w:gridCol w:w="1377"/>
            </w:tblGrid>
            <w:tr>
              <w:trPr>
                <w:tblHeader w:val="on"/>
              </w:trPr>
              <w:tc>
                <w:tcPr/>
                <w:p>
                  <w:pPr>
                    <w:pStyle w:val="Compact"/>
                    <w:jc w:val="left"/>
                    <w:jc w:val="center"/>
                  </w:pPr>
                  <w:r>
                    <w:t xml:space="preserve">posicao</w:t>
                  </w:r>
                </w:p>
              </w:tc>
              <w:tc>
                <w:tcPr/>
                <w:p>
                  <w:pPr>
                    <w:pStyle w:val="Compact"/>
                    <w:jc w:val="left"/>
                    <w:jc w:val="center"/>
                  </w:pPr>
                  <w:r>
                    <w:t xml:space="preserve">data</w:t>
                  </w:r>
                </w:p>
              </w:tc>
              <w:tc>
                <w:tcPr/>
                <w:p>
                  <w:pPr>
                    <w:pStyle w:val="Compact"/>
                    <w:jc w:val="left"/>
                    <w:jc w:val="center"/>
                  </w:pPr>
                  <w:r>
                    <w:t xml:space="preserve">horario</w:t>
                  </w:r>
                </w:p>
              </w:tc>
              <w:tc>
                <w:tcPr/>
                <w:p>
                  <w:pPr>
                    <w:pStyle w:val="Compact"/>
                    <w:jc w:val="left"/>
                    <w:jc w:val="center"/>
                  </w:pPr>
                  <w:r>
                    <w:t xml:space="preserve">fluxo</w:t>
                  </w:r>
                </w:p>
              </w:tc>
              <w:tc>
                <w:tcPr/>
                <w:p>
                  <w:pPr>
                    <w:pStyle w:val="Compact"/>
                    <w:jc w:val="left"/>
                    <w:jc w:val="center"/>
                  </w:pPr>
                  <w:r>
                    <w:t xml:space="preserve">n minutos</w:t>
                  </w:r>
                </w:p>
              </w:tc>
            </w:tr>
            <w:tr>
              <w:tc>
                <w:tcPr/>
                <w:p>
                  <w:pPr>
                    <w:pStyle w:val="Compact"/>
                    <w:jc w:val="left"/>
                    <w:jc w:val="center"/>
                  </w:pPr>
                  <w:r>
                    <w:t xml:space="preserve">1</w:t>
                  </w:r>
                </w:p>
              </w:tc>
              <w:tc>
                <w:tcPr/>
                <w:p>
                  <w:pPr>
                    <w:pStyle w:val="Compact"/>
                    <w:jc w:val="left"/>
                    <w:jc w:val="center"/>
                  </w:pPr>
                  <w:r>
                    <w:t xml:space="preserve">2017-09-06</w:t>
                  </w:r>
                </w:p>
              </w:tc>
              <w:tc>
                <w:tcPr/>
                <w:p>
                  <w:pPr>
                    <w:pStyle w:val="Compact"/>
                    <w:jc w:val="left"/>
                    <w:jc w:val="center"/>
                  </w:pPr>
                  <w:r>
                    <w:t xml:space="preserve">12:02:00</w:t>
                  </w:r>
                </w:p>
              </w:tc>
              <w:tc>
                <w:tcPr/>
                <w:p>
                  <w:pPr>
                    <w:pStyle w:val="Compact"/>
                    <w:jc w:val="left"/>
                    <w:jc w:val="center"/>
                  </w:pPr>
                  <w:r>
                    <w:t xml:space="preserve">0.001464</w:t>
                  </w:r>
                </w:p>
              </w:tc>
              <w:tc>
                <w:tcPr/>
                <w:p>
                  <w:pPr>
                    <w:pStyle w:val="Compact"/>
                    <w:jc w:val="left"/>
                    <w:jc w:val="center"/>
                  </w:pPr>
                  <w:r>
                    <w:t xml:space="preserve">220</w:t>
                  </w:r>
                </w:p>
              </w:tc>
            </w:tr>
            <w:tr>
              <w:tc>
                <w:tcPr/>
                <w:p>
                  <w:pPr>
                    <w:pStyle w:val="Compact"/>
                    <w:jc w:val="left"/>
                    <w:jc w:val="center"/>
                  </w:pPr>
                  <w:r>
                    <w:t xml:space="preserve">2</w:t>
                  </w:r>
                </w:p>
              </w:tc>
              <w:tc>
                <w:tcPr/>
                <w:p>
                  <w:pPr>
                    <w:pStyle w:val="Compact"/>
                    <w:jc w:val="left"/>
                    <w:jc w:val="center"/>
                  </w:pPr>
                  <w:r>
                    <w:t xml:space="preserve">2017-09-10</w:t>
                  </w:r>
                </w:p>
              </w:tc>
              <w:tc>
                <w:tcPr/>
                <w:p>
                  <w:pPr>
                    <w:pStyle w:val="Compact"/>
                    <w:jc w:val="left"/>
                    <w:jc w:val="center"/>
                  </w:pPr>
                  <w:r>
                    <w:t xml:space="preserve">16:06:00</w:t>
                  </w:r>
                </w:p>
              </w:tc>
              <w:tc>
                <w:tcPr/>
                <w:p>
                  <w:pPr>
                    <w:pStyle w:val="Compact"/>
                    <w:jc w:val="left"/>
                    <w:jc w:val="center"/>
                  </w:pPr>
                  <w:r>
                    <w:t xml:space="preserve">0.001292</w:t>
                  </w:r>
                </w:p>
              </w:tc>
              <w:tc>
                <w:tcPr/>
                <w:p>
                  <w:pPr>
                    <w:pStyle w:val="Compact"/>
                    <w:jc w:val="left"/>
                    <w:jc w:val="center"/>
                  </w:pPr>
                  <w:r>
                    <w:t xml:space="preserve">199</w:t>
                  </w:r>
                </w:p>
              </w:tc>
            </w:tr>
            <w:tr>
              <w:tc>
                <w:tcPr/>
                <w:p>
                  <w:pPr>
                    <w:pStyle w:val="Compact"/>
                    <w:jc w:val="left"/>
                    <w:jc w:val="center"/>
                  </w:pPr>
                  <w:r>
                    <w:t xml:space="preserve">3</w:t>
                  </w:r>
                </w:p>
              </w:tc>
              <w:tc>
                <w:tcPr/>
                <w:p>
                  <w:pPr>
                    <w:pStyle w:val="Compact"/>
                    <w:jc w:val="left"/>
                    <w:jc w:val="center"/>
                  </w:pPr>
                  <w:r>
                    <w:t xml:space="preserve">2024-10-03</w:t>
                  </w:r>
                </w:p>
              </w:tc>
              <w:tc>
                <w:tcPr/>
                <w:p>
                  <w:pPr>
                    <w:pStyle w:val="Compact"/>
                    <w:jc w:val="left"/>
                    <w:jc w:val="center"/>
                  </w:pPr>
                  <w:r>
                    <w:t xml:space="preserve">12:18:00</w:t>
                  </w:r>
                </w:p>
              </w:tc>
              <w:tc>
                <w:tcPr/>
                <w:p>
                  <w:pPr>
                    <w:pStyle w:val="Compact"/>
                    <w:jc w:val="left"/>
                    <w:jc w:val="center"/>
                  </w:pPr>
                  <w:r>
                    <w:t xml:space="preserve">8.943e-04</w:t>
                  </w:r>
                </w:p>
              </w:tc>
              <w:tc>
                <w:tcPr/>
                <w:p>
                  <w:pPr>
                    <w:pStyle w:val="Compact"/>
                    <w:jc w:val="left"/>
                    <w:jc w:val="center"/>
                  </w:pPr>
                  <w:r>
                    <w:t xml:space="preserve">27</w:t>
                  </w:r>
                </w:p>
              </w:tc>
            </w:tr>
            <w:tr>
              <w:tc>
                <w:tcPr/>
                <w:p>
                  <w:pPr>
                    <w:pStyle w:val="Compact"/>
                    <w:jc w:val="left"/>
                    <w:jc w:val="center"/>
                  </w:pPr>
                  <w:r>
                    <w:t xml:space="preserve">4</w:t>
                  </w:r>
                </w:p>
              </w:tc>
              <w:tc>
                <w:tcPr/>
                <w:p>
                  <w:pPr>
                    <w:pStyle w:val="Compact"/>
                    <w:jc w:val="left"/>
                    <w:jc w:val="center"/>
                  </w:pPr>
                  <w:r>
                    <w:t xml:space="preserve">2024-05-14</w:t>
                  </w:r>
                </w:p>
              </w:tc>
              <w:tc>
                <w:tcPr/>
                <w:p>
                  <w:pPr>
                    <w:pStyle w:val="Compact"/>
                    <w:jc w:val="left"/>
                    <w:jc w:val="center"/>
                  </w:pPr>
                  <w:r>
                    <w:t xml:space="preserve">16:51:00</w:t>
                  </w:r>
                </w:p>
              </w:tc>
              <w:tc>
                <w:tcPr/>
                <w:p>
                  <w:pPr>
                    <w:pStyle w:val="Compact"/>
                    <w:jc w:val="left"/>
                    <w:jc w:val="center"/>
                  </w:pPr>
                  <w:r>
                    <w:t xml:space="preserve">8.688e-04</w:t>
                  </w:r>
                </w:p>
              </w:tc>
              <w:tc>
                <w:tcPr/>
                <w:p>
                  <w:pPr>
                    <w:pStyle w:val="Compact"/>
                    <w:jc w:val="left"/>
                    <w:jc w:val="center"/>
                  </w:pPr>
                  <w:r>
                    <w:t xml:space="preserve">42</w:t>
                  </w:r>
                </w:p>
              </w:tc>
            </w:tr>
            <w:tr>
              <w:tc>
                <w:tcPr/>
                <w:p>
                  <w:pPr>
                    <w:pStyle w:val="Compact"/>
                    <w:jc w:val="left"/>
                    <w:jc w:val="center"/>
                  </w:pPr>
                  <w:r>
                    <w:t xml:space="preserve">5</w:t>
                  </w:r>
                </w:p>
              </w:tc>
              <w:tc>
                <w:tcPr/>
                <w:p>
                  <w:pPr>
                    <w:pStyle w:val="Compact"/>
                    <w:jc w:val="left"/>
                    <w:jc w:val="center"/>
                  </w:pPr>
                  <w:r>
                    <w:t xml:space="preserve">2024-10-01</w:t>
                  </w:r>
                </w:p>
              </w:tc>
              <w:tc>
                <w:tcPr/>
                <w:p>
                  <w:pPr>
                    <w:pStyle w:val="Compact"/>
                    <w:jc w:val="left"/>
                    <w:jc w:val="center"/>
                  </w:pPr>
                  <w:r>
                    <w:t xml:space="preserve">22:20:00</w:t>
                  </w:r>
                </w:p>
              </w:tc>
              <w:tc>
                <w:tcPr/>
                <w:p>
                  <w:pPr>
                    <w:pStyle w:val="Compact"/>
                    <w:jc w:val="left"/>
                    <w:jc w:val="center"/>
                  </w:pPr>
                  <w:r>
                    <w:t xml:space="preserve">7.061e-04</w:t>
                  </w:r>
                </w:p>
              </w:tc>
              <w:tc>
                <w:tcPr/>
                <w:p>
                  <w:pPr>
                    <w:pStyle w:val="Compact"/>
                    <w:jc w:val="left"/>
                    <w:jc w:val="center"/>
                  </w:pPr>
                  <w:r>
                    <w:t xml:space="preserve">48</w:t>
                  </w:r>
                </w:p>
              </w:tc>
            </w:tr>
            <w:tr>
              <w:tc>
                <w:tcPr/>
                <w:p>
                  <w:pPr>
                    <w:pStyle w:val="Compact"/>
                    <w:jc w:val="left"/>
                    <w:jc w:val="center"/>
                  </w:pPr>
                  <w:r>
                    <w:t xml:space="preserve">6</w:t>
                  </w:r>
                </w:p>
              </w:tc>
              <w:tc>
                <w:tcPr/>
                <w:p>
                  <w:pPr>
                    <w:pStyle w:val="Compact"/>
                    <w:jc w:val="left"/>
                    <w:jc w:val="center"/>
                  </w:pPr>
                  <w:r>
                    <w:t xml:space="preserve">2024-05-11</w:t>
                  </w:r>
                </w:p>
              </w:tc>
              <w:tc>
                <w:tcPr/>
                <w:p>
                  <w:pPr>
                    <w:pStyle w:val="Compact"/>
                    <w:jc w:val="left"/>
                    <w:jc w:val="center"/>
                  </w:pPr>
                  <w:r>
                    <w:t xml:space="preserve">01:23:00</w:t>
                  </w:r>
                </w:p>
              </w:tc>
              <w:tc>
                <w:tcPr/>
                <w:p>
                  <w:pPr>
                    <w:pStyle w:val="Compact"/>
                    <w:jc w:val="left"/>
                    <w:jc w:val="center"/>
                  </w:pPr>
                  <w:r>
                    <w:t xml:space="preserve">5.821e-04</w:t>
                  </w:r>
                </w:p>
              </w:tc>
              <w:tc>
                <w:tcPr/>
                <w:p>
                  <w:pPr>
                    <w:pStyle w:val="Compact"/>
                    <w:jc w:val="left"/>
                    <w:jc w:val="center"/>
                  </w:pPr>
                  <w:r>
                    <w:t xml:space="preserve">59</w:t>
                  </w:r>
                </w:p>
              </w:tc>
            </w:tr>
            <w:tr>
              <w:tc>
                <w:tcPr/>
                <w:p>
                  <w:pPr>
                    <w:pStyle w:val="Compact"/>
                    <w:jc w:val="left"/>
                    <w:jc w:val="center"/>
                  </w:pPr>
                  <w:r>
                    <w:t xml:space="preserve">7</w:t>
                  </w:r>
                </w:p>
              </w:tc>
              <w:tc>
                <w:tcPr/>
                <w:p>
                  <w:pPr>
                    <w:pStyle w:val="Compact"/>
                    <w:jc w:val="left"/>
                    <w:jc w:val="center"/>
                  </w:pPr>
                  <w:r>
                    <w:t xml:space="preserve">2023-12-31</w:t>
                  </w:r>
                </w:p>
              </w:tc>
              <w:tc>
                <w:tcPr/>
                <w:p>
                  <w:pPr>
                    <w:pStyle w:val="Compact"/>
                    <w:jc w:val="left"/>
                    <w:jc w:val="center"/>
                  </w:pPr>
                  <w:r>
                    <w:t xml:space="preserve">21:55:00</w:t>
                  </w:r>
                </w:p>
              </w:tc>
              <w:tc>
                <w:tcPr/>
                <w:p>
                  <w:pPr>
                    <w:pStyle w:val="Compact"/>
                    <w:jc w:val="left"/>
                    <w:jc w:val="center"/>
                  </w:pPr>
                  <w:r>
                    <w:t xml:space="preserve">4.947e-04</w:t>
                  </w:r>
                </w:p>
              </w:tc>
              <w:tc>
                <w:tcPr/>
                <w:p>
                  <w:pPr>
                    <w:pStyle w:val="Compact"/>
                    <w:jc w:val="left"/>
                    <w:jc w:val="center"/>
                  </w:pPr>
                  <w:r>
                    <w:t xml:space="preserve">60</w:t>
                  </w:r>
                </w:p>
              </w:tc>
            </w:tr>
            <w:tr>
              <w:tc>
                <w:tcPr/>
                <w:p>
                  <w:pPr>
                    <w:pStyle w:val="Compact"/>
                    <w:jc w:val="left"/>
                    <w:jc w:val="center"/>
                  </w:pPr>
                  <w:r>
                    <w:t xml:space="preserve">8</w:t>
                  </w:r>
                </w:p>
              </w:tc>
              <w:tc>
                <w:tcPr/>
                <w:p>
                  <w:pPr>
                    <w:pStyle w:val="Compact"/>
                    <w:jc w:val="left"/>
                    <w:jc w:val="center"/>
                  </w:pPr>
                  <w:r>
                    <w:t xml:space="preserve">2024-09-14</w:t>
                  </w:r>
                </w:p>
              </w:tc>
              <w:tc>
                <w:tcPr/>
                <w:p>
                  <w:pPr>
                    <w:pStyle w:val="Compact"/>
                    <w:jc w:val="left"/>
                    <w:jc w:val="center"/>
                  </w:pPr>
                  <w:r>
                    <w:t xml:space="preserve">15:29:00</w:t>
                  </w:r>
                </w:p>
              </w:tc>
              <w:tc>
                <w:tcPr/>
                <w:p>
                  <w:pPr>
                    <w:pStyle w:val="Compact"/>
                    <w:jc w:val="left"/>
                    <w:jc w:val="center"/>
                  </w:pPr>
                  <w:r>
                    <w:t xml:space="preserve">4.477e-04</w:t>
                  </w:r>
                </w:p>
              </w:tc>
              <w:tc>
                <w:tcPr/>
                <w:p>
                  <w:pPr>
                    <w:pStyle w:val="Compact"/>
                    <w:jc w:val="left"/>
                    <w:jc w:val="center"/>
                  </w:pPr>
                  <w:r>
                    <w:t xml:space="preserve">69</w:t>
                  </w:r>
                </w:p>
              </w:tc>
            </w:tr>
            <w:tr>
              <w:tc>
                <w:tcPr/>
                <w:p>
                  <w:pPr>
                    <w:pStyle w:val="Compact"/>
                    <w:jc w:val="left"/>
                    <w:jc w:val="center"/>
                  </w:pPr>
                  <w:r>
                    <w:t xml:space="preserve">9</w:t>
                  </w:r>
                </w:p>
              </w:tc>
              <w:tc>
                <w:tcPr/>
                <w:p>
                  <w:pPr>
                    <w:pStyle w:val="Compact"/>
                    <w:jc w:val="left"/>
                    <w:jc w:val="center"/>
                  </w:pPr>
                  <w:r>
                    <w:t xml:space="preserve">2024-05-06</w:t>
                  </w:r>
                </w:p>
              </w:tc>
              <w:tc>
                <w:tcPr/>
                <w:p>
                  <w:pPr>
                    <w:pStyle w:val="Compact"/>
                    <w:jc w:val="left"/>
                    <w:jc w:val="center"/>
                  </w:pPr>
                  <w:r>
                    <w:t xml:space="preserve">06:35:00</w:t>
                  </w:r>
                </w:p>
              </w:tc>
              <w:tc>
                <w:tcPr/>
                <w:p>
                  <w:pPr>
                    <w:pStyle w:val="Compact"/>
                    <w:jc w:val="left"/>
                    <w:jc w:val="center"/>
                  </w:pPr>
                  <w:r>
                    <w:t xml:space="preserve">4.463e-04</w:t>
                  </w:r>
                </w:p>
              </w:tc>
              <w:tc>
                <w:tcPr/>
                <w:p>
                  <w:pPr>
                    <w:pStyle w:val="Compact"/>
                    <w:jc w:val="left"/>
                    <w:jc w:val="center"/>
                  </w:pPr>
                  <w:r>
                    <w:t xml:space="preserve">64</w:t>
                  </w:r>
                </w:p>
              </w:tc>
            </w:tr>
            <w:tr>
              <w:tc>
                <w:tcPr/>
                <w:p>
                  <w:pPr>
                    <w:pStyle w:val="Compact"/>
                    <w:jc w:val="left"/>
                    <w:jc w:val="center"/>
                  </w:pPr>
                  <w:r>
                    <w:t xml:space="preserve">10</w:t>
                  </w:r>
                </w:p>
              </w:tc>
              <w:tc>
                <w:tcPr/>
                <w:p>
                  <w:pPr>
                    <w:pStyle w:val="Compact"/>
                    <w:jc w:val="left"/>
                    <w:jc w:val="center"/>
                  </w:pPr>
                  <w:r>
                    <w:t xml:space="preserve">2024-05-10</w:t>
                  </w:r>
                </w:p>
              </w:tc>
              <w:tc>
                <w:tcPr/>
                <w:p>
                  <w:pPr>
                    <w:pStyle w:val="Compact"/>
                    <w:jc w:val="left"/>
                    <w:jc w:val="center"/>
                  </w:pPr>
                  <w:r>
                    <w:t xml:space="preserve">06:54:00</w:t>
                  </w:r>
                </w:p>
              </w:tc>
              <w:tc>
                <w:tcPr/>
                <w:p>
                  <w:pPr>
                    <w:pStyle w:val="Compact"/>
                    <w:jc w:val="left"/>
                    <w:jc w:val="center"/>
                  </w:pPr>
                  <w:r>
                    <w:t xml:space="preserve">3.929e-04</w:t>
                  </w:r>
                </w:p>
              </w:tc>
              <w:tc>
                <w:tcPr/>
                <w:p>
                  <w:pPr>
                    <w:pStyle w:val="Compact"/>
                    <w:jc w:val="left"/>
                    <w:jc w:val="center"/>
                  </w:pPr>
                  <w:r>
                    <w:t xml:space="preserve">48</w:t>
                  </w:r>
                </w:p>
              </w:tc>
            </w:tr>
            <w:tr>
              <w:tc>
                <w:tcPr/>
                <w:p>
                  <w:pPr>
                    <w:pStyle w:val="Compact"/>
                    <w:jc w:val="left"/>
                    <w:jc w:val="center"/>
                  </w:pPr>
                  <w:r>
                    <w:t xml:space="preserve">11</w:t>
                  </w:r>
                </w:p>
              </w:tc>
              <w:tc>
                <w:tcPr/>
                <w:p>
                  <w:pPr>
                    <w:pStyle w:val="Compact"/>
                    <w:jc w:val="left"/>
                    <w:jc w:val="center"/>
                  </w:pPr>
                  <w:r>
                    <w:t xml:space="preserve">2024-05-15</w:t>
                  </w:r>
                </w:p>
              </w:tc>
              <w:tc>
                <w:tcPr/>
                <w:p>
                  <w:pPr>
                    <w:pStyle w:val="Compact"/>
                    <w:jc w:val="left"/>
                    <w:jc w:val="center"/>
                  </w:pPr>
                  <w:r>
                    <w:t xml:space="preserve">08:37:00</w:t>
                  </w:r>
                </w:p>
              </w:tc>
              <w:tc>
                <w:tcPr/>
                <w:p>
                  <w:pPr>
                    <w:pStyle w:val="Compact"/>
                    <w:jc w:val="left"/>
                    <w:jc w:val="center"/>
                  </w:pPr>
                  <w:r>
                    <w:t xml:space="preserve">3.438e-04</w:t>
                  </w:r>
                </w:p>
              </w:tc>
              <w:tc>
                <w:tcPr/>
                <w:p>
                  <w:pPr>
                    <w:pStyle w:val="Compact"/>
                    <w:jc w:val="left"/>
                    <w:jc w:val="center"/>
                  </w:pPr>
                  <w:r>
                    <w:t xml:space="preserve">86</w:t>
                  </w:r>
                </w:p>
              </w:tc>
            </w:tr>
            <w:tr>
              <w:tc>
                <w:tcPr/>
                <w:p>
                  <w:pPr>
                    <w:pStyle w:val="Compact"/>
                    <w:jc w:val="left"/>
                    <w:jc w:val="center"/>
                  </w:pPr>
                  <w:r>
                    <w:t xml:space="preserve">12</w:t>
                  </w:r>
                </w:p>
              </w:tc>
              <w:tc>
                <w:tcPr/>
                <w:p>
                  <w:pPr>
                    <w:pStyle w:val="Compact"/>
                    <w:jc w:val="left"/>
                    <w:jc w:val="center"/>
                  </w:pPr>
                  <w:r>
                    <w:t xml:space="preserve">2024-02-09</w:t>
                  </w:r>
                </w:p>
              </w:tc>
              <w:tc>
                <w:tcPr/>
                <w:p>
                  <w:pPr>
                    <w:pStyle w:val="Compact"/>
                    <w:jc w:val="left"/>
                    <w:jc w:val="center"/>
                  </w:pPr>
                  <w:r>
                    <w:t xml:space="preserve">13:14:00</w:t>
                  </w:r>
                </w:p>
              </w:tc>
              <w:tc>
                <w:tcPr/>
                <w:p>
                  <w:pPr>
                    <w:pStyle w:val="Compact"/>
                    <w:jc w:val="left"/>
                    <w:jc w:val="center"/>
                  </w:pPr>
                  <w:r>
                    <w:t xml:space="preserve">3.338e-04</w:t>
                  </w:r>
                </w:p>
              </w:tc>
              <w:tc>
                <w:tcPr/>
                <w:p>
                  <w:pPr>
                    <w:pStyle w:val="Compact"/>
                    <w:jc w:val="left"/>
                    <w:jc w:val="center"/>
                  </w:pPr>
                  <w:r>
                    <w:t xml:space="preserve">52</w:t>
                  </w:r>
                </w:p>
              </w:tc>
            </w:tr>
            <w:tr>
              <w:tc>
                <w:tcPr/>
                <w:p>
                  <w:pPr>
                    <w:pStyle w:val="Compact"/>
                    <w:jc w:val="left"/>
                    <w:jc w:val="center"/>
                  </w:pPr>
                  <w:r>
                    <w:t xml:space="preserve">13</w:t>
                  </w:r>
                </w:p>
              </w:tc>
              <w:tc>
                <w:tcPr/>
                <w:p>
                  <w:pPr>
                    <w:pStyle w:val="Compact"/>
                    <w:jc w:val="left"/>
                    <w:jc w:val="center"/>
                  </w:pPr>
                  <w:r>
                    <w:t xml:space="preserve">2024-10-24</w:t>
                  </w:r>
                </w:p>
              </w:tc>
              <w:tc>
                <w:tcPr/>
                <w:p>
                  <w:pPr>
                    <w:pStyle w:val="Compact"/>
                    <w:jc w:val="left"/>
                    <w:jc w:val="center"/>
                  </w:pPr>
                  <w:r>
                    <w:t xml:space="preserve">03:57:00</w:t>
                  </w:r>
                </w:p>
              </w:tc>
              <w:tc>
                <w:tcPr/>
                <w:p>
                  <w:pPr>
                    <w:pStyle w:val="Compact"/>
                    <w:jc w:val="left"/>
                    <w:jc w:val="center"/>
                  </w:pPr>
                  <w:r>
                    <w:t xml:space="preserve">3.288e-04</w:t>
                  </w:r>
                </w:p>
              </w:tc>
              <w:tc>
                <w:tcPr/>
                <w:p>
                  <w:pPr>
                    <w:pStyle w:val="Compact"/>
                    <w:jc w:val="left"/>
                    <w:jc w:val="center"/>
                  </w:pPr>
                  <w:r>
                    <w:t xml:space="preserve">96</w:t>
                  </w:r>
                </w:p>
              </w:tc>
            </w:tr>
            <w:tr>
              <w:tc>
                <w:tcPr/>
                <w:p>
                  <w:pPr>
                    <w:pStyle w:val="Compact"/>
                    <w:jc w:val="left"/>
                    <w:jc w:val="center"/>
                  </w:pPr>
                  <w:r>
                    <w:t xml:space="preserve">14</w:t>
                  </w:r>
                </w:p>
              </w:tc>
              <w:tc>
                <w:tcPr/>
                <w:p>
                  <w:pPr>
                    <w:pStyle w:val="Compact"/>
                    <w:jc w:val="left"/>
                    <w:jc w:val="center"/>
                  </w:pPr>
                  <w:r>
                    <w:t xml:space="preserve">2024-05-27</w:t>
                  </w:r>
                </w:p>
              </w:tc>
              <w:tc>
                <w:tcPr/>
                <w:p>
                  <w:pPr>
                    <w:pStyle w:val="Compact"/>
                    <w:jc w:val="left"/>
                    <w:jc w:val="center"/>
                  </w:pPr>
                  <w:r>
                    <w:t xml:space="preserve">07:08:00</w:t>
                  </w:r>
                </w:p>
              </w:tc>
              <w:tc>
                <w:tcPr/>
                <w:p>
                  <w:pPr>
                    <w:pStyle w:val="Compact"/>
                    <w:jc w:val="left"/>
                    <w:jc w:val="center"/>
                  </w:pPr>
                  <w:r>
                    <w:t xml:space="preserve">2.860e-04</w:t>
                  </w:r>
                </w:p>
              </w:tc>
              <w:tc>
                <w:tcPr/>
                <w:p>
                  <w:pPr>
                    <w:pStyle w:val="Compact"/>
                    <w:jc w:val="left"/>
                    <w:jc w:val="center"/>
                  </w:pPr>
                  <w:r>
                    <w:t xml:space="preserve">48</w:t>
                  </w:r>
                </w:p>
              </w:tc>
            </w:tr>
            <w:tr>
              <w:tc>
                <w:tcPr/>
                <w:p>
                  <w:pPr>
                    <w:pStyle w:val="Compact"/>
                    <w:jc w:val="left"/>
                    <w:jc w:val="center"/>
                  </w:pPr>
                  <w:r>
                    <w:t xml:space="preserve">15</w:t>
                  </w:r>
                </w:p>
              </w:tc>
              <w:tc>
                <w:tcPr/>
                <w:p>
                  <w:pPr>
                    <w:pStyle w:val="Compact"/>
                    <w:jc w:val="left"/>
                    <w:jc w:val="center"/>
                  </w:pPr>
                  <w:r>
                    <w:t xml:space="preserve">2023-12-14</w:t>
                  </w:r>
                </w:p>
              </w:tc>
              <w:tc>
                <w:tcPr/>
                <w:p>
                  <w:pPr>
                    <w:pStyle w:val="Compact"/>
                    <w:jc w:val="left"/>
                    <w:jc w:val="center"/>
                  </w:pPr>
                  <w:r>
                    <w:t xml:space="preserve">17:02:00</w:t>
                  </w:r>
                </w:p>
              </w:tc>
              <w:tc>
                <w:tcPr/>
                <w:p>
                  <w:pPr>
                    <w:pStyle w:val="Compact"/>
                    <w:jc w:val="left"/>
                    <w:jc w:val="center"/>
                  </w:pPr>
                  <w:r>
                    <w:t xml:space="preserve">2.835e-04</w:t>
                  </w:r>
                </w:p>
              </w:tc>
              <w:tc>
                <w:tcPr/>
                <w:p>
                  <w:pPr>
                    <w:pStyle w:val="Compact"/>
                    <w:jc w:val="left"/>
                    <w:jc w:val="center"/>
                  </w:pPr>
                  <w:r>
                    <w:t xml:space="preserve">43</w:t>
                  </w:r>
                </w:p>
              </w:tc>
            </w:tr>
            <w:tr>
              <w:tc>
                <w:tcPr/>
                <w:p>
                  <w:pPr>
                    <w:pStyle w:val="Compact"/>
                    <w:jc w:val="left"/>
                    <w:jc w:val="center"/>
                  </w:pPr>
                  <w:r>
                    <w:t xml:space="preserve">16</w:t>
                  </w:r>
                </w:p>
              </w:tc>
              <w:tc>
                <w:tcPr/>
                <w:p>
                  <w:pPr>
                    <w:pStyle w:val="Compact"/>
                    <w:jc w:val="left"/>
                    <w:jc w:val="center"/>
                  </w:pPr>
                  <w:r>
                    <w:t xml:space="preserve">2024-02-16</w:t>
                  </w:r>
                </w:p>
              </w:tc>
              <w:tc>
                <w:tcPr/>
                <w:p>
                  <w:pPr>
                    <w:pStyle w:val="Compact"/>
                    <w:jc w:val="left"/>
                    <w:jc w:val="center"/>
                  </w:pPr>
                  <w:r>
                    <w:t xml:space="preserve">06:53:00</w:t>
                  </w:r>
                </w:p>
              </w:tc>
              <w:tc>
                <w:tcPr/>
                <w:p>
                  <w:pPr>
                    <w:pStyle w:val="Compact"/>
                    <w:jc w:val="left"/>
                    <w:jc w:val="center"/>
                  </w:pPr>
                  <w:r>
                    <w:t xml:space="preserve">2.527e-04</w:t>
                  </w:r>
                </w:p>
              </w:tc>
              <w:tc>
                <w:tcPr/>
                <w:p>
                  <w:pPr>
                    <w:pStyle w:val="Compact"/>
                    <w:jc w:val="left"/>
                    <w:jc w:val="center"/>
                  </w:pPr>
                  <w:r>
                    <w:t xml:space="preserve">8</w:t>
                  </w:r>
                </w:p>
              </w:tc>
            </w:tr>
            <w:tr>
              <w:tc>
                <w:tcPr/>
                <w:p>
                  <w:pPr>
                    <w:pStyle w:val="Compact"/>
                    <w:jc w:val="left"/>
                    <w:jc w:val="center"/>
                  </w:pPr>
                  <w:r>
                    <w:t xml:space="preserve">17</w:t>
                  </w:r>
                </w:p>
              </w:tc>
              <w:tc>
                <w:tcPr/>
                <w:p>
                  <w:pPr>
                    <w:pStyle w:val="Compact"/>
                    <w:jc w:val="left"/>
                    <w:jc w:val="center"/>
                  </w:pPr>
                  <w:r>
                    <w:t xml:space="preserve">2024-11-06</w:t>
                  </w:r>
                </w:p>
              </w:tc>
              <w:tc>
                <w:tcPr/>
                <w:p>
                  <w:pPr>
                    <w:pStyle w:val="Compact"/>
                    <w:jc w:val="left"/>
                    <w:jc w:val="center"/>
                  </w:pPr>
                  <w:r>
                    <w:t xml:space="preserve">13:40:00</w:t>
                  </w:r>
                </w:p>
              </w:tc>
              <w:tc>
                <w:tcPr/>
                <w:p>
                  <w:pPr>
                    <w:pStyle w:val="Compact"/>
                    <w:jc w:val="left"/>
                    <w:jc w:val="center"/>
                  </w:pPr>
                  <w:r>
                    <w:t xml:space="preserve">2.359e-04</w:t>
                  </w:r>
                </w:p>
              </w:tc>
              <w:tc>
                <w:tcPr/>
                <w:p>
                  <w:pPr>
                    <w:pStyle w:val="Compact"/>
                    <w:jc w:val="left"/>
                    <w:jc w:val="center"/>
                  </w:pPr>
                  <w:r>
                    <w:t xml:space="preserve">10</w:t>
                  </w:r>
                </w:p>
              </w:tc>
            </w:tr>
            <w:tr>
              <w:tc>
                <w:tcPr/>
                <w:p>
                  <w:pPr>
                    <w:pStyle w:val="Compact"/>
                    <w:jc w:val="left"/>
                    <w:jc w:val="center"/>
                  </w:pPr>
                  <w:r>
                    <w:t xml:space="preserve">18</w:t>
                  </w:r>
                </w:p>
              </w:tc>
              <w:tc>
                <w:tcPr/>
                <w:p>
                  <w:pPr>
                    <w:pStyle w:val="Compact"/>
                    <w:jc w:val="left"/>
                    <w:jc w:val="center"/>
                  </w:pPr>
                  <w:r>
                    <w:t xml:space="preserve">2023-02-17</w:t>
                  </w:r>
                </w:p>
              </w:tc>
              <w:tc>
                <w:tcPr/>
                <w:p>
                  <w:pPr>
                    <w:pStyle w:val="Compact"/>
                    <w:jc w:val="left"/>
                    <w:jc w:val="center"/>
                  </w:pPr>
                  <w:r>
                    <w:t xml:space="preserve">20:16:00</w:t>
                  </w:r>
                </w:p>
              </w:tc>
              <w:tc>
                <w:tcPr/>
                <w:p>
                  <w:pPr>
                    <w:pStyle w:val="Compact"/>
                    <w:jc w:val="left"/>
                    <w:jc w:val="center"/>
                  </w:pPr>
                  <w:r>
                    <w:t xml:space="preserve">2.275e-04</w:t>
                  </w:r>
                </w:p>
              </w:tc>
              <w:tc>
                <w:tcPr/>
                <w:p>
                  <w:pPr>
                    <w:pStyle w:val="Compact"/>
                    <w:jc w:val="left"/>
                    <w:jc w:val="center"/>
                  </w:pPr>
                  <w:r>
                    <w:t xml:space="preserve">87</w:t>
                  </w:r>
                </w:p>
              </w:tc>
            </w:tr>
            <w:tr>
              <w:tc>
                <w:tcPr/>
                <w:p>
                  <w:pPr>
                    <w:pStyle w:val="Compact"/>
                    <w:jc w:val="left"/>
                    <w:jc w:val="center"/>
                  </w:pPr>
                  <w:r>
                    <w:t xml:space="preserve">19</w:t>
                  </w:r>
                </w:p>
              </w:tc>
              <w:tc>
                <w:tcPr/>
                <w:p>
                  <w:pPr>
                    <w:pStyle w:val="Compact"/>
                    <w:jc w:val="left"/>
                    <w:jc w:val="center"/>
                  </w:pPr>
                  <w:r>
                    <w:t xml:space="preserve">2024-12-08</w:t>
                  </w:r>
                </w:p>
              </w:tc>
              <w:tc>
                <w:tcPr/>
                <w:p>
                  <w:pPr>
                    <w:pStyle w:val="Compact"/>
                    <w:jc w:val="left"/>
                    <w:jc w:val="center"/>
                  </w:pPr>
                  <w:r>
                    <w:t xml:space="preserve">09:06:00</w:t>
                  </w:r>
                </w:p>
              </w:tc>
              <w:tc>
                <w:tcPr/>
                <w:p>
                  <w:pPr>
                    <w:pStyle w:val="Compact"/>
                    <w:jc w:val="left"/>
                    <w:jc w:val="center"/>
                  </w:pPr>
                  <w:r>
                    <w:t xml:space="preserve">2.255e-04</w:t>
                  </w:r>
                </w:p>
              </w:tc>
              <w:tc>
                <w:tcPr/>
                <w:p>
                  <w:pPr>
                    <w:pStyle w:val="Compact"/>
                    <w:jc w:val="left"/>
                    <w:jc w:val="center"/>
                  </w:pPr>
                  <w:r>
                    <w:t xml:space="preserve">9</w:t>
                  </w:r>
                </w:p>
              </w:tc>
            </w:tr>
            <w:tr>
              <w:tc>
                <w:tcPr/>
                <w:p>
                  <w:pPr>
                    <w:pStyle w:val="Compact"/>
                    <w:jc w:val="left"/>
                    <w:jc w:val="center"/>
                  </w:pPr>
                  <w:r>
                    <w:t xml:space="preserve">20</w:t>
                  </w:r>
                </w:p>
              </w:tc>
              <w:tc>
                <w:tcPr/>
                <w:p>
                  <w:pPr>
                    <w:pStyle w:val="Compact"/>
                    <w:jc w:val="left"/>
                    <w:jc w:val="center"/>
                  </w:pPr>
                  <w:r>
                    <w:t xml:space="preserve">2022-04-20</w:t>
                  </w:r>
                </w:p>
              </w:tc>
              <w:tc>
                <w:tcPr/>
                <w:p>
                  <w:pPr>
                    <w:pStyle w:val="Compact"/>
                    <w:jc w:val="left"/>
                    <w:jc w:val="center"/>
                  </w:pPr>
                  <w:r>
                    <w:t xml:space="preserve">03:57:00</w:t>
                  </w:r>
                </w:p>
              </w:tc>
              <w:tc>
                <w:tcPr/>
                <w:p>
                  <w:pPr>
                    <w:pStyle w:val="Compact"/>
                    <w:jc w:val="left"/>
                    <w:jc w:val="center"/>
                  </w:pPr>
                  <w:r>
                    <w:t xml:space="preserve">2.243e-04</w:t>
                  </w:r>
                </w:p>
              </w:tc>
              <w:tc>
                <w:tcPr/>
                <w:p>
                  <w:pPr>
                    <w:pStyle w:val="Compact"/>
                    <w:jc w:val="left"/>
                    <w:jc w:val="center"/>
                  </w:pPr>
                  <w:r>
                    <w:t xml:space="preserve">22</w:t>
                  </w:r>
                </w:p>
              </w:tc>
            </w:tr>
          </w:tbl>
          <w:bookmarkEnd w:id="243"/>
          <w:p/>
        </w:tc>
      </w:tr>
    </w:tbl>
    <w:tbl>
      <w:tblPr>
        <w:tblStyle w:val="Table"/>
        <w:tblW w:type="pct" w:w="5000"/>
        <w:tblLayout w:type="fixed"/>
        <w:tblLook w:firstRow="0" w:lastRow="0" w:firstColumn="0" w:lastColumn="0" w:noHBand="0" w:noVBand="0" w:val="0000"/>
      </w:tblPr>
      <w:tblGrid>
        <w:gridCol w:w="7920"/>
      </w:tblGrid>
      <w:tr>
        <w:tc>
          <w:tcPr/>
          <w:bookmarkStart w:id="247" w:name="fig-eventos"/>
          <w:p>
            <w:pPr>
              <w:pStyle w:val="Compact"/>
              <w:jc w:val="center"/>
            </w:pPr>
            <w:r>
              <w:drawing>
                <wp:inline>
                  <wp:extent cx="5829300" cy="2975821"/>
                  <wp:effectExtent b="0" l="0" r="0" t="0"/>
                  <wp:docPr descr="" title="" id="245" name="Picture"/>
                  <a:graphic>
                    <a:graphicData uri="http://schemas.openxmlformats.org/drawingml/2006/picture">
                      <pic:pic>
                        <pic:nvPicPr>
                          <pic:cNvPr descr="figuras/eventos_extremos.png" id="246" name="Picture"/>
                          <pic:cNvPicPr>
                            <a:picLocks noChangeArrowheads="1" noChangeAspect="1"/>
                          </pic:cNvPicPr>
                        </pic:nvPicPr>
                        <pic:blipFill>
                          <a:blip r:embed="rId244"/>
                          <a:stretch>
                            <a:fillRect/>
                          </a:stretch>
                        </pic:blipFill>
                        <pic:spPr bwMode="auto">
                          <a:xfrm>
                            <a:off x="0" y="0"/>
                            <a:ext cx="5829300" cy="2975821"/>
                          </a:xfrm>
                          <a:prstGeom prst="rect">
                            <a:avLst/>
                          </a:prstGeom>
                          <a:noFill/>
                          <a:ln w="9525">
                            <a:noFill/>
                            <a:headEnd/>
                            <a:tailEnd/>
                          </a:ln>
                        </pic:spPr>
                      </pic:pic>
                    </a:graphicData>
                  </a:graphic>
                </wp:inline>
              </w:drawing>
            </w:r>
          </w:p>
          <w:p>
            <w:pPr>
              <w:jc w:val="center"/>
            </w:pPr>
            <w:pPr>
              <w:jc w:val="start"/>
              <w:spacing w:before="200"/>
              <w:pStyle w:val="ImageCaption"/>
            </w:pPr>
            <w:r>
              <w:t xml:space="preserve">Figura 42: Máximos diários e os vinte maiores picos de episódios; somente os cinco maiores recebem rótulos.</w:t>
            </w:r>
          </w:p>
          <w:bookmarkEnd w:id="247"/>
        </w:tc>
      </w:tr>
    </w:tbl>
    <w:bookmarkEnd w:id="248"/>
    <w:bookmarkEnd w:id="249"/>
    <w:bookmarkStart w:id="250" w:name="discussão"/>
    <w:p>
      <w:pPr>
        <w:pStyle w:val="Heading1"/>
      </w:pPr>
      <w:r>
        <w:t xml:space="preserve">12. Discussão</w:t>
      </w:r>
    </w:p>
    <w:p>
      <w:pPr>
        <w:pStyle w:val="FirstParagraph"/>
      </w:pPr>
      <w:r>
        <w:t xml:space="preserve">A sequência distingue a forte assimetria dos minutos, a construção de blocos e a seleção dos máximos mensais, o ajuste GEV e a avaliação posterior da Skew-t sobre a mesma amostra. Não. A Skew-t não apresentou evidência de ajuste empírico melhor que a GEV: os critérios e o erro descritivo dos maiores quantis favorecem a GEV. Essa preferência relativa não corrige a má calibração superior da GEV; nenhuma das duas distribuições oferece representação plenamente satisfatória para extrapolação. A troca de família não elimina a dependência temporal e não representa, por si só, as fases de atividade solar. A estabilidade da preferência relativa ao retirar grandes máximos também não equivale à identificabilidade dos parâmetros nem à estabilidade de extrapolações.</w:t>
      </w:r>
    </w:p>
    <w:p>
      <w:pPr>
        <w:pStyle w:val="BodyText"/>
      </w:pPr>
      <w:r>
        <w:t xml:space="preserve">O resultado principal é negativo quanto à extrapolação global: convergência e um intervalo de forma inteiramente positivo não tornam a GEV estacionária uma descrição adequada da cauda solar. A discrepância QQ, a calibração dos níveis e a dependência residual desaconselham usar esses números como previsões. Não se seleciona uma distribuição global preditiva validada com as alternativas simples investigadas.</w:t>
      </w:r>
    </w:p>
    <w:p>
      <w:pPr>
        <w:pStyle w:val="BodyText"/>
      </w:pPr>
      <w:r>
        <w:t xml:space="preserve">O estudo distingue a análise de todos os minutos da inferência sobre máximos. Milhões de medidas não equivalem a milhões de episódios independentes, nem aumentam a duração do registro. A cobertura mínima protege contra máximos calculados a partir de poucos minutos, mas não elimina viés: ausência de dados pode estar associada à intensidade do evento. Não se imputaram picos faltantes.</w:t>
      </w:r>
    </w:p>
    <w:p>
      <w:pPr>
        <w:pStyle w:val="BodyText"/>
      </w:pPr>
      <w:r>
        <w:t xml:space="preserve">A agregação principal foi mensal, com 94 máximos elegíveis. A forma estimada de 2.772 e seu intervalo sustentam a classificação apresentada, dentro das hipóteses do ajuste. A comparação entre blocos mostra como o número de máximos, a dependência e o parâmetro de forma mudam com a agregação; não existe uma escolha universal de calendário que garanta o regime assintótico.</w:t>
      </w:r>
    </w:p>
    <w:p>
      <w:pPr>
        <w:pStyle w:val="BodyText"/>
      </w:pPr>
      <w:r>
        <w:t xml:space="preserve">A avaliação de não estacionariedade é inconclusiva ou insuficiente para favorecer a extensão linear pelos critérios conjuntos empregados. Ambas as possibilidades exigem cautela: ausência de evidência não é evidência de constância, e um ajuste linear favorável não demonstra uma dinâmica solar linear. O bootstrap móvel pressupõe estabilidade aproximada e seus intervalos não incorporam integralmente essas alternativas estruturais. Portanto, os intervalos são nominais e condicionais à aproximação adotada; não garantem cobertura de 95% para o processo solar não estacionário desconhecido.</w:t>
      </w:r>
    </w:p>
    <w:p>
      <w:pPr>
        <w:pStyle w:val="BodyText"/>
      </w:pPr>
      <w:r>
        <w:t xml:space="preserve">Em relação ao estudo de referência, três adaptações são centrais. Primeiro, testes de autocorrelação são diagnósticos e não certificados de independência. Segundo, níveis de retorno são quantis probabilísticos em unidades físicas, sem interpretação financeira. Terceiro, a incerteza da forma e a possível heterogeneidade temporal impedem uma conclusão baseada apenas no sinal pontual. As fórmulas foram implementadas com o suporte da GEV e os limites numéricos apropriados; não se utiliza a tabela de momentos da distribuição alfa-estável do trabalho de referência, cuja discussão não é necessária a esta aplicação.</w:t>
      </w:r>
    </w:p>
    <w:bookmarkEnd w:id="250"/>
    <w:bookmarkStart w:id="251" w:name="conclusão"/>
    <w:p>
      <w:pPr>
        <w:pStyle w:val="Heading1"/>
      </w:pPr>
      <w:r>
        <w:t xml:space="preserve">13. Conclusão</w:t>
      </w:r>
    </w:p>
    <w:p>
      <w:pPr>
        <w:pStyle w:val="FirstParagraph"/>
      </w:pPr>
      <w:r>
        <w:t xml:space="preserve">Com 4.172.834 observações válidas, foi possível construir máximos por calendário e comparar três agregações. O bloco principal foi</w:t>
      </w:r>
      <w:r>
        <w:t xml:space="preserve"> </w:t>
      </w:r>
      <w:r>
        <w:rPr>
          <w:b/>
          <w:bCs/>
        </w:rPr>
        <w:t xml:space="preserve">mensal</w:t>
      </w:r>
      <w:r>
        <w:t xml:space="preserve">, selecionado pela regra explícita de agregação e viabilidade após o exame das alternativas. Os parâmetros estimados foram</w:t>
      </w:r>
      <w:r>
        <w:t xml:space="preserve"> </w:t>
      </w:r>
      <m:oMath>
        <m:acc>
          <m:accPr>
            <m:chr m:val="̂"/>
          </m:accPr>
          <m:e>
            <m:r>
              <m:t>μ</m:t>
            </m:r>
          </m:e>
        </m:acc>
        <m:r>
          <m:rPr>
            <m:sty m:val="p"/>
          </m:rPr>
          <m:t>=</m:t>
        </m:r>
      </m:oMath>
      <w:r>
        <w:t xml:space="preserve"> </w:t>
      </w:r>
      <w:r>
        <w:t xml:space="preserve">2.979e-06 W m⁻²,</w:t>
      </w:r>
      <w:r>
        <w:t xml:space="preserve"> </w:t>
      </w:r>
      <m:oMath>
        <m:acc>
          <m:accPr>
            <m:chr m:val="̂"/>
          </m:accPr>
          <m:e>
            <m:r>
              <m:t>σ</m:t>
            </m:r>
          </m:e>
        </m:acc>
        <m:r>
          <m:rPr>
            <m:sty m:val="p"/>
          </m:rPr>
          <m:t>=</m:t>
        </m:r>
      </m:oMath>
      <w:r>
        <w:t xml:space="preserve"> </w:t>
      </w:r>
      <w:r>
        <w:t xml:space="preserve">8.208e-06 W m⁻² e</w:t>
      </w:r>
      <w:r>
        <w:t xml:space="preserve"> </w:t>
      </w:r>
      <m:oMath>
        <m:acc>
          <m:accPr>
            <m:chr m:val="̂"/>
          </m:accPr>
          <m:e>
            <m:r>
              <m:t>ξ</m:t>
            </m:r>
          </m:e>
        </m:acc>
        <m:r>
          <m:rPr>
            <m:sty m:val="p"/>
          </m:rPr>
          <m:t>=</m:t>
        </m:r>
      </m:oMath>
      <w:r>
        <w:t xml:space="preserve"> </w:t>
      </w:r>
      <w:r>
        <w:t xml:space="preserve">2.772.</w:t>
      </w:r>
    </w:p>
    <w:p>
      <w:pPr>
        <w:pStyle w:val="BodyText"/>
      </w:pPr>
      <w:r>
        <w:t xml:space="preserve">A classificação da forma é</w:t>
      </w:r>
      <w:r>
        <w:t xml:space="preserve"> </w:t>
      </w:r>
      <w:r>
        <w:rPr>
          <w:b/>
          <w:bCs/>
        </w:rPr>
        <w:t xml:space="preserve">Fréchet: o intervalo bootstrap da forma está inteiramente acima de zero</w:t>
      </w:r>
      <w:r>
        <w:t xml:space="preserve">. O nível</w:t>
      </w:r>
      <w:r>
        <w:t xml:space="preserve"> </w:t>
      </w:r>
      <w:r>
        <w:rPr>
          <w:b/>
          <w:bCs/>
        </w:rPr>
        <w:t xml:space="preserve">formal</w:t>
      </w:r>
      <w:r>
        <w:t xml:space="preserve"> </w:t>
      </w:r>
      <w:r>
        <w:t xml:space="preserve">de dez anos, 1.698e+00 W m⁻², é uma extrapolação condicional às hipóteses e deve ser acompanhado de seu intervalo, dos diagnósticos e da avaliação temporal. A comparação linear não eliminou a possibilidade de variações não lineares ou cíclicas e não autoriza presumir validade preditiva futura. A conclusão não é uma previsão confiável de um evento desse tamanho: a GEV global falhou na calibração superior e a alternativa linear não resolveu o problema. Modelos de regimes, covariáveis solares externas e modelagem de escala temporal seriam caminhos posteriores, sujeitos a validação, e não resultados estabelecidos deste trabalho. Um registro maior e covariáveis solares independentes seriam necessários para avançar na interpretação física e em projeções.</w:t>
      </w:r>
    </w:p>
    <w:p>
      <w:pPr>
        <w:pStyle w:val="BodyText"/>
      </w:pPr>
      <w:r>
        <w:t xml:space="preserve">A comparação com a Skew-t usou</w:t>
      </w:r>
      <w:r>
        <w:t xml:space="preserve"> </w:t>
      </w:r>
      <w:r>
        <w:rPr>
          <w:b/>
          <w:bCs/>
        </w:rPr>
        <w:t xml:space="preserve">94 máximos mensais comuns</w:t>
      </w:r>
      <w:r>
        <w:t xml:space="preserve">. Não. A Skew-t não apresentou evidência de ajuste empírico melhor que a GEV: os critérios e o erro descritivo dos maiores quantis favorecem a GEV. Essa preferência relativa não corrige a má calibração superior da GEV; nenhuma das duas distribuições oferece representação plenamente satisfatória para extrapolação. O PP apresenta RMSE de 0.0759 (GEV) e 0.0971 (Skew-t); nos maiores quantis, a menor discrepância descritiva é de GEV, sem demonstrar calibração adequada. As diferenças de AIC/BIC e os cenários sem um/três maiores devem ser interpretados junto da fronteira numérica e da variação dos quantis, e não como um teste definitivo. Não é seguro extrapolar prospectivamente com qualquer das famílias globais aqui ajustadas; permanecem dependência, amostra mensal pequena, heterogeneidade temporal e incerteza estrutural.</w:t>
      </w:r>
    </w:p>
    <w:bookmarkEnd w:id="251"/>
    <w:bookmarkStart w:id="264" w:name="referências-e-reprodutibilidade"/>
    <w:p>
      <w:pPr>
        <w:pStyle w:val="Heading1"/>
      </w:pPr>
      <w:r>
        <w:t xml:space="preserve">Referências e reprodutibilidade</w:t>
      </w:r>
    </w:p>
    <w:p>
      <w:pPr>
        <w:pStyle w:val="Compact"/>
        <w:numPr>
          <w:ilvl w:val="0"/>
          <w:numId w:val="1001"/>
        </w:numPr>
      </w:pPr>
      <w:r>
        <w:t xml:space="preserve">Brito, Carolyne Soares de.</w:t>
      </w:r>
      <w:r>
        <w:t xml:space="preserve"> </w:t>
      </w:r>
      <w:r>
        <w:rPr>
          <w:i/>
          <w:iCs/>
        </w:rPr>
        <w:t xml:space="preserve">Análise da Cotação das empresas BrasilAgro e Boa Safra</w:t>
      </w:r>
      <w:r>
        <w:t xml:space="preserve">. Trabalho acadêmico, Universidade de Brasília, Departamento de Estatística. PDF fornecido pelo usuário; sem data editorial verificada. Cópia em</w:t>
      </w:r>
      <w:r>
        <w:t xml:space="preserve"> </w:t>
      </w:r>
      <w:r>
        <w:rPr>
          <w:rStyle w:val="VerbatimChar"/>
        </w:rPr>
        <w:t xml:space="preserve">referencias/Carolyne.pdf</w:t>
      </w:r>
      <w:r>
        <w:t xml:space="preserve">.</w:t>
      </w:r>
    </w:p>
    <w:p>
      <w:pPr>
        <w:pStyle w:val="Compact"/>
        <w:numPr>
          <w:ilvl w:val="0"/>
          <w:numId w:val="1001"/>
        </w:numPr>
      </w:pPr>
      <w:r>
        <w:t xml:space="preserve">Fisher, R. A.; Tippett, L. H. C. (1928).</w:t>
      </w:r>
      <w:r>
        <w:t xml:space="preserve"> </w:t>
      </w:r>
      <w:r>
        <w:rPr>
          <w:i/>
          <w:iCs/>
        </w:rPr>
        <w:t xml:space="preserve">On the estimation of the frequency distributions of the largest or smallest member of a sample</w:t>
      </w:r>
      <w:r>
        <w:t xml:space="preserve">. Proceedings of the Cambridge Philosophical Society, 24, 180–190. Referência explicitamente presente no trabalho fornecido.</w:t>
      </w:r>
    </w:p>
    <w:p>
      <w:pPr>
        <w:pStyle w:val="Compact"/>
        <w:numPr>
          <w:ilvl w:val="0"/>
          <w:numId w:val="1001"/>
        </w:numPr>
      </w:pPr>
      <w:r>
        <w:t xml:space="preserve">Ljung, G. M.; Box, G. E. P. (1978).</w:t>
      </w:r>
      <w:r>
        <w:t xml:space="preserve"> </w:t>
      </w:r>
      <w:r>
        <w:rPr>
          <w:i/>
          <w:iCs/>
        </w:rPr>
        <w:t xml:space="preserve">On a measure of lack of fit in time series models</w:t>
      </w:r>
      <w:r>
        <w:t xml:space="preserve">. Biometrika, 65(2), 297–303. Referência explicitamente presente no trabalho fornecido.</w:t>
      </w:r>
    </w:p>
    <w:p>
      <w:pPr>
        <w:pStyle w:val="Compact"/>
        <w:numPr>
          <w:ilvl w:val="0"/>
          <w:numId w:val="1001"/>
        </w:numPr>
      </w:pPr>
      <w:r>
        <w:t xml:space="preserve">Azzalini, A.; Capitanio, A. (2003).</w:t>
      </w:r>
      <w:r>
        <w:t xml:space="preserve"> </w:t>
      </w:r>
      <w:r>
        <w:rPr>
          <w:i/>
          <w:iCs/>
        </w:rPr>
        <w:t xml:space="preserve">Distributions generated by perturbation of symmetry with emphasis on a multivariate skew t distribution</w:t>
      </w:r>
      <w:r>
        <w:t xml:space="preserve">. Journal of the Royal Statistical Society, Series B, 65, 367–389. Referência verificada na documentação instalada de</w:t>
      </w:r>
      <w:r>
        <w:t xml:space="preserve"> </w:t>
      </w:r>
      <w:r>
        <w:rPr>
          <w:rStyle w:val="VerbatimChar"/>
        </w:rPr>
        <w:t xml:space="preserve">sn::st.mple</w:t>
      </w:r>
      <w:r>
        <w:t xml:space="preserve">; versão integral indicada pelo pacote:</w:t>
      </w:r>
      <w:r>
        <w:t xml:space="preserve"> </w:t>
      </w:r>
      <w:hyperlink r:id="rId252">
        <w:r>
          <w:rPr>
            <w:rStyle w:val="Hyperlink"/>
          </w:rPr>
          <w:t xml:space="preserve">https://arxiv.org/abs/0911.2342</w:t>
        </w:r>
      </w:hyperlink>
      <w:r>
        <w:t xml:space="preserve">. A citação do pacote instalado é reproduzida abaixo, via</w:t>
      </w:r>
      <w:r>
        <w:t xml:space="preserve"> </w:t>
      </w:r>
      <w:r>
        <w:rPr>
          <w:rStyle w:val="VerbatimChar"/>
        </w:rPr>
        <w:t xml:space="preserve">citation("sn")</w:t>
      </w:r>
      <w:r>
        <w:t xml:space="preserve">.</w:t>
      </w:r>
    </w:p>
    <w:p>
      <w:pPr>
        <w:pStyle w:val="Compact"/>
        <w:numPr>
          <w:ilvl w:val="0"/>
          <w:numId w:val="1001"/>
        </w:numPr>
      </w:pPr>
      <w:r>
        <w:t xml:space="preserve">Produto GOES-16: identificação, unidades, atributos globais e histórico registrados no próprio NetCDF e exportados em</w:t>
      </w:r>
      <w:r>
        <w:t xml:space="preserve"> </w:t>
      </w:r>
      <w:r>
        <w:rPr>
          <w:rStyle w:val="VerbatimChar"/>
        </w:rPr>
        <w:t xml:space="preserve">tabelas/metadados_netcdf.csv</w:t>
      </w:r>
      <w:r>
        <w:t xml:space="preserve">. Não foi atribuída uma referência bibliográfica externa não verificada.</w:t>
      </w:r>
    </w:p>
    <w:p>
      <w:pPr>
        <w:pStyle w:val="FirstParagraph"/>
      </w:pPr>
      <w:r>
        <w:t xml:space="preserve">A análise é refeita integralmente ao renderizar; não se reutiliza um cache com dados antigos. A identificação por MD5, as escolhas metodológicas e as versões dos pacotes permitem rastrear a execução. As tabelas CSV e figuras PNG são gravadas automaticamente.</w:t>
      </w:r>
    </w:p>
    <w:p>
      <w:pPr>
        <w:pStyle w:val="BodyText"/>
      </w:pPr>
      <w:r>
        <w:rPr>
          <w:b/>
          <w:bCs/>
        </w:rPr>
        <w:t xml:space="preserve">Pacote ncdf4</w:t>
      </w:r>
    </w:p>
    <w:p>
      <w:pPr>
        <w:pStyle w:val="BodyText"/>
      </w:pPr>
      <w:r>
        <w:t xml:space="preserve">Pierce D (2024).</w:t>
      </w:r>
      <w:r>
        <w:t xml:space="preserve"> </w:t>
      </w:r>
      <w:r>
        <w:rPr>
          <w:i/>
          <w:iCs/>
        </w:rPr>
        <w:t xml:space="preserve">ncdf4: Interface to Unidata netCDF (Version 4 or</w:t>
      </w:r>
      <w:r>
        <w:rPr>
          <w:i/>
          <w:iCs/>
        </w:rPr>
        <w:t xml:space="preserve"> </w:t>
      </w:r>
      <w:r>
        <w:rPr>
          <w:i/>
          <w:iCs/>
        </w:rPr>
        <w:t xml:space="preserve">Earlier) Format Data Files</w:t>
      </w:r>
      <w:r>
        <w:t xml:space="preserve">. doi:10.32614/CRAN.package.ncdf4</w:t>
      </w:r>
      <w:r>
        <w:t xml:space="preserve"> </w:t>
      </w:r>
      <w:hyperlink r:id="rId253">
        <w:r>
          <w:rPr>
            <w:rStyle w:val="Hyperlink"/>
          </w:rPr>
          <w:t xml:space="preserve">https://doi.org/10.32614/CRAN.package.ncdf4</w:t>
        </w:r>
      </w:hyperlink>
      <w:r>
        <w:t xml:space="preserve">, R package version 1.23,</w:t>
      </w:r>
      <w:r>
        <w:t xml:space="preserve"> </w:t>
      </w:r>
      <w:hyperlink r:id="rId254">
        <w:r>
          <w:rPr>
            <w:rStyle w:val="Hyperlink"/>
          </w:rPr>
          <w:t xml:space="preserve">https://CRAN.R-project.org/package=ncdf4</w:t>
        </w:r>
      </w:hyperlink>
      <w:r>
        <w:t xml:space="preserve">.</w:t>
      </w:r>
    </w:p>
    <w:p>
      <w:pPr>
        <w:pStyle w:val="BodyText"/>
      </w:pPr>
      <w:r>
        <w:rPr>
          <w:b/>
          <w:bCs/>
        </w:rPr>
        <w:t xml:space="preserve">Pacote data.table</w:t>
      </w:r>
    </w:p>
    <w:p>
      <w:pPr>
        <w:pStyle w:val="BodyText"/>
      </w:pPr>
      <w:r>
        <w:t xml:space="preserve">Barrett T, Dowle M, Srinivasan A, Gorecki J, Chirico M, Hocking T,</w:t>
      </w:r>
      <w:r>
        <w:t xml:space="preserve"> </w:t>
      </w:r>
      <w:r>
        <w:t xml:space="preserve">Schwendinger B, Krylov I (2025).</w:t>
      </w:r>
      <w:r>
        <w:t xml:space="preserve"> </w:t>
      </w:r>
      <w:r>
        <w:rPr>
          <w:i/>
          <w:iCs/>
        </w:rPr>
        <w:t xml:space="preserve">data.table: Extension of</w:t>
      </w:r>
      <w:r>
        <w:rPr>
          <w:i/>
          <w:iCs/>
        </w:rPr>
        <w:t xml:space="preserve"> </w:t>
      </w:r>
      <w:r>
        <w:rPr>
          <w:rStyle w:val="VerbatimChar"/>
          <w:i/>
          <w:iCs/>
        </w:rPr>
        <w:t xml:space="preserve">data.frame</w:t>
      </w:r>
      <w:r>
        <w:t xml:space="preserve">. doi:10.32614/CRAN.package.data.table</w:t>
      </w:r>
      <w:r>
        <w:t xml:space="preserve"> </w:t>
      </w:r>
      <w:hyperlink r:id="rId255">
        <w:r>
          <w:rPr>
            <w:rStyle w:val="Hyperlink"/>
          </w:rPr>
          <w:t xml:space="preserve">https://doi.org/10.32614/CRAN.package.data.table</w:t>
        </w:r>
      </w:hyperlink>
      <w:r>
        <w:t xml:space="preserve">, R package version</w:t>
      </w:r>
      <w:r>
        <w:t xml:space="preserve"> </w:t>
      </w:r>
      <w:r>
        <w:t xml:space="preserve">1.17.0,</w:t>
      </w:r>
      <w:r>
        <w:t xml:space="preserve"> </w:t>
      </w:r>
      <w:hyperlink r:id="rId256">
        <w:r>
          <w:rPr>
            <w:rStyle w:val="Hyperlink"/>
          </w:rPr>
          <w:t xml:space="preserve">https://CRAN.R-project.org/package=data.table</w:t>
        </w:r>
      </w:hyperlink>
      <w:r>
        <w:t xml:space="preserve">.</w:t>
      </w:r>
    </w:p>
    <w:p>
      <w:pPr>
        <w:pStyle w:val="BodyText"/>
      </w:pPr>
      <w:r>
        <w:rPr>
          <w:b/>
          <w:bCs/>
        </w:rPr>
        <w:t xml:space="preserve">Pacote ggplot2</w:t>
      </w:r>
    </w:p>
    <w:p>
      <w:pPr>
        <w:pStyle w:val="BodyText"/>
      </w:pPr>
      <w:r>
        <w:t xml:space="preserve">Wickham H (2016).</w:t>
      </w:r>
      <w:r>
        <w:t xml:space="preserve"> </w:t>
      </w:r>
      <w:r>
        <w:rPr>
          <w:i/>
          <w:iCs/>
        </w:rPr>
        <w:t xml:space="preserve">ggplot2: Elegant Graphics for Data Analysis</w:t>
      </w:r>
      <w:r>
        <w:t xml:space="preserve">.</w:t>
      </w:r>
      <w:r>
        <w:t xml:space="preserve"> </w:t>
      </w:r>
      <w:r>
        <w:t xml:space="preserve">Springer-Verlag New York. ISBN 978-3-319-24277-4,</w:t>
      </w:r>
      <w:r>
        <w:t xml:space="preserve"> </w:t>
      </w:r>
      <w:hyperlink r:id="rId257">
        <w:r>
          <w:rPr>
            <w:rStyle w:val="Hyperlink"/>
          </w:rPr>
          <w:t xml:space="preserve">https://ggplot2.tidyverse.org</w:t>
        </w:r>
      </w:hyperlink>
      <w:r>
        <w:t xml:space="preserve">.</w:t>
      </w:r>
    </w:p>
    <w:p>
      <w:pPr>
        <w:pStyle w:val="BodyText"/>
      </w:pPr>
      <w:r>
        <w:rPr>
          <w:b/>
          <w:bCs/>
        </w:rPr>
        <w:t xml:space="preserve">Pacote evd</w:t>
      </w:r>
    </w:p>
    <w:p>
      <w:pPr>
        <w:pStyle w:val="BodyText"/>
      </w:pPr>
      <w:r>
        <w:t xml:space="preserve">Stephenson AG (2002).</w:t>
      </w:r>
      <w:r>
        <w:t xml:space="preserve"> </w:t>
      </w:r>
      <w:r>
        <w:t xml:space="preserve">“evd: Extreme Value Distributions.”</w:t>
      </w:r>
      <w:r>
        <w:t xml:space="preserve"> </w:t>
      </w:r>
      <w:r>
        <w:rPr>
          <w:i/>
          <w:iCs/>
        </w:rPr>
        <w:t xml:space="preserve">R News</w:t>
      </w:r>
      <w:r>
        <w:t xml:space="preserve">,</w:t>
      </w:r>
      <w:r>
        <w:t xml:space="preserve"> </w:t>
      </w:r>
      <w:r>
        <w:rPr>
          <w:i/>
          <w:iCs/>
        </w:rPr>
        <w:t xml:space="preserve">2</w:t>
      </w:r>
      <w:r>
        <w:t xml:space="preserve">(2), 31-32.</w:t>
      </w:r>
      <w:r>
        <w:t xml:space="preserve"> </w:t>
      </w:r>
      <w:hyperlink r:id="rId258">
        <w:r>
          <w:rPr>
            <w:rStyle w:val="Hyperlink"/>
          </w:rPr>
          <w:t xml:space="preserve">https://CRAN.R-project.org/doc/Rnews/</w:t>
        </w:r>
      </w:hyperlink>
      <w:r>
        <w:t xml:space="preserve">.</w:t>
      </w:r>
    </w:p>
    <w:p>
      <w:pPr>
        <w:pStyle w:val="BodyText"/>
      </w:pPr>
      <w:r>
        <w:rPr>
          <w:b/>
          <w:bCs/>
        </w:rPr>
        <w:t xml:space="preserve">Pacote sn</w:t>
      </w:r>
    </w:p>
    <w:p>
      <w:pPr>
        <w:pStyle w:val="BodyText"/>
      </w:pPr>
      <w:r>
        <w:t xml:space="preserve">Azzalini AA (2023).</w:t>
      </w:r>
      <w:r>
        <w:t xml:space="preserve"> </w:t>
      </w:r>
      <w:r>
        <w:rPr>
          <w:i/>
          <w:iCs/>
        </w:rPr>
        <w:t xml:space="preserve">The R package</w:t>
      </w:r>
      <w:r>
        <w:rPr>
          <w:i/>
          <w:iCs/>
        </w:rPr>
        <w:t xml:space="preserve"> </w:t>
      </w:r>
      <w:r>
        <w:rPr>
          <w:i/>
          <w:iCs/>
        </w:rPr>
        <w:t xml:space="preserve">: The skew-normal and</w:t>
      </w:r>
      <w:r>
        <w:rPr>
          <w:i/>
          <w:iCs/>
        </w:rPr>
        <w:t xml:space="preserve"> </w:t>
      </w:r>
      <w:r>
        <w:rPr>
          <w:i/>
          <w:iCs/>
        </w:rPr>
        <w:t xml:space="preserve">related distributions such as the skew-</w:t>
      </w:r>
      <m:oMath>
        <m:r>
          <m:t>t</m:t>
        </m:r>
      </m:oMath>
      <w:r>
        <w:rPr>
          <w:i/>
          <w:iCs/>
        </w:rPr>
        <w:t xml:space="preserve"> </w:t>
      </w:r>
      <w:r>
        <w:rPr>
          <w:i/>
          <w:iCs/>
        </w:rPr>
        <w:t xml:space="preserve">and the SUN (version</w:t>
      </w:r>
      <w:r>
        <w:rPr>
          <w:i/>
          <w:iCs/>
        </w:rPr>
        <w:t xml:space="preserve"> </w:t>
      </w:r>
      <w:r>
        <w:rPr>
          <w:i/>
          <w:iCs/>
        </w:rPr>
        <w:t xml:space="preserve">2.1.1).</w:t>
      </w:r>
      <w:r>
        <w:t xml:space="preserve">. Home page:</w:t>
      </w:r>
      <w:r>
        <w:t xml:space="preserve"> </w:t>
      </w:r>
      <w:hyperlink r:id="rId259">
        <w:r>
          <w:rPr>
            <w:rStyle w:val="Hyperlink"/>
          </w:rPr>
          <w:t xml:space="preserve">http://azzalini.stat.unipd.it/SN/</w:t>
        </w:r>
      </w:hyperlink>
      <w:r>
        <w:t xml:space="preserve">,</w:t>
      </w:r>
      <w:r>
        <w:t xml:space="preserve"> </w:t>
      </w:r>
      <w:hyperlink r:id="rId260">
        <w:r>
          <w:rPr>
            <w:rStyle w:val="Hyperlink"/>
          </w:rPr>
          <w:t xml:space="preserve">https://cran.r-project.org/package=sn</w:t>
        </w:r>
      </w:hyperlink>
      <w:r>
        <w:t xml:space="preserve">.</w:t>
      </w:r>
    </w:p>
    <w:p>
      <w:pPr>
        <w:pStyle w:val="BodyText"/>
      </w:pPr>
      <w:r>
        <w:rPr>
          <w:b/>
          <w:bCs/>
        </w:rPr>
        <w:t xml:space="preserve">Pacote numDeriv</w:t>
      </w:r>
    </w:p>
    <w:p>
      <w:pPr>
        <w:pStyle w:val="BodyText"/>
      </w:pPr>
      <w:r>
        <w:t xml:space="preserve">Gilbert P, Varadhan R (2019).</w:t>
      </w:r>
      <w:r>
        <w:t xml:space="preserve"> </w:t>
      </w:r>
      <w:r>
        <w:rPr>
          <w:i/>
          <w:iCs/>
        </w:rPr>
        <w:t xml:space="preserve">numDeriv: Accurate Numerical</w:t>
      </w:r>
      <w:r>
        <w:rPr>
          <w:i/>
          <w:iCs/>
        </w:rPr>
        <w:t xml:space="preserve"> </w:t>
      </w:r>
      <w:r>
        <w:rPr>
          <w:i/>
          <w:iCs/>
        </w:rPr>
        <w:t xml:space="preserve">Derivatives</w:t>
      </w:r>
      <w:r>
        <w:t xml:space="preserve">. doi:10.32614/CRAN.package.numDeriv</w:t>
      </w:r>
      <w:r>
        <w:t xml:space="preserve"> </w:t>
      </w:r>
      <w:hyperlink r:id="rId261">
        <w:r>
          <w:rPr>
            <w:rStyle w:val="Hyperlink"/>
          </w:rPr>
          <w:t xml:space="preserve">https://doi.org/10.32614/CRAN.package.numDeriv</w:t>
        </w:r>
      </w:hyperlink>
      <w:r>
        <w:t xml:space="preserve">, R package version</w:t>
      </w:r>
      <w:r>
        <w:t xml:space="preserve"> </w:t>
      </w:r>
      <w:r>
        <w:t xml:space="preserve">2016.8-1.1,</w:t>
      </w:r>
      <w:r>
        <w:t xml:space="preserve"> </w:t>
      </w:r>
      <w:hyperlink r:id="rId262">
        <w:r>
          <w:rPr>
            <w:rStyle w:val="Hyperlink"/>
          </w:rPr>
          <w:t xml:space="preserve">https://CRAN.R-project.org/package=numDeriv</w:t>
        </w:r>
      </w:hyperlink>
      <w:r>
        <w:t xml:space="preserve">.</w:t>
      </w:r>
    </w:p>
    <w:p>
      <w:pPr>
        <w:pStyle w:val="BodyText"/>
      </w:pPr>
      <w:r>
        <w:rPr>
          <w:b/>
          <w:bCs/>
        </w:rPr>
        <w:t xml:space="preserve">Pacote knitr</w:t>
      </w:r>
    </w:p>
    <w:p>
      <w:pPr>
        <w:pStyle w:val="BodyText"/>
      </w:pPr>
      <w:r>
        <w:t xml:space="preserve">Xie Y (2025).</w:t>
      </w:r>
      <w:r>
        <w:t xml:space="preserve"> </w:t>
      </w:r>
      <w:r>
        <w:rPr>
          <w:i/>
          <w:iCs/>
        </w:rPr>
        <w:t xml:space="preserve">knitr: A General-Purpose Package for Dynamic Report</w:t>
      </w:r>
      <w:r>
        <w:rPr>
          <w:i/>
          <w:iCs/>
        </w:rPr>
        <w:t xml:space="preserve"> </w:t>
      </w:r>
      <w:r>
        <w:rPr>
          <w:i/>
          <w:iCs/>
        </w:rPr>
        <w:t xml:space="preserve">Generation in R</w:t>
      </w:r>
      <w:r>
        <w:t xml:space="preserve">. R package version 1.50,</w:t>
      </w:r>
      <w:r>
        <w:t xml:space="preserve"> </w:t>
      </w:r>
      <w:hyperlink r:id="rId263">
        <w:r>
          <w:rPr>
            <w:rStyle w:val="Hyperlink"/>
          </w:rPr>
          <w:t xml:space="preserve">https://yihui.org/knitr/</w:t>
        </w:r>
      </w:hyperlink>
      <w:r>
        <w:t xml:space="preserve">.</w:t>
      </w:r>
      <w:r>
        <w:t xml:space="preserve"> </w:t>
      </w:r>
      <w:r>
        <w:t xml:space="preserve">Xie Y (2015).</w:t>
      </w:r>
      <w:r>
        <w:t xml:space="preserve"> </w:t>
      </w:r>
      <w:r>
        <w:rPr>
          <w:i/>
          <w:iCs/>
        </w:rPr>
        <w:t xml:space="preserve">Dynamic Documents with R and knitr</w:t>
      </w:r>
      <w:r>
        <w:t xml:space="preserve">, 2nd edition.</w:t>
      </w:r>
      <w:r>
        <w:t xml:space="preserve"> </w:t>
      </w:r>
      <w:r>
        <w:t xml:space="preserve">Chapman and Hall/CRC, Boca Raton, Florida. ISBN 978-1498716963,</w:t>
      </w:r>
      <w:r>
        <w:t xml:space="preserve"> </w:t>
      </w:r>
      <w:hyperlink r:id="rId263">
        <w:r>
          <w:rPr>
            <w:rStyle w:val="Hyperlink"/>
          </w:rPr>
          <w:t xml:space="preserve">https://yihui.org/knitr/</w:t>
        </w:r>
      </w:hyperlink>
      <w:r>
        <w:t xml:space="preserve">.</w:t>
      </w:r>
      <w:r>
        <w:t xml:space="preserve"> </w:t>
      </w:r>
      <w:r>
        <w:t xml:space="preserve">Xie Y (2014).</w:t>
      </w:r>
      <w:r>
        <w:t xml:space="preserve"> </w:t>
      </w:r>
      <w:r>
        <w:t xml:space="preserve">“knitr: A Comprehensive Tool for Reproducible Research in</w:t>
      </w:r>
      <w:r>
        <w:t xml:space="preserve"> </w:t>
      </w:r>
      <w:r>
        <w:t xml:space="preserve">R.”</w:t>
      </w:r>
      <w:r>
        <w:t xml:space="preserve"> </w:t>
      </w:r>
      <w:r>
        <w:t xml:space="preserve">In Stodden V, Leisch F, Peng RD (eds.),</w:t>
      </w:r>
      <w:r>
        <w:t xml:space="preserve"> </w:t>
      </w:r>
      <w:r>
        <w:rPr>
          <w:i/>
          <w:iCs/>
        </w:rPr>
        <w:t xml:space="preserve">Implementing Reproducible</w:t>
      </w:r>
      <w:r>
        <w:rPr>
          <w:i/>
          <w:iCs/>
        </w:rPr>
        <w:t xml:space="preserve"> </w:t>
      </w:r>
      <w:r>
        <w:rPr>
          <w:i/>
          <w:iCs/>
        </w:rPr>
        <w:t xml:space="preserve">Computational Research</w:t>
      </w:r>
      <w:r>
        <w:t xml:space="preserve">. Chapman and Hall/CRC. ISBN 978-1466561595.</w:t>
      </w:r>
    </w:p>
    <w:p>
      <w:pPr>
        <w:pStyle w:val="SourceCode"/>
      </w:pPr>
      <w:r>
        <w:rPr>
          <w:rStyle w:val="VerbatimChar"/>
        </w:rPr>
        <w:t xml:space="preserve">R version 4.5.0 (2025-04-11)</w:t>
      </w:r>
      <w:r>
        <w:br/>
      </w:r>
      <w:r>
        <w:rPr>
          <w:rStyle w:val="VerbatimChar"/>
        </w:rPr>
        <w:t xml:space="preserve">Platform: x86_64-pc-linux-gnu</w:t>
      </w:r>
      <w:r>
        <w:br/>
      </w:r>
      <w:r>
        <w:rPr>
          <w:rStyle w:val="VerbatimChar"/>
        </w:rPr>
        <w:t xml:space="preserve">Running under: Debian GNU/Linux 13 (trixie)</w:t>
      </w:r>
      <w:r>
        <w:br/>
      </w:r>
      <w:r>
        <w:br/>
      </w:r>
      <w:r>
        <w:rPr>
          <w:rStyle w:val="VerbatimChar"/>
        </w:rPr>
        <w:t xml:space="preserve">Matrix products: default</w:t>
      </w:r>
      <w:r>
        <w:br/>
      </w:r>
      <w:r>
        <w:rPr>
          <w:rStyle w:val="VerbatimChar"/>
        </w:rPr>
        <w:t xml:space="preserve">BLAS:   /usr/lib/x86_64-linux-gnu/blas/libblas.so.3.12.1 </w:t>
      </w:r>
      <w:r>
        <w:br/>
      </w:r>
      <w:r>
        <w:rPr>
          <w:rStyle w:val="VerbatimChar"/>
        </w:rPr>
        <w:t xml:space="preserve">LAPACK: /usr/lib/x86_64-linux-gnu/lapack/liblapack.so.3.12.1;  LAPACK version 3.12.0</w:t>
      </w:r>
      <w:r>
        <w:br/>
      </w:r>
      <w:r>
        <w:br/>
      </w:r>
      <w:r>
        <w:rPr>
          <w:rStyle w:val="VerbatimChar"/>
        </w:rPr>
        <w:t xml:space="preserve">locale:</w:t>
      </w:r>
      <w:r>
        <w:br/>
      </w:r>
      <w:r>
        <w:rPr>
          <w:rStyle w:val="VerbatimChar"/>
        </w:rPr>
        <w:t xml:space="preserve"> [1] LC_CTYPE=C.UTF-8       LC_NUMERIC=C           LC_TIME=C.UTF-8       </w:t>
      </w:r>
      <w:r>
        <w:br/>
      </w:r>
      <w:r>
        <w:rPr>
          <w:rStyle w:val="VerbatimChar"/>
        </w:rPr>
        <w:t xml:space="preserve"> [4] LC_COLLATE=C.UTF-8     LC_MONETARY=C.UTF-8    LC_MESSAGES=C.UTF-8   </w:t>
      </w:r>
      <w:r>
        <w:br/>
      </w:r>
      <w:r>
        <w:rPr>
          <w:rStyle w:val="VerbatimChar"/>
        </w:rPr>
        <w:t xml:space="preserve"> [7] LC_PAPER=C.UTF-8       LC_NAME=C              LC_ADDRESS=C          </w:t>
      </w:r>
      <w:r>
        <w:br/>
      </w:r>
      <w:r>
        <w:rPr>
          <w:rStyle w:val="VerbatimChar"/>
        </w:rPr>
        <w:t xml:space="preserve">[10] LC_TELEPHONE=C         LC_MEASUREMENT=C.UTF-8 LC_IDENTIFICATION=C   </w:t>
      </w:r>
      <w:r>
        <w:br/>
      </w:r>
      <w:r>
        <w:br/>
      </w:r>
      <w:r>
        <w:rPr>
          <w:rStyle w:val="VerbatimChar"/>
        </w:rPr>
        <w:t xml:space="preserve">time zone: UTC</w:t>
      </w:r>
      <w:r>
        <w:br/>
      </w:r>
      <w:r>
        <w:rPr>
          <w:rStyle w:val="VerbatimChar"/>
        </w:rPr>
        <w:t xml:space="preserve">tzcode source: system (glibc)</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ggplot2_3.5.1     data.table_1.17.0</w:t>
      </w:r>
      <w:r>
        <w:br/>
      </w:r>
      <w:r>
        <w:br/>
      </w:r>
      <w:r>
        <w:rPr>
          <w:rStyle w:val="VerbatimChar"/>
        </w:rPr>
        <w:t xml:space="preserve">loaded via a namespace (and not attached):</w:t>
      </w:r>
      <w:r>
        <w:br/>
      </w:r>
      <w:r>
        <w:rPr>
          <w:rStyle w:val="VerbatimChar"/>
        </w:rPr>
        <w:t xml:space="preserve"> [1] vctrs_0.6.5         cli_3.6.4           knitr_1.50         </w:t>
      </w:r>
      <w:r>
        <w:br/>
      </w:r>
      <w:r>
        <w:rPr>
          <w:rStyle w:val="VerbatimChar"/>
        </w:rPr>
        <w:t xml:space="preserve"> [4] rlang_1.1.5         xfun_0.51           ncdf4_1.23         </w:t>
      </w:r>
      <w:r>
        <w:br/>
      </w:r>
      <w:r>
        <w:rPr>
          <w:rStyle w:val="VerbatimChar"/>
        </w:rPr>
        <w:t xml:space="preserve"> [7] generics_0.1.3      jsonlite_1.9.1      labeling_0.4.3     </w:t>
      </w:r>
      <w:r>
        <w:br/>
      </w:r>
      <w:r>
        <w:rPr>
          <w:rStyle w:val="VerbatimChar"/>
        </w:rPr>
        <w:t xml:space="preserve">[10] glue_1.8.0          colorspace_2.1-1    htmltools_0.5.8.1  </w:t>
      </w:r>
      <w:r>
        <w:br/>
      </w:r>
      <w:r>
        <w:rPr>
          <w:rStyle w:val="VerbatimChar"/>
        </w:rPr>
        <w:t xml:space="preserve">[13] sn_2.1.1            stats4_4.5.0        scales_1.3.0       </w:t>
      </w:r>
      <w:r>
        <w:br/>
      </w:r>
      <w:r>
        <w:rPr>
          <w:rStyle w:val="VerbatimChar"/>
        </w:rPr>
        <w:t xml:space="preserve">[16] rmarkdown_2.29      grid_4.5.0          evaluate_1.0.3     </w:t>
      </w:r>
      <w:r>
        <w:br/>
      </w:r>
      <w:r>
        <w:rPr>
          <w:rStyle w:val="VerbatimChar"/>
        </w:rPr>
        <w:t xml:space="preserve">[19] munsell_0.5.1       tibble_3.2.1        fastmap_1.2.0      </w:t>
      </w:r>
      <w:r>
        <w:br/>
      </w:r>
      <w:r>
        <w:rPr>
          <w:rStyle w:val="VerbatimChar"/>
        </w:rPr>
        <w:t xml:space="preserve">[22] numDeriv_2016.8-1.1 yaml_2.3.10         lifecycle_1.0.4    </w:t>
      </w:r>
      <w:r>
        <w:br/>
      </w:r>
      <w:r>
        <w:rPr>
          <w:rStyle w:val="VerbatimChar"/>
        </w:rPr>
        <w:t xml:space="preserve">[25] evd_2.3-7.1         compiler_4.5.0      dplyr_1.1.4        </w:t>
      </w:r>
      <w:r>
        <w:br/>
      </w:r>
      <w:r>
        <w:rPr>
          <w:rStyle w:val="VerbatimChar"/>
        </w:rPr>
        <w:t xml:space="preserve">[28] pkgconfig_2.0.3     farver_2.1.2        digest_0.6.37      </w:t>
      </w:r>
      <w:r>
        <w:br/>
      </w:r>
      <w:r>
        <w:rPr>
          <w:rStyle w:val="VerbatimChar"/>
        </w:rPr>
        <w:t xml:space="preserve">[31] R6_2.6.1            tidyselect_1.2.1    mnormt_2.1.1       </w:t>
      </w:r>
      <w:r>
        <w:br/>
      </w:r>
      <w:r>
        <w:rPr>
          <w:rStyle w:val="VerbatimChar"/>
        </w:rPr>
        <w:t xml:space="preserve">[34] pillar_1.10.1       magrittr_2.0.3      withr_3.0.2        </w:t>
      </w:r>
      <w:r>
        <w:br/>
      </w:r>
      <w:r>
        <w:rPr>
          <w:rStyle w:val="VerbatimChar"/>
        </w:rPr>
        <w:t xml:space="preserve">[37] tools_4.5.0         gtable_0.3.6       </w:t>
      </w:r>
    </w:p>
    <w:bookmarkEnd w:id="264"/>
    <w:sectPr>
      <w:footerReference r:id="rId9" w:type="default"/>
      <w:footnotePr>
        <w:numRestart w:val="eachSect"/>
      </w:footnotePr>
      <w:pgSz w:h="16838" w:w="11906"/>
      <w:pgMar w:bottom="1361" w:footer="680" w:header="680" w:left="1361" w:right="1361" w:top="1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69" w:lineRule="auto"/>
    </w:pPr>
    <w:rPr>
      <w:rFonts w:ascii="Liberation Serif" w:hAnsi="Liberation Serif"/>
      <w:color w:val="000000"/>
      <w:sz w:val="22"/>
    </w:rPr>
  </w:style>
  <w:style w:styleId="BodyText" w:type="paragraph">
    <w:name w:val="Body Text"/>
    <w:basedOn w:val="Normal"/>
    <w:link w:val="BodyTextChar"/>
    <w:qFormat/>
    <w:pPr>
      <w:widowControl/>
      <w:spacing w:after="120" w:before="180" w:line="269" w:lineRule="auto"/>
    </w:pPr>
    <w:rPr>
      <w:rFonts w:ascii="Liberation Serif" w:hAnsi="Liberation Serif"/>
      <w:color w:val="000000"/>
      <w:sz w:val="22"/>
    </w:rPr>
  </w:style>
  <w:style w:customStyle="1" w:styleId="FirstParagraph" w:type="paragraph">
    <w:name w:val="First Paragraph"/>
    <w:basedOn w:val="BodyText"/>
    <w:next w:val="BodyText"/>
    <w:qFormat/>
    <w:pPr>
      <w:widowControl/>
      <w:spacing w:after="120" w:line="269" w:lineRule="auto"/>
    </w:pPr>
    <w:rPr>
      <w:rFonts w:ascii="Liberation Serif" w:hAnsi="Liberation Serif"/>
      <w:color w:val="000000"/>
      <w:sz w:val="22"/>
    </w:rPr>
  </w:style>
  <w:style w:customStyle="1" w:styleId="Compact" w:type="paragraph">
    <w:name w:val="Compact"/>
    <w:basedOn w:val="BodyText"/>
    <w:qFormat/>
    <w:pPr>
      <w:spacing w:after="0" w:before="36" w:line="252" w:lineRule="auto"/>
    </w:pPr>
    <w:rPr>
      <w:rFonts w:ascii="Liberation Serif" w:hAnsi="Liberation Serif"/>
      <w:sz w:val="19"/>
    </w:rPr>
  </w:style>
  <w:style w:styleId="Title" w:type="paragraph">
    <w:name w:val="Title"/>
    <w:basedOn w:val="Normal"/>
    <w:next w:val="BodyText"/>
    <w:link w:val="TitleChar"/>
    <w:uiPriority w:val="10"/>
    <w:qFormat/>
    <w:rsid w:val="00A10FD9"/>
    <w:pPr>
      <w:keepNext/>
      <w:spacing w:after="400" w:before="1800" w:line="240" w:lineRule="auto"/>
      <w:contextualSpacing/>
      <w:jc w:val="center"/>
    </w:pPr>
    <w:rPr>
      <w:rFonts w:ascii="Liberation Sans" w:asciiTheme="majorHAnsi" w:cstheme="majorBidi" w:eastAsiaTheme="majorEastAsia" w:hAnsi="Liberation Sans" w:hAnsiTheme="majorHAnsi"/>
      <w:color w:val="243E50"/>
      <w:sz w:val="4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600"/>
      <w:jc w:val="center"/>
    </w:pPr>
    <w:rPr>
      <w:rFonts w:ascii="Liberation Sans" w:cstheme="majorBidi" w:eastAsiaTheme="majorEastAsia" w:hAnsi="Liberation Sans"/>
      <w:color w:val="243E5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val="0"/>
      <w:keepLines/>
      <w:jc w:val="center"/>
    </w:pPr>
    <w:rPr>
      <w:rFonts w:ascii="Liberation Sans" w:hAnsi="Liberation Sans"/>
      <w:color w:val="243E50"/>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after="120" w:line="269" w:lineRule="auto"/>
    </w:pPr>
    <w:rPr>
      <w:rFonts w:ascii="Liberation Serif" w:hAnsi="Liberation Serif"/>
      <w:color w:val="000000"/>
      <w:sz w:val="22"/>
    </w:rPr>
  </w:style>
  <w:style w:styleId="Heading1" w:type="paragraph">
    <w:name w:val="heading 1"/>
    <w:basedOn w:val="Normal"/>
    <w:next w:val="BodyText"/>
    <w:link w:val="Heading1Char"/>
    <w:uiPriority w:val="9"/>
    <w:qFormat/>
    <w:rsid w:val="00A10FD9"/>
    <w:pPr>
      <w:keepNext/>
      <w:keepLines/>
      <w:spacing w:after="120" w:before="280"/>
      <w:outlineLvl w:val="0"/>
    </w:pPr>
    <w:rPr>
      <w:rFonts w:ascii="Liberation Sans" w:asciiTheme="majorHAnsi" w:cstheme="majorBidi" w:eastAsiaTheme="majorEastAsia" w:hAnsi="Liberation Sans" w:hAnsiTheme="majorHAnsi"/>
      <w:color w:val="243E5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00"/>
      <w:outlineLvl w:val="1"/>
    </w:pPr>
    <w:rPr>
      <w:rFonts w:ascii="Liberation Sans" w:asciiTheme="majorHAnsi" w:cstheme="majorBidi" w:eastAsiaTheme="majorEastAsia" w:hAnsi="Liberation Sans" w:hAnsiTheme="majorHAnsi"/>
      <w:color w:val="243E5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ascii="Liberation Sans" w:cstheme="majorBidi" w:eastAsiaTheme="majorEastAsia" w:hAnsi="Liberation Sans"/>
      <w:color w:val="243E50"/>
      <w:sz w:val="22"/>
      <w:szCs w:val="28"/>
    </w:rPr>
  </w:style>
  <w:style w:styleId="Heading4" w:type="paragraph">
    <w:name w:val="heading 4"/>
    <w:basedOn w:val="Normal"/>
    <w:next w:val="BodyText"/>
    <w:link w:val="Heading4Char"/>
    <w:uiPriority w:val="9"/>
    <w:semiHidden/>
    <w:unhideWhenUsed/>
    <w:qFormat/>
    <w:rsid w:val="00A10FD9"/>
    <w:pPr>
      <w:keepNext/>
      <w:keepLines/>
      <w:spacing w:after="120" w:before="200"/>
      <w:outlineLvl w:val="3"/>
    </w:pPr>
    <w:rPr>
      <w:rFonts w:ascii="Liberation Sans" w:cstheme="majorBidi" w:eastAsiaTheme="majorEastAsia" w:hAnsi="Liberation Sans"/>
      <w:i/>
      <w:iCs/>
      <w:color w:val="243E50"/>
      <w:sz w:val="22"/>
    </w:rPr>
  </w:style>
  <w:style w:styleId="Heading5" w:type="paragraph">
    <w:name w:val="heading 5"/>
    <w:basedOn w:val="Normal"/>
    <w:next w:val="BodyText"/>
    <w:link w:val="Heading5Char"/>
    <w:uiPriority w:val="9"/>
    <w:semiHidden/>
    <w:unhideWhenUsed/>
    <w:qFormat/>
    <w:rsid w:val="00A10FD9"/>
    <w:pPr>
      <w:keepNext/>
      <w:keepLines/>
      <w:spacing w:after="120" w:before="200"/>
      <w:outlineLvl w:val="4"/>
    </w:pPr>
    <w:rPr>
      <w:rFonts w:ascii="Liberation Sans" w:cstheme="majorBidi" w:eastAsiaTheme="majorEastAsia" w:hAnsi="Liberation Sans"/>
      <w:color w:val="243E50"/>
      <w:sz w:val="22"/>
    </w:rPr>
  </w:style>
  <w:style w:styleId="Heading6" w:type="paragraph">
    <w:name w:val="heading 6"/>
    <w:basedOn w:val="Normal"/>
    <w:next w:val="BodyText"/>
    <w:link w:val="Heading6Char"/>
    <w:uiPriority w:val="9"/>
    <w:semiHidden/>
    <w:unhideWhenUsed/>
    <w:qFormat/>
    <w:rsid w:val="00A10FD9"/>
    <w:pPr>
      <w:keepNext/>
      <w:keepLines/>
      <w:spacing w:after="120" w:before="200"/>
      <w:outlineLvl w:val="5"/>
    </w:pPr>
    <w:rPr>
      <w:rFonts w:ascii="Liberation Sans" w:cstheme="majorBidi" w:eastAsiaTheme="majorEastAsia" w:hAnsi="Liberation Sans"/>
      <w:i/>
      <w:iCs/>
      <w:color w:val="243E50"/>
      <w:sz w:val="22"/>
    </w:rPr>
  </w:style>
  <w:style w:styleId="Heading7" w:type="paragraph">
    <w:name w:val="heading 7"/>
    <w:basedOn w:val="Normal"/>
    <w:next w:val="BodyText"/>
    <w:link w:val="Heading7Char"/>
    <w:uiPriority w:val="9"/>
    <w:semiHidden/>
    <w:unhideWhenUsed/>
    <w:qFormat/>
    <w:rsid w:val="00A10FD9"/>
    <w:pPr>
      <w:keepNext/>
      <w:keepLines/>
      <w:spacing w:after="120" w:before="200"/>
      <w:outlineLvl w:val="6"/>
    </w:pPr>
    <w:rPr>
      <w:rFonts w:ascii="Liberation Sans" w:cstheme="majorBidi" w:eastAsiaTheme="majorEastAsia" w:hAnsi="Liberation Sans"/>
      <w:color w:val="243E50"/>
      <w:sz w:val="22"/>
    </w:rPr>
  </w:style>
  <w:style w:styleId="Heading8" w:type="paragraph">
    <w:name w:val="heading 8"/>
    <w:basedOn w:val="Normal"/>
    <w:next w:val="BodyText"/>
    <w:link w:val="Heading8Char"/>
    <w:uiPriority w:val="9"/>
    <w:semiHidden/>
    <w:unhideWhenUsed/>
    <w:qFormat/>
    <w:rsid w:val="00A10FD9"/>
    <w:pPr>
      <w:keepNext/>
      <w:keepLines/>
      <w:spacing w:after="120" w:before="200"/>
      <w:outlineLvl w:val="7"/>
    </w:pPr>
    <w:rPr>
      <w:rFonts w:ascii="Liberation Sans" w:cstheme="majorBidi" w:eastAsiaTheme="majorEastAsia" w:hAnsi="Liberation Sans"/>
      <w:i/>
      <w:iCs/>
      <w:color w:val="243E50"/>
      <w:sz w:val="22"/>
    </w:rPr>
  </w:style>
  <w:style w:styleId="Heading9" w:type="paragraph">
    <w:name w:val="heading 9"/>
    <w:basedOn w:val="Normal"/>
    <w:next w:val="BodyText"/>
    <w:link w:val="Heading9Char"/>
    <w:uiPriority w:val="9"/>
    <w:semiHidden/>
    <w:unhideWhenUsed/>
    <w:qFormat/>
    <w:rsid w:val="00A10FD9"/>
    <w:pPr>
      <w:keepNext/>
      <w:keepLines/>
      <w:spacing w:after="120" w:before="200"/>
      <w:outlineLvl w:val="8"/>
    </w:pPr>
    <w:rPr>
      <w:rFonts w:ascii="Liberation Sans" w:cstheme="majorBidi" w:eastAsiaTheme="majorEastAsia" w:hAnsi="Liberation Sans"/>
      <w:color w:val="243E5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20" w:before="100" w:line="269" w:lineRule="auto"/>
      <w:ind w:firstLine="0" w:left="480" w:right="480"/>
    </w:pPr>
    <w:rPr>
      <w:rFonts w:ascii="Liberation Serif" w:hAnsi="Liberation Serif"/>
      <w:color w:val="000000"/>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Liberation Serif" w:hAnsi="Liberation Serif"/>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keepLines/>
      <w:spacing w:after="120" w:before="0"/>
    </w:pPr>
    <w:rPr>
      <w:rFonts w:ascii="Liberation Serif" w:hAnsi="Liberation Serif"/>
      <w:i/>
      <w:sz w:val="19"/>
    </w:rPr>
  </w:style>
  <w:style w:customStyle="1" w:styleId="TableCaption" w:type="paragraph">
    <w:name w:val="Table Caption"/>
    <w:basedOn w:val="Caption"/>
    <w:pPr>
      <w:keepNext/>
      <w:keepLines/>
      <w:spacing w:after="120"/>
    </w:pPr>
    <w:rPr>
      <w:rFonts w:ascii="Liberation Serif" w:hAnsi="Liberation Serif"/>
      <w:sz w:val="19"/>
    </w:rPr>
  </w:style>
  <w:style w:customStyle="1" w:styleId="ImageCaption" w:type="paragraph">
    <w:name w:val="Image Caption"/>
    <w:basedOn w:val="Caption"/>
    <w:pPr>
      <w:keepNext w:val="0"/>
      <w:keepLines/>
      <w:spacing w:after="120"/>
    </w:pPr>
    <w:rPr>
      <w:rFonts w:ascii="Liberation Serif" w:hAnsi="Liberation Serif"/>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pageBreakBefore/>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78" Target="media/rId78.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222" Target="media/rId222.png" /><Relationship Type="http://schemas.openxmlformats.org/officeDocument/2006/relationships/image" Id="rId199" Target="media/rId199.png" /><Relationship Type="http://schemas.openxmlformats.org/officeDocument/2006/relationships/image" Id="rId211" Target="media/rId211.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49" Target="media/rId49.png" /><Relationship Type="http://schemas.openxmlformats.org/officeDocument/2006/relationships/image" Id="rId151" Target="media/rId151.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15" Target="media/rId115.png" /><Relationship Type="http://schemas.openxmlformats.org/officeDocument/2006/relationships/image" Id="rId107" Target="media/rId107.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244" Target="media/rId24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235" Target="media/rId235.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71" Target="media/rId171.png" /><Relationship Type="http://schemas.openxmlformats.org/officeDocument/2006/relationships/image" Id="rId183" Target="media/rId183.png" /><Relationship Type="http://schemas.openxmlformats.org/officeDocument/2006/relationships/image" Id="rId159" Target="media/rId159.png" /><Relationship Type="http://schemas.openxmlformats.org/officeDocument/2006/relationships/image" Id="rId143" Target="media/rId143.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61" Target="media/rId61.png" /><Relationship Type="http://schemas.openxmlformats.org/officeDocument/2006/relationships/hyperlink" Id="rId259" Target="http://azzalini.stat.unipd.it/SN/" TargetMode="External" /><Relationship Type="http://schemas.openxmlformats.org/officeDocument/2006/relationships/hyperlink" Id="rId258" Target="https://CRAN.R-project.org/doc/Rnews/" TargetMode="External" /><Relationship Type="http://schemas.openxmlformats.org/officeDocument/2006/relationships/hyperlink" Id="rId256" Target="https://CRAN.R-project.org/package=data.table" TargetMode="External" /><Relationship Type="http://schemas.openxmlformats.org/officeDocument/2006/relationships/hyperlink" Id="rId254" Target="https://CRAN.R-project.org/package=ncdf4" TargetMode="External" /><Relationship Type="http://schemas.openxmlformats.org/officeDocument/2006/relationships/hyperlink" Id="rId262" Target="https://CRAN.R-project.org/package=numDeriv" TargetMode="External" /><Relationship Type="http://schemas.openxmlformats.org/officeDocument/2006/relationships/hyperlink" Id="rId252" Target="https://arxiv.org/abs/0911.2342" TargetMode="External" /><Relationship Type="http://schemas.openxmlformats.org/officeDocument/2006/relationships/hyperlink" Id="rId260" Target="https://cran.r-project.org/package=sn" TargetMode="External" /><Relationship Type="http://schemas.openxmlformats.org/officeDocument/2006/relationships/hyperlink" Id="rId255" Target="https://doi.org/10.32614/CRAN.package.data.table" TargetMode="External" /><Relationship Type="http://schemas.openxmlformats.org/officeDocument/2006/relationships/hyperlink" Id="rId253" Target="https://doi.org/10.32614/CRAN.package.ncdf4" TargetMode="External" /><Relationship Type="http://schemas.openxmlformats.org/officeDocument/2006/relationships/hyperlink" Id="rId261" Target="https://doi.org/10.32614/CRAN.package.numDeriv" TargetMode="External" /><Relationship Type="http://schemas.openxmlformats.org/officeDocument/2006/relationships/hyperlink" Id="rId257" Target="https://ggplot2.tidyverse.org" TargetMode="External" /><Relationship Type="http://schemas.openxmlformats.org/officeDocument/2006/relationships/hyperlink" Id="rId263"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59" Target="http://azzalini.stat.unipd.it/SN/" TargetMode="External" /><Relationship Type="http://schemas.openxmlformats.org/officeDocument/2006/relationships/hyperlink" Id="rId258" Target="https://CRAN.R-project.org/doc/Rnews/" TargetMode="External" /><Relationship Type="http://schemas.openxmlformats.org/officeDocument/2006/relationships/hyperlink" Id="rId256" Target="https://CRAN.R-project.org/package=data.table" TargetMode="External" /><Relationship Type="http://schemas.openxmlformats.org/officeDocument/2006/relationships/hyperlink" Id="rId254" Target="https://CRAN.R-project.org/package=ncdf4" TargetMode="External" /><Relationship Type="http://schemas.openxmlformats.org/officeDocument/2006/relationships/hyperlink" Id="rId262" Target="https://CRAN.R-project.org/package=numDeriv" TargetMode="External" /><Relationship Type="http://schemas.openxmlformats.org/officeDocument/2006/relationships/hyperlink" Id="rId252" Target="https://arxiv.org/abs/0911.2342" TargetMode="External" /><Relationship Type="http://schemas.openxmlformats.org/officeDocument/2006/relationships/hyperlink" Id="rId260" Target="https://cran.r-project.org/package=sn" TargetMode="External" /><Relationship Type="http://schemas.openxmlformats.org/officeDocument/2006/relationships/hyperlink" Id="rId255" Target="https://doi.org/10.32614/CRAN.package.data.table" TargetMode="External" /><Relationship Type="http://schemas.openxmlformats.org/officeDocument/2006/relationships/hyperlink" Id="rId253" Target="https://doi.org/10.32614/CRAN.package.ncdf4" TargetMode="External" /><Relationship Type="http://schemas.openxmlformats.org/officeDocument/2006/relationships/hyperlink" Id="rId261" Target="https://doi.org/10.32614/CRAN.package.numDeriv" TargetMode="External" /><Relationship Type="http://schemas.openxmlformats.org/officeDocument/2006/relationships/hyperlink" Id="rId257" Target="https://ggplot2.tidyverse.org" TargetMode="External" /><Relationship Type="http://schemas.openxmlformats.org/officeDocument/2006/relationships/hyperlink" Id="rId263"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Valores Extremos do Fluxo de Raios X Solar observado pelo GOES-16</dc:title>
  <dc:creator/>
  <dc:language>pt-BR</dc:language>
  <cp:keywords/>
  <dcterms:created xsi:type="dcterms:W3CDTF">2026-10-23T17:36:34Z</dcterms:created>
  <dcterms:modified xsi:type="dcterms:W3CDTF">2026-10-23T17:36:34Z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2026-10-23</vt:lpwstr>
  </property>
  <property fmtid="{D5CDD505-2E9C-101B-9397-08002B2CF9AE}" pid="4" name="execute">
    <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Máximos mensais, comparação GEV × Skew-t e limites da extrapolação</vt:lpwstr>
  </property>
  <property fmtid="{D5CDD505-2E9C-101B-9397-08002B2CF9AE}" pid="11" name="tbl-cap-location">
    <vt:lpwstr>top</vt:lpwstr>
  </property>
  <property fmtid="{D5CDD505-2E9C-101B-9397-08002B2CF9AE}" pid="12" name="toc-title">
    <vt:lpwstr>Índice</vt:lpwstr>
  </property>
</Properties>
</file>