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28" w:rsidRDefault="00564E5F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Grupo</w:t>
      </w:r>
      <w:proofErr w:type="spellEnd"/>
      <w:r>
        <w:rPr>
          <w:sz w:val="28"/>
          <w:szCs w:val="28"/>
        </w:rPr>
        <w:t>:</w:t>
      </w:r>
    </w:p>
    <w:p w:rsidR="000D6F28" w:rsidRDefault="00564E5F">
      <w:pPr>
        <w:numPr>
          <w:ilvl w:val="0"/>
          <w:numId w:val="1"/>
        </w:numPr>
        <w:contextualSpacing/>
      </w:pPr>
      <w:r>
        <w:t>Pedro Paulo da Silva - 1421422</w:t>
      </w:r>
    </w:p>
    <w:p w:rsidR="000D6F28" w:rsidRDefault="00564E5F">
      <w:pPr>
        <w:numPr>
          <w:ilvl w:val="0"/>
          <w:numId w:val="1"/>
        </w:numPr>
        <w:contextualSpacing/>
      </w:pPr>
      <w:r>
        <w:t>Stephanie Fay - 1721631</w:t>
      </w:r>
    </w:p>
    <w:p w:rsidR="000D6F28" w:rsidRDefault="00564E5F">
      <w:pPr>
        <w:numPr>
          <w:ilvl w:val="0"/>
          <w:numId w:val="1"/>
        </w:numPr>
        <w:contextualSpacing/>
      </w:pPr>
      <w:r>
        <w:t xml:space="preserve">Thiago </w:t>
      </w:r>
      <w:proofErr w:type="spellStart"/>
      <w:r>
        <w:t>Lages</w:t>
      </w:r>
      <w:proofErr w:type="spellEnd"/>
      <w:r>
        <w:t xml:space="preserve"> de </w:t>
      </w:r>
      <w:proofErr w:type="spellStart"/>
      <w:r>
        <w:t>Alencar</w:t>
      </w:r>
      <w:proofErr w:type="spellEnd"/>
      <w:r>
        <w:t xml:space="preserve"> - 1721629</w:t>
      </w:r>
    </w:p>
    <w:p w:rsidR="000D6F28" w:rsidRDefault="00564E5F">
      <w:r>
        <w:pict>
          <v:rect id="_x0000_i1025" style="width:0;height:1.5pt" o:hralign="center" o:hrstd="t" o:hr="t" fillcolor="#a0a0a0" stroked="f"/>
        </w:pict>
      </w:r>
    </w:p>
    <w:p w:rsidR="00564E5F" w:rsidRDefault="00564E5F"/>
    <w:p w:rsidR="00564E5F" w:rsidRPr="00564E5F" w:rsidRDefault="00564E5F">
      <w:pPr>
        <w:rPr>
          <w:color w:val="FF0000"/>
          <w:lang w:val="pt-BR"/>
        </w:rPr>
      </w:pPr>
      <w:bookmarkStart w:id="0" w:name="_GoBack"/>
      <w:r w:rsidRPr="00564E5F">
        <w:rPr>
          <w:color w:val="FF0000"/>
          <w:lang w:val="pt-BR"/>
        </w:rPr>
        <w:t xml:space="preserve">O mesmo </w:t>
      </w:r>
      <w:proofErr w:type="gramStart"/>
      <w:r w:rsidRPr="00564E5F">
        <w:rPr>
          <w:color w:val="FF0000"/>
          <w:lang w:val="pt-BR"/>
        </w:rPr>
        <w:t>mal entendido</w:t>
      </w:r>
      <w:proofErr w:type="gramEnd"/>
      <w:r w:rsidRPr="00564E5F">
        <w:rPr>
          <w:color w:val="FF0000"/>
          <w:lang w:val="pt-BR"/>
        </w:rPr>
        <w:t xml:space="preserve"> de </w:t>
      </w:r>
      <w:proofErr w:type="spellStart"/>
      <w:r w:rsidRPr="00564E5F">
        <w:rPr>
          <w:color w:val="FF0000"/>
          <w:lang w:val="pt-BR"/>
        </w:rPr>
        <w:t>inMemory</w:t>
      </w:r>
      <w:proofErr w:type="spellEnd"/>
      <w:r w:rsidRPr="00564E5F">
        <w:rPr>
          <w:color w:val="FF0000"/>
          <w:lang w:val="pt-BR"/>
        </w:rPr>
        <w:t>, o mesmo esquecimento de exceção</w:t>
      </w:r>
    </w:p>
    <w:bookmarkEnd w:id="0"/>
    <w:p w:rsidR="00564E5F" w:rsidRPr="00564E5F" w:rsidRDefault="00564E5F">
      <w:pPr>
        <w:rPr>
          <w:lang w:val="pt-BR"/>
        </w:rPr>
      </w:pPr>
    </w:p>
    <w:p w:rsidR="000D6F28" w:rsidRDefault="00564E5F">
      <w:r>
        <w:rPr>
          <w:noProof/>
          <w:lang w:val="pt-BR"/>
        </w:rPr>
        <w:drawing>
          <wp:inline distT="114300" distB="114300" distL="114300" distR="114300">
            <wp:extent cx="5943600" cy="57912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D6F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9759A"/>
    <w:multiLevelType w:val="multilevel"/>
    <w:tmpl w:val="D34A7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D6F28"/>
    <w:rsid w:val="000D6F28"/>
    <w:rsid w:val="0056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0F6F-14E7-47B7-B8D3-D0B987A8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Arndt</cp:lastModifiedBy>
  <cp:revision>2</cp:revision>
  <dcterms:created xsi:type="dcterms:W3CDTF">2018-06-02T18:53:00Z</dcterms:created>
  <dcterms:modified xsi:type="dcterms:W3CDTF">2018-06-02T19:06:00Z</dcterms:modified>
</cp:coreProperties>
</file>