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07D73"/>
          <w:sz w:val="16"/>
        </w:rPr>
        <w:t>CX · PROGRAMA ALETHEIA · BASE GRVIN · AGOSTO/2026</w:t>
      </w:r>
    </w:p>
    <w:p>
      <w:r>
        <w:rPr>
          <w:b/>
          <w:sz w:val="36"/>
        </w:rPr>
        <w:t>Funil de ligações de agosto: venda, não venda e problemas</w:t>
      </w:r>
    </w:p>
    <w:p>
      <w:r>
        <w:rPr>
          <w:sz w:val="22"/>
        </w:rPr>
        <w:t>Das 9.636 ligações de agosto, 30% não tiveram conversa. Nas 6.769 em que houve conversa, metade trouxe algum problema do cliente, tanto nas de venda quanto nas de não venda. "Não era venda" e "ter problema" são coisas diferentes: 1.727 ligações não eram venda e não tinham problema nenhum.</w:t>
      </w:r>
    </w:p>
    <w:p>
      <w:pPr>
        <w:spacing w:before="320"/>
        <w:pBdr>
          <w:bottom w:val="single" w:sz="4" w:space="1" w:color="D8D5CB"/>
        </w:pBdr>
      </w:pPr>
      <w:r>
        <w:rPr>
          <w:b/>
          <w:color w:val="807D73"/>
          <w:sz w:val="20"/>
        </w:rPr>
        <w:t>1.  O FUNIL</w:t>
      </w:r>
    </w:p>
    <w:p>
      <w:r>
        <w:rPr>
          <w:color w:val="807D73"/>
          <w:sz w:val="18"/>
        </w:rPr>
        <w:t>Cada nível detalha o de cima. "% do nível pai" é o percentual sobre o segmento imediatamente acima.</w:t>
      </w:r>
    </w:p>
    <w:tbl>
      <w:tblPr>
        <w:tblStyle w:val="LightList"/>
        <w:tblW w:type="auto" w:w="0"/>
        <w:jc w:val="center"/>
        <w:tblLook w:firstColumn="1" w:firstRow="1" w:lastColumn="0" w:lastRow="0" w:noHBand="0" w:noVBand="1" w:val="04A0"/>
      </w:tblPr>
      <w:tblGrid>
        <w:gridCol w:w="1624"/>
        <w:gridCol w:w="1624"/>
        <w:gridCol w:w="1624"/>
        <w:gridCol w:w="1624"/>
        <w:gridCol w:w="1624"/>
        <w:gridCol w:w="1624"/>
      </w:tblGrid>
      <w:tr>
        <w:tc>
          <w:tcPr>
            <w:tcW w:type="dxa" w:w="1587"/>
          </w:tcPr>
          <w:p>
            <w:r/>
            <w:r>
              <w:rPr>
                <w:b/>
                <w:color w:val="807D73"/>
                <w:sz w:val="16"/>
              </w:rPr>
              <w:t>NÍVEL</w:t>
            </w:r>
          </w:p>
        </w:tc>
        <w:tc>
          <w:tcPr>
            <w:tcW w:type="dxa" w:w="2268"/>
          </w:tcPr>
          <w:p>
            <w:r/>
            <w:r>
              <w:rPr>
                <w:b/>
                <w:color w:val="807D73"/>
                <w:sz w:val="16"/>
              </w:rPr>
              <w:t>SEGMENTO</w:t>
            </w:r>
          </w:p>
        </w:tc>
        <w:tc>
          <w:tcPr>
            <w:tcW w:type="dxa" w:w="1020"/>
          </w:tcPr>
          <w:p>
            <w:pPr>
              <w:jc w:val="right"/>
            </w:pPr>
            <w:r/>
            <w:r>
              <w:rPr>
                <w:b/>
                <w:color w:val="807D73"/>
                <w:sz w:val="16"/>
              </w:rPr>
              <w:t>LIGAÇÕES</w:t>
            </w:r>
          </w:p>
        </w:tc>
        <w:tc>
          <w:tcPr>
            <w:tcW w:type="dxa" w:w="1020"/>
          </w:tcPr>
          <w:p>
            <w:pPr>
              <w:jc w:val="right"/>
            </w:pPr>
            <w:r/>
            <w:r>
              <w:rPr>
                <w:b/>
                <w:color w:val="807D73"/>
                <w:sz w:val="16"/>
              </w:rPr>
              <w:t>% DA BASE</w:t>
            </w:r>
          </w:p>
        </w:tc>
        <w:tc>
          <w:tcPr>
            <w:tcW w:type="dxa" w:w="1134"/>
          </w:tcPr>
          <w:p>
            <w:pPr>
              <w:jc w:val="right"/>
            </w:pPr>
            <w:r/>
            <w:r>
              <w:rPr>
                <w:b/>
                <w:color w:val="807D73"/>
                <w:sz w:val="16"/>
              </w:rPr>
              <w:t>% DO NÍVEL PAI</w:t>
            </w:r>
          </w:p>
        </w:tc>
        <w:tc>
          <w:tcPr>
            <w:tcW w:type="dxa" w:w="2494"/>
          </w:tcPr>
          <w:p>
            <w:r/>
            <w:r>
              <w:rPr>
                <w:b/>
                <w:color w:val="807D73"/>
                <w:sz w:val="16"/>
              </w:rPr>
              <w:t>OBSERVAÇÃO</w:t>
            </w:r>
          </w:p>
        </w:tc>
      </w:tr>
      <w:tr>
        <w:tc>
          <w:tcPr>
            <w:tcW w:type="dxa" w:w="1587"/>
          </w:tcPr>
          <w:p>
            <w:r/>
            <w:r>
              <w:rPr>
                <w:sz w:val="19"/>
              </w:rPr>
              <w:t>Todas</w:t>
            </w:r>
          </w:p>
        </w:tc>
        <w:tc>
          <w:tcPr>
            <w:tcW w:type="dxa" w:w="2268"/>
          </w:tcPr>
          <w:p>
            <w:r/>
            <w:r>
              <w:rPr>
                <w:sz w:val="19"/>
              </w:rPr>
              <w:t>Todas as ligações</w:t>
            </w:r>
          </w:p>
        </w:tc>
        <w:tc>
          <w:tcPr>
            <w:tcW w:type="dxa" w:w="1020"/>
          </w:tcPr>
          <w:p>
            <w:pPr>
              <w:jc w:val="right"/>
            </w:pPr>
            <w:r/>
            <w:r>
              <w:rPr>
                <w:sz w:val="19"/>
              </w:rPr>
              <w:t>9.636</w:t>
            </w:r>
          </w:p>
        </w:tc>
        <w:tc>
          <w:tcPr>
            <w:tcW w:type="dxa" w:w="1020"/>
          </w:tcPr>
          <w:p>
            <w:pPr>
              <w:jc w:val="right"/>
            </w:pPr>
            <w:r/>
            <w:r>
              <w:rPr>
                <w:sz w:val="19"/>
              </w:rPr>
              <w:t>100,0%</w:t>
            </w:r>
          </w:p>
        </w:tc>
        <w:tc>
          <w:tcPr>
            <w:tcW w:type="dxa" w:w="1134"/>
          </w:tcPr>
          <w:p>
            <w:pPr>
              <w:jc w:val="right"/>
            </w:pPr>
            <w:r/>
            <w:r>
              <w:rPr>
                <w:sz w:val="19"/>
              </w:rPr>
              <w:t>100,0%</w:t>
            </w:r>
          </w:p>
        </w:tc>
        <w:tc>
          <w:tcPr>
            <w:tcW w:type="dxa" w:w="2494"/>
          </w:tcPr>
          <w:p>
            <w:r/>
            <w:r>
              <w:rPr>
                <w:sz w:val="19"/>
              </w:rPr>
            </w:r>
          </w:p>
        </w:tc>
      </w:tr>
      <w:tr>
        <w:tc>
          <w:tcPr>
            <w:tcW w:type="dxa" w:w="1587"/>
          </w:tcPr>
          <w:p>
            <w:r/>
            <w:r>
              <w:rPr>
                <w:sz w:val="19"/>
              </w:rPr>
              <w:t>Houve conversa?</w:t>
            </w:r>
          </w:p>
        </w:tc>
        <w:tc>
          <w:tcPr>
            <w:tcW w:type="dxa" w:w="2268"/>
          </w:tcPr>
          <w:p>
            <w:r/>
            <w:r>
              <w:rPr>
                <w:sz w:val="19"/>
              </w:rPr>
              <w:t>Sem conversa</w:t>
            </w:r>
          </w:p>
        </w:tc>
        <w:tc>
          <w:tcPr>
            <w:tcW w:type="dxa" w:w="1020"/>
          </w:tcPr>
          <w:p>
            <w:pPr>
              <w:jc w:val="right"/>
            </w:pPr>
            <w:r/>
            <w:r>
              <w:rPr>
                <w:sz w:val="19"/>
              </w:rPr>
              <w:t>2.867</w:t>
            </w:r>
          </w:p>
        </w:tc>
        <w:tc>
          <w:tcPr>
            <w:tcW w:type="dxa" w:w="1020"/>
          </w:tcPr>
          <w:p>
            <w:pPr>
              <w:jc w:val="right"/>
            </w:pPr>
            <w:r/>
            <w:r>
              <w:rPr>
                <w:sz w:val="19"/>
              </w:rPr>
              <w:t>29,8%</w:t>
            </w:r>
          </w:p>
        </w:tc>
        <w:tc>
          <w:tcPr>
            <w:tcW w:type="dxa" w:w="1134"/>
          </w:tcPr>
          <w:p>
            <w:pPr>
              <w:jc w:val="right"/>
            </w:pPr>
            <w:r/>
            <w:r>
              <w:rPr>
                <w:sz w:val="19"/>
              </w:rPr>
              <w:t>29,8%</w:t>
            </w:r>
          </w:p>
        </w:tc>
        <w:tc>
          <w:tcPr>
            <w:tcW w:type="dxa" w:w="2494"/>
          </w:tcPr>
          <w:p>
            <w:r/>
            <w:r>
              <w:rPr>
                <w:sz w:val="19"/>
              </w:rPr>
              <w:t>2.775 auto-classificadas por tamanho &lt; 600 caracteres; ~630 parecem conversas curtas reais</w:t>
            </w:r>
          </w:p>
        </w:tc>
      </w:tr>
      <w:tr>
        <w:tc>
          <w:tcPr>
            <w:tcW w:type="dxa" w:w="1587"/>
          </w:tcPr>
          <w:p>
            <w:r/>
            <w:r>
              <w:rPr>
                <w:sz w:val="19"/>
              </w:rPr>
              <w:t>Houve conversa?</w:t>
            </w:r>
          </w:p>
        </w:tc>
        <w:tc>
          <w:tcPr>
            <w:tcW w:type="dxa" w:w="2268"/>
          </w:tcPr>
          <w:p>
            <w:r/>
            <w:r>
              <w:rPr>
                <w:sz w:val="19"/>
              </w:rPr>
              <w:t>Com conversa</w:t>
            </w:r>
          </w:p>
        </w:tc>
        <w:tc>
          <w:tcPr>
            <w:tcW w:type="dxa" w:w="1020"/>
          </w:tcPr>
          <w:p>
            <w:pPr>
              <w:jc w:val="right"/>
            </w:pPr>
            <w:r/>
            <w:r>
              <w:rPr>
                <w:sz w:val="19"/>
              </w:rPr>
              <w:t>6.769</w:t>
            </w:r>
          </w:p>
        </w:tc>
        <w:tc>
          <w:tcPr>
            <w:tcW w:type="dxa" w:w="1020"/>
          </w:tcPr>
          <w:p>
            <w:pPr>
              <w:jc w:val="right"/>
            </w:pPr>
            <w:r/>
            <w:r>
              <w:rPr>
                <w:sz w:val="19"/>
              </w:rPr>
              <w:t>70,2%</w:t>
            </w:r>
          </w:p>
        </w:tc>
        <w:tc>
          <w:tcPr>
            <w:tcW w:type="dxa" w:w="1134"/>
          </w:tcPr>
          <w:p>
            <w:pPr>
              <w:jc w:val="right"/>
            </w:pPr>
            <w:r/>
            <w:r>
              <w:rPr>
                <w:sz w:val="19"/>
              </w:rPr>
              <w:t>70,2%</w:t>
            </w:r>
          </w:p>
        </w:tc>
        <w:tc>
          <w:tcPr>
            <w:tcW w:type="dxa" w:w="2494"/>
          </w:tcPr>
          <w:p>
            <w:r/>
            <w:r>
              <w:rPr>
                <w:sz w:val="19"/>
              </w:rPr>
              <w:t>Denominador dos indicadores</w:t>
            </w:r>
          </w:p>
        </w:tc>
      </w:tr>
      <w:tr>
        <w:tc>
          <w:tcPr>
            <w:tcW w:type="dxa" w:w="1587"/>
          </w:tcPr>
          <w:p>
            <w:r/>
            <w:r>
              <w:rPr>
                <w:sz w:val="19"/>
              </w:rPr>
              <w:t>Era venda?</w:t>
            </w:r>
          </w:p>
        </w:tc>
        <w:tc>
          <w:tcPr>
            <w:tcW w:type="dxa" w:w="2268"/>
          </w:tcPr>
          <w:p>
            <w:r/>
            <w:r>
              <w:rPr>
                <w:sz w:val="19"/>
              </w:rPr>
              <w:t>Não era venda</w:t>
            </w:r>
          </w:p>
        </w:tc>
        <w:tc>
          <w:tcPr>
            <w:tcW w:type="dxa" w:w="1020"/>
          </w:tcPr>
          <w:p>
            <w:pPr>
              <w:jc w:val="right"/>
            </w:pPr>
            <w:r/>
            <w:r>
              <w:rPr>
                <w:sz w:val="19"/>
              </w:rPr>
              <w:t>3.767</w:t>
            </w:r>
          </w:p>
        </w:tc>
        <w:tc>
          <w:tcPr>
            <w:tcW w:type="dxa" w:w="1020"/>
          </w:tcPr>
          <w:p>
            <w:pPr>
              <w:jc w:val="right"/>
            </w:pPr>
            <w:r/>
            <w:r>
              <w:rPr>
                <w:sz w:val="19"/>
              </w:rPr>
              <w:t>39,1%</w:t>
            </w:r>
          </w:p>
        </w:tc>
        <w:tc>
          <w:tcPr>
            <w:tcW w:type="dxa" w:w="1134"/>
          </w:tcPr>
          <w:p>
            <w:pPr>
              <w:jc w:val="right"/>
            </w:pPr>
            <w:r/>
            <w:r>
              <w:rPr>
                <w:sz w:val="19"/>
              </w:rPr>
              <w:t>55,7%</w:t>
            </w:r>
          </w:p>
        </w:tc>
        <w:tc>
          <w:tcPr>
            <w:tcW w:type="dxa" w:w="2494"/>
          </w:tcPr>
          <w:p>
            <w:r/>
            <w:r>
              <w:rPr>
                <w:sz w:val="19"/>
              </w:rPr>
            </w:r>
          </w:p>
        </w:tc>
      </w:tr>
      <w:tr>
        <w:tc>
          <w:tcPr>
            <w:tcW w:type="dxa" w:w="1587"/>
          </w:tcPr>
          <w:p>
            <w:r/>
            <w:r>
              <w:rPr>
                <w:sz w:val="19"/>
              </w:rPr>
              <w:t>Era venda?</w:t>
            </w:r>
          </w:p>
        </w:tc>
        <w:tc>
          <w:tcPr>
            <w:tcW w:type="dxa" w:w="2268"/>
          </w:tcPr>
          <w:p>
            <w:r/>
            <w:r>
              <w:rPr>
                <w:sz w:val="19"/>
              </w:rPr>
              <w:t>Venda</w:t>
            </w:r>
          </w:p>
        </w:tc>
        <w:tc>
          <w:tcPr>
            <w:tcW w:type="dxa" w:w="1020"/>
          </w:tcPr>
          <w:p>
            <w:pPr>
              <w:jc w:val="right"/>
            </w:pPr>
            <w:r/>
            <w:r>
              <w:rPr>
                <w:sz w:val="19"/>
              </w:rPr>
              <w:t>3.002</w:t>
            </w:r>
          </w:p>
        </w:tc>
        <w:tc>
          <w:tcPr>
            <w:tcW w:type="dxa" w:w="1020"/>
          </w:tcPr>
          <w:p>
            <w:pPr>
              <w:jc w:val="right"/>
            </w:pPr>
            <w:r/>
            <w:r>
              <w:rPr>
                <w:sz w:val="19"/>
              </w:rPr>
              <w:t>31,2%</w:t>
            </w:r>
          </w:p>
        </w:tc>
        <w:tc>
          <w:tcPr>
            <w:tcW w:type="dxa" w:w="1134"/>
          </w:tcPr>
          <w:p>
            <w:pPr>
              <w:jc w:val="right"/>
            </w:pPr>
            <w:r/>
            <w:r>
              <w:rPr>
                <w:sz w:val="19"/>
              </w:rPr>
              <w:t>44,3%</w:t>
            </w:r>
          </w:p>
        </w:tc>
        <w:tc>
          <w:tcPr>
            <w:tcW w:type="dxa" w:w="2494"/>
          </w:tcPr>
          <w:p>
            <w:r/>
            <w:r>
              <w:rPr>
                <w:sz w:val="19"/>
              </w:rPr>
              <w:t>379 fecharam</w:t>
            </w:r>
          </w:p>
        </w:tc>
      </w:tr>
      <w:tr>
        <w:tc>
          <w:tcPr>
            <w:tcW w:type="dxa" w:w="1587"/>
          </w:tcPr>
          <w:p>
            <w:r/>
            <w:r>
              <w:rPr>
                <w:sz w:val="19"/>
              </w:rPr>
              <w:t>Teve problema?</w:t>
            </w:r>
          </w:p>
        </w:tc>
        <w:tc>
          <w:tcPr>
            <w:tcW w:type="dxa" w:w="2268"/>
          </w:tcPr>
          <w:p>
            <w:r/>
            <w:r>
              <w:rPr>
                <w:sz w:val="19"/>
              </w:rPr>
              <w:t>Não venda · com problema</w:t>
            </w:r>
          </w:p>
        </w:tc>
        <w:tc>
          <w:tcPr>
            <w:tcW w:type="dxa" w:w="1020"/>
          </w:tcPr>
          <w:p>
            <w:pPr>
              <w:jc w:val="right"/>
            </w:pPr>
            <w:r/>
            <w:r>
              <w:rPr>
                <w:sz w:val="19"/>
              </w:rPr>
              <w:t>2.040</w:t>
            </w:r>
          </w:p>
        </w:tc>
        <w:tc>
          <w:tcPr>
            <w:tcW w:type="dxa" w:w="1020"/>
          </w:tcPr>
          <w:p>
            <w:pPr>
              <w:jc w:val="right"/>
            </w:pPr>
            <w:r/>
            <w:r>
              <w:rPr>
                <w:sz w:val="19"/>
              </w:rPr>
              <w:t>21,2%</w:t>
            </w:r>
          </w:p>
        </w:tc>
        <w:tc>
          <w:tcPr>
            <w:tcW w:type="dxa" w:w="1134"/>
          </w:tcPr>
          <w:p>
            <w:pPr>
              <w:jc w:val="right"/>
            </w:pPr>
            <w:r/>
            <w:r>
              <w:rPr>
                <w:sz w:val="19"/>
              </w:rPr>
              <w:t>54,2%</w:t>
            </w:r>
          </w:p>
        </w:tc>
        <w:tc>
          <w:tcPr>
            <w:tcW w:type="dxa" w:w="2494"/>
          </w:tcPr>
          <w:p>
            <w:r/>
            <w:r>
              <w:rPr>
                <w:sz w:val="19"/>
              </w:rPr>
            </w:r>
          </w:p>
        </w:tc>
      </w:tr>
      <w:tr>
        <w:tc>
          <w:tcPr>
            <w:tcW w:type="dxa" w:w="1587"/>
          </w:tcPr>
          <w:p>
            <w:r/>
            <w:r>
              <w:rPr>
                <w:sz w:val="19"/>
              </w:rPr>
              <w:t>Teve problema?</w:t>
            </w:r>
          </w:p>
        </w:tc>
        <w:tc>
          <w:tcPr>
            <w:tcW w:type="dxa" w:w="2268"/>
          </w:tcPr>
          <w:p>
            <w:r/>
            <w:r>
              <w:rPr>
                <w:sz w:val="19"/>
              </w:rPr>
              <w:t>Não venda · sem problema</w:t>
            </w:r>
          </w:p>
        </w:tc>
        <w:tc>
          <w:tcPr>
            <w:tcW w:type="dxa" w:w="1020"/>
          </w:tcPr>
          <w:p>
            <w:pPr>
              <w:jc w:val="right"/>
            </w:pPr>
            <w:r/>
            <w:r>
              <w:rPr>
                <w:sz w:val="19"/>
              </w:rPr>
              <w:t>1.727</w:t>
            </w:r>
          </w:p>
        </w:tc>
        <w:tc>
          <w:tcPr>
            <w:tcW w:type="dxa" w:w="1020"/>
          </w:tcPr>
          <w:p>
            <w:pPr>
              <w:jc w:val="right"/>
            </w:pPr>
            <w:r/>
            <w:r>
              <w:rPr>
                <w:sz w:val="19"/>
              </w:rPr>
              <w:t>17,9%</w:t>
            </w:r>
          </w:p>
        </w:tc>
        <w:tc>
          <w:tcPr>
            <w:tcW w:type="dxa" w:w="1134"/>
          </w:tcPr>
          <w:p>
            <w:pPr>
              <w:jc w:val="right"/>
            </w:pPr>
            <w:r/>
            <w:r>
              <w:rPr>
                <w:sz w:val="19"/>
              </w:rPr>
              <w:t>45,8%</w:t>
            </w:r>
          </w:p>
        </w:tc>
        <w:tc>
          <w:tcPr>
            <w:tcW w:type="dxa" w:w="2494"/>
          </w:tcPr>
          <w:p>
            <w:r/>
            <w:r>
              <w:rPr>
                <w:sz w:val="19"/>
              </w:rPr>
            </w:r>
          </w:p>
        </w:tc>
      </w:tr>
      <w:tr>
        <w:tc>
          <w:tcPr>
            <w:tcW w:type="dxa" w:w="1587"/>
          </w:tcPr>
          <w:p>
            <w:r/>
            <w:r>
              <w:rPr>
                <w:sz w:val="19"/>
              </w:rPr>
              <w:t>Teve problema?</w:t>
            </w:r>
          </w:p>
        </w:tc>
        <w:tc>
          <w:tcPr>
            <w:tcW w:type="dxa" w:w="2268"/>
          </w:tcPr>
          <w:p>
            <w:r/>
            <w:r>
              <w:rPr>
                <w:sz w:val="19"/>
              </w:rPr>
              <w:t>Venda · com problema</w:t>
            </w:r>
          </w:p>
        </w:tc>
        <w:tc>
          <w:tcPr>
            <w:tcW w:type="dxa" w:w="1020"/>
          </w:tcPr>
          <w:p>
            <w:pPr>
              <w:jc w:val="right"/>
            </w:pPr>
            <w:r/>
            <w:r>
              <w:rPr>
                <w:sz w:val="19"/>
              </w:rPr>
              <w:t>1.387</w:t>
            </w:r>
          </w:p>
        </w:tc>
        <w:tc>
          <w:tcPr>
            <w:tcW w:type="dxa" w:w="1020"/>
          </w:tcPr>
          <w:p>
            <w:pPr>
              <w:jc w:val="right"/>
            </w:pPr>
            <w:r/>
            <w:r>
              <w:rPr>
                <w:sz w:val="19"/>
              </w:rPr>
              <w:t>14,4%</w:t>
            </w:r>
          </w:p>
        </w:tc>
        <w:tc>
          <w:tcPr>
            <w:tcW w:type="dxa" w:w="1134"/>
          </w:tcPr>
          <w:p>
            <w:pPr>
              <w:jc w:val="right"/>
            </w:pPr>
            <w:r/>
            <w:r>
              <w:rPr>
                <w:sz w:val="19"/>
              </w:rPr>
              <w:t>46,2%</w:t>
            </w:r>
          </w:p>
        </w:tc>
        <w:tc>
          <w:tcPr>
            <w:tcW w:type="dxa" w:w="2494"/>
          </w:tcPr>
          <w:p>
            <w:r/>
            <w:r>
              <w:rPr>
                <w:sz w:val="19"/>
              </w:rPr>
              <w:t>fecha 19,9%</w:t>
            </w:r>
          </w:p>
        </w:tc>
      </w:tr>
      <w:tr>
        <w:tc>
          <w:tcPr>
            <w:tcW w:type="dxa" w:w="1587"/>
          </w:tcPr>
          <w:p>
            <w:r/>
            <w:r>
              <w:rPr>
                <w:sz w:val="19"/>
              </w:rPr>
              <w:t>Teve problema?</w:t>
            </w:r>
          </w:p>
        </w:tc>
        <w:tc>
          <w:tcPr>
            <w:tcW w:type="dxa" w:w="2268"/>
          </w:tcPr>
          <w:p>
            <w:r/>
            <w:r>
              <w:rPr>
                <w:sz w:val="19"/>
              </w:rPr>
              <w:t>Venda · sem problema</w:t>
            </w:r>
          </w:p>
        </w:tc>
        <w:tc>
          <w:tcPr>
            <w:tcW w:type="dxa" w:w="1020"/>
          </w:tcPr>
          <w:p>
            <w:pPr>
              <w:jc w:val="right"/>
            </w:pPr>
            <w:r/>
            <w:r>
              <w:rPr>
                <w:sz w:val="19"/>
              </w:rPr>
              <w:t>1.615</w:t>
            </w:r>
          </w:p>
        </w:tc>
        <w:tc>
          <w:tcPr>
            <w:tcW w:type="dxa" w:w="1020"/>
          </w:tcPr>
          <w:p>
            <w:pPr>
              <w:jc w:val="right"/>
            </w:pPr>
            <w:r/>
            <w:r>
              <w:rPr>
                <w:sz w:val="19"/>
              </w:rPr>
              <w:t>16,8%</w:t>
            </w:r>
          </w:p>
        </w:tc>
        <w:tc>
          <w:tcPr>
            <w:tcW w:type="dxa" w:w="1134"/>
          </w:tcPr>
          <w:p>
            <w:pPr>
              <w:jc w:val="right"/>
            </w:pPr>
            <w:r/>
            <w:r>
              <w:rPr>
                <w:sz w:val="19"/>
              </w:rPr>
              <w:t>53,8%</w:t>
            </w:r>
          </w:p>
        </w:tc>
        <w:tc>
          <w:tcPr>
            <w:tcW w:type="dxa" w:w="2494"/>
          </w:tcPr>
          <w:p>
            <w:r/>
            <w:r>
              <w:rPr>
                <w:sz w:val="19"/>
              </w:rPr>
              <w:t>fecha 6,4%</w:t>
            </w:r>
          </w:p>
        </w:tc>
      </w:tr>
    </w:tbl>
    <w:p/>
    <w:p>
      <w:pPr>
        <w:spacing w:before="320"/>
        <w:pBdr>
          <w:bottom w:val="single" w:sz="4" w:space="1" w:color="D8D5CB"/>
        </w:pBdr>
      </w:pPr>
      <w:r>
        <w:rPr>
          <w:b/>
          <w:color w:val="807D73"/>
          <w:sz w:val="20"/>
        </w:rPr>
        <w:t>2.  COMO VENDA E PROBLEMA SE CRUZAM</w:t>
      </w:r>
    </w:p>
    <w:p>
      <w:r>
        <w:rPr>
          <w:color w:val="807D73"/>
          <w:sz w:val="18"/>
        </w:rPr>
        <w:t>Só as 6.769 ligações com conversa.</w:t>
      </w:r>
    </w:p>
    <w:tbl>
      <w:tblPr>
        <w:tblStyle w:val="LightList"/>
        <w:tblW w:type="auto" w:w="0"/>
        <w:jc w:val="center"/>
        <w:tblLook w:firstColumn="1" w:firstRow="1" w:lastColumn="0" w:lastRow="0" w:noHBand="0" w:noVBand="1" w:val="04A0"/>
      </w:tblPr>
      <w:tblGrid>
        <w:gridCol w:w="1949"/>
        <w:gridCol w:w="1949"/>
        <w:gridCol w:w="1949"/>
        <w:gridCol w:w="1949"/>
        <w:gridCol w:w="1949"/>
      </w:tblGrid>
      <w:tr>
        <w:tc>
          <w:tcPr>
            <w:tcW w:type="dxa" w:w="2268"/>
          </w:tcPr>
          <w:p>
            <w:r/>
            <w:r>
              <w:rPr>
                <w:b/>
                <w:color w:val="807D73"/>
                <w:sz w:val="16"/>
              </w:rPr>
              <w:t>TIPO DE LIGAÇÃO</w:t>
            </w:r>
          </w:p>
        </w:tc>
        <w:tc>
          <w:tcPr>
            <w:tcW w:type="dxa" w:w="1361"/>
          </w:tcPr>
          <w:p>
            <w:r/>
            <w:r>
              <w:rPr>
                <w:b/>
                <w:color w:val="807D73"/>
                <w:sz w:val="16"/>
              </w:rPr>
              <w:t>PROBLEMA?</w:t>
            </w:r>
          </w:p>
        </w:tc>
        <w:tc>
          <w:tcPr>
            <w:tcW w:type="dxa" w:w="1361"/>
          </w:tcPr>
          <w:p>
            <w:pPr>
              <w:jc w:val="right"/>
            </w:pPr>
            <w:r/>
            <w:r>
              <w:rPr>
                <w:b/>
                <w:color w:val="807D73"/>
                <w:sz w:val="16"/>
              </w:rPr>
              <w:t>LIGAÇÕES</w:t>
            </w:r>
          </w:p>
        </w:tc>
        <w:tc>
          <w:tcPr>
            <w:tcW w:type="dxa" w:w="1928"/>
          </w:tcPr>
          <w:p>
            <w:pPr>
              <w:jc w:val="right"/>
            </w:pPr>
            <w:r/>
            <w:r>
              <w:rPr>
                <w:b/>
                <w:color w:val="807D73"/>
                <w:sz w:val="16"/>
              </w:rPr>
              <w:t>% DAS COM CONVERSA</w:t>
            </w:r>
          </w:p>
        </w:tc>
        <w:tc>
          <w:tcPr>
            <w:tcW w:type="dxa" w:w="1928"/>
          </w:tcPr>
          <w:p>
            <w:pPr>
              <w:jc w:val="right"/>
            </w:pPr>
            <w:r/>
            <w:r>
              <w:rPr>
                <w:b/>
                <w:color w:val="807D73"/>
                <w:sz w:val="16"/>
              </w:rPr>
              <w:t>FECHARAM</w:t>
            </w:r>
          </w:p>
        </w:tc>
      </w:tr>
      <w:tr>
        <w:tc>
          <w:tcPr>
            <w:tcW w:type="dxa" w:w="2268"/>
          </w:tcPr>
          <w:p>
            <w:r/>
            <w:r>
              <w:rPr>
                <w:sz w:val="19"/>
              </w:rPr>
              <w:t>Não era venda</w:t>
            </w:r>
          </w:p>
        </w:tc>
        <w:tc>
          <w:tcPr>
            <w:tcW w:type="dxa" w:w="1361"/>
          </w:tcPr>
          <w:p>
            <w:r/>
            <w:r>
              <w:rPr>
                <w:sz w:val="19"/>
              </w:rPr>
              <w:t>Sim</w:t>
            </w:r>
          </w:p>
        </w:tc>
        <w:tc>
          <w:tcPr>
            <w:tcW w:type="dxa" w:w="1361"/>
          </w:tcPr>
          <w:p>
            <w:pPr>
              <w:jc w:val="right"/>
            </w:pPr>
            <w:r/>
            <w:r>
              <w:rPr>
                <w:sz w:val="19"/>
              </w:rPr>
              <w:t>2.040</w:t>
            </w:r>
          </w:p>
        </w:tc>
        <w:tc>
          <w:tcPr>
            <w:tcW w:type="dxa" w:w="1928"/>
          </w:tcPr>
          <w:p>
            <w:pPr>
              <w:jc w:val="right"/>
            </w:pPr>
            <w:r/>
            <w:r>
              <w:rPr>
                <w:sz w:val="19"/>
              </w:rPr>
              <w:t>30,1%</w:t>
            </w:r>
          </w:p>
        </w:tc>
        <w:tc>
          <w:tcPr>
            <w:tcW w:type="dxa" w:w="1928"/>
          </w:tcPr>
          <w:p>
            <w:pPr>
              <w:jc w:val="right"/>
            </w:pPr>
            <w:r/>
            <w:r>
              <w:rPr>
                <w:sz w:val="19"/>
              </w:rPr>
              <w:t>—</w:t>
            </w:r>
          </w:p>
        </w:tc>
      </w:tr>
      <w:tr>
        <w:tc>
          <w:tcPr>
            <w:tcW w:type="dxa" w:w="2268"/>
          </w:tcPr>
          <w:p>
            <w:r/>
            <w:r>
              <w:rPr>
                <w:sz w:val="19"/>
              </w:rPr>
              <w:t>Não era venda</w:t>
            </w:r>
          </w:p>
        </w:tc>
        <w:tc>
          <w:tcPr>
            <w:tcW w:type="dxa" w:w="1361"/>
          </w:tcPr>
          <w:p>
            <w:r/>
            <w:r>
              <w:rPr>
                <w:sz w:val="19"/>
              </w:rPr>
              <w:t>Não</w:t>
            </w:r>
          </w:p>
        </w:tc>
        <w:tc>
          <w:tcPr>
            <w:tcW w:type="dxa" w:w="1361"/>
          </w:tcPr>
          <w:p>
            <w:pPr>
              <w:jc w:val="right"/>
            </w:pPr>
            <w:r/>
            <w:r>
              <w:rPr>
                <w:sz w:val="19"/>
              </w:rPr>
              <w:t>1.727</w:t>
            </w:r>
          </w:p>
        </w:tc>
        <w:tc>
          <w:tcPr>
            <w:tcW w:type="dxa" w:w="1928"/>
          </w:tcPr>
          <w:p>
            <w:pPr>
              <w:jc w:val="right"/>
            </w:pPr>
            <w:r/>
            <w:r>
              <w:rPr>
                <w:sz w:val="19"/>
              </w:rPr>
              <w:t>25,5%</w:t>
            </w:r>
          </w:p>
        </w:tc>
        <w:tc>
          <w:tcPr>
            <w:tcW w:type="dxa" w:w="1928"/>
          </w:tcPr>
          <w:p>
            <w:pPr>
              <w:jc w:val="right"/>
            </w:pPr>
            <w:r/>
            <w:r>
              <w:rPr>
                <w:sz w:val="19"/>
              </w:rPr>
              <w:t>—</w:t>
            </w:r>
          </w:p>
        </w:tc>
      </w:tr>
      <w:tr>
        <w:tc>
          <w:tcPr>
            <w:tcW w:type="dxa" w:w="2268"/>
          </w:tcPr>
          <w:p>
            <w:r/>
            <w:r>
              <w:rPr>
                <w:sz w:val="19"/>
              </w:rPr>
              <w:t>Venda</w:t>
            </w:r>
          </w:p>
        </w:tc>
        <w:tc>
          <w:tcPr>
            <w:tcW w:type="dxa" w:w="1361"/>
          </w:tcPr>
          <w:p>
            <w:r/>
            <w:r>
              <w:rPr>
                <w:sz w:val="19"/>
              </w:rPr>
              <w:t>Sim</w:t>
            </w:r>
          </w:p>
        </w:tc>
        <w:tc>
          <w:tcPr>
            <w:tcW w:type="dxa" w:w="1361"/>
          </w:tcPr>
          <w:p>
            <w:pPr>
              <w:jc w:val="right"/>
            </w:pPr>
            <w:r/>
            <w:r>
              <w:rPr>
                <w:sz w:val="19"/>
              </w:rPr>
              <w:t>1.387</w:t>
            </w:r>
          </w:p>
        </w:tc>
        <w:tc>
          <w:tcPr>
            <w:tcW w:type="dxa" w:w="1928"/>
          </w:tcPr>
          <w:p>
            <w:pPr>
              <w:jc w:val="right"/>
            </w:pPr>
            <w:r/>
            <w:r>
              <w:rPr>
                <w:sz w:val="19"/>
              </w:rPr>
              <w:t>20,5%</w:t>
            </w:r>
          </w:p>
        </w:tc>
        <w:tc>
          <w:tcPr>
            <w:tcW w:type="dxa" w:w="1928"/>
          </w:tcPr>
          <w:p>
            <w:pPr>
              <w:jc w:val="right"/>
            </w:pPr>
            <w:r/>
            <w:r>
              <w:rPr>
                <w:sz w:val="19"/>
              </w:rPr>
              <w:t>276 (19,9%)</w:t>
            </w:r>
          </w:p>
        </w:tc>
      </w:tr>
      <w:tr>
        <w:tc>
          <w:tcPr>
            <w:tcW w:type="dxa" w:w="2268"/>
          </w:tcPr>
          <w:p>
            <w:r/>
            <w:r>
              <w:rPr>
                <w:sz w:val="19"/>
              </w:rPr>
              <w:t>Venda</w:t>
            </w:r>
          </w:p>
        </w:tc>
        <w:tc>
          <w:tcPr>
            <w:tcW w:type="dxa" w:w="1361"/>
          </w:tcPr>
          <w:p>
            <w:r/>
            <w:r>
              <w:rPr>
                <w:sz w:val="19"/>
              </w:rPr>
              <w:t>Não</w:t>
            </w:r>
          </w:p>
        </w:tc>
        <w:tc>
          <w:tcPr>
            <w:tcW w:type="dxa" w:w="1361"/>
          </w:tcPr>
          <w:p>
            <w:pPr>
              <w:jc w:val="right"/>
            </w:pPr>
            <w:r/>
            <w:r>
              <w:rPr>
                <w:sz w:val="19"/>
              </w:rPr>
              <w:t>1.615</w:t>
            </w:r>
          </w:p>
        </w:tc>
        <w:tc>
          <w:tcPr>
            <w:tcW w:type="dxa" w:w="1928"/>
          </w:tcPr>
          <w:p>
            <w:pPr>
              <w:jc w:val="right"/>
            </w:pPr>
            <w:r/>
            <w:r>
              <w:rPr>
                <w:sz w:val="19"/>
              </w:rPr>
              <w:t>23,9%</w:t>
            </w:r>
          </w:p>
        </w:tc>
        <w:tc>
          <w:tcPr>
            <w:tcW w:type="dxa" w:w="1928"/>
          </w:tcPr>
          <w:p>
            <w:pPr>
              <w:jc w:val="right"/>
            </w:pPr>
            <w:r/>
            <w:r>
              <w:rPr>
                <w:sz w:val="19"/>
              </w:rPr>
              <w:t>103 (6,4%)</w:t>
            </w:r>
          </w:p>
        </w:tc>
      </w:tr>
    </w:tbl>
    <w:p/>
    <w:tbl>
      <w:tblPr>
        <w:tblW w:type="auto" w:w="0"/>
        <w:jc w:val="center"/>
        <w:tblLook w:firstColumn="1" w:firstRow="1" w:lastColumn="0" w:lastRow="0" w:noHBand="0" w:noVBand="1" w:val="04A0"/>
      </w:tblPr>
      <w:tblGrid>
        <w:gridCol w:w="9746"/>
      </w:tblGrid>
      <w:tr>
        <w:tc>
          <w:tcPr>
            <w:tcW w:type="dxa" w:w="9298"/>
            <w:shd w:val="clear" w:color="auto" w:fill="F1E1DE"/>
          </w:tcPr>
          <w:p>
            <w:r/>
            <w:r>
              <w:rPr>
                <w:b/>
                <w:color w:val="8B2E2E"/>
                <w:sz w:val="16"/>
              </w:rPr>
              <w:t>NÃO É CAUSA: PROBLEMA NÃO "AJUDA" A FECHAR</w:t>
            </w:r>
          </w:p>
          <w:p>
            <w:r>
              <w:rPr>
                <w:sz w:val="20"/>
              </w:rPr>
              <w:t>Entre as ligações de venda, as que têm problema fecham 19,9%, contra 6,4% das que não têm. A diferença vem de quem liga. Quem traz problema já é cliente, e renovação e upsell fecham perto de 40%. Venda sem problema é, na maioria, nova venda para prospect (1.212 de 1.615), perfil que fecha bem menos. Ter problema indica cliente da base; não é motivo de fechamento.</w:t>
            </w:r>
          </w:p>
        </w:tc>
      </w:tr>
    </w:tbl>
    <w:p/>
    <w:p>
      <w:pPr>
        <w:spacing w:before="320"/>
        <w:pBdr>
          <w:bottom w:val="single" w:sz="4" w:space="1" w:color="D8D5CB"/>
        </w:pBdr>
      </w:pPr>
      <w:r>
        <w:rPr>
          <w:b/>
          <w:color w:val="807D73"/>
          <w:sz w:val="20"/>
        </w:rPr>
        <w:t>3.  TIPOS DE PROBLEMA</w:t>
      </w:r>
    </w:p>
    <w:p>
      <w:r>
        <w:rPr>
          <w:color w:val="807D73"/>
          <w:sz w:val="18"/>
        </w:rPr>
        <w:t>Ocorrências nas ligações com conversa. Uma ligação pode ter mais de um problema. "Não resolvido" é o % de ocorrências que terminaram a ligação sem solução.</w:t>
      </w:r>
    </w:p>
    <w:tbl>
      <w:tblPr>
        <w:tblStyle w:val="LightList"/>
        <w:tblW w:type="auto" w:w="0"/>
        <w:jc w:val="center"/>
        <w:tblLook w:firstColumn="1" w:firstRow="1" w:lastColumn="0" w:lastRow="0" w:noHBand="0" w:noVBand="1" w:val="04A0"/>
      </w:tblPr>
      <w:tblGrid>
        <w:gridCol w:w="1624"/>
        <w:gridCol w:w="1624"/>
        <w:gridCol w:w="1624"/>
        <w:gridCol w:w="1624"/>
        <w:gridCol w:w="1624"/>
        <w:gridCol w:w="1624"/>
      </w:tblGrid>
      <w:tr>
        <w:tc>
          <w:tcPr>
            <w:tcW w:type="dxa" w:w="907"/>
          </w:tcPr>
          <w:p>
            <w:r/>
            <w:r>
              <w:rPr>
                <w:b/>
                <w:color w:val="807D73"/>
                <w:sz w:val="16"/>
              </w:rPr>
              <w:t>CÓDIGO</w:t>
            </w:r>
          </w:p>
        </w:tc>
        <w:tc>
          <w:tcPr>
            <w:tcW w:type="dxa" w:w="3061"/>
          </w:tcPr>
          <w:p>
            <w:r/>
            <w:r>
              <w:rPr>
                <w:b/>
                <w:color w:val="807D73"/>
                <w:sz w:val="16"/>
              </w:rPr>
              <w:t>PROBLEMA</w:t>
            </w:r>
          </w:p>
        </w:tc>
        <w:tc>
          <w:tcPr>
            <w:tcW w:type="dxa" w:w="1304"/>
          </w:tcPr>
          <w:p>
            <w:pPr>
              <w:jc w:val="right"/>
            </w:pPr>
            <w:r/>
            <w:r>
              <w:rPr>
                <w:b/>
                <w:color w:val="807D73"/>
                <w:sz w:val="16"/>
              </w:rPr>
              <w:t>NÃO VENDA</w:t>
            </w:r>
          </w:p>
        </w:tc>
        <w:tc>
          <w:tcPr>
            <w:tcW w:type="dxa" w:w="1191"/>
          </w:tcPr>
          <w:p>
            <w:pPr>
              <w:jc w:val="right"/>
            </w:pPr>
            <w:r/>
            <w:r>
              <w:rPr>
                <w:b/>
                <w:color w:val="807D73"/>
                <w:sz w:val="16"/>
              </w:rPr>
              <w:t>VENDA</w:t>
            </w:r>
          </w:p>
        </w:tc>
        <w:tc>
          <w:tcPr>
            <w:tcW w:type="dxa" w:w="1191"/>
          </w:tcPr>
          <w:p>
            <w:pPr>
              <w:jc w:val="right"/>
            </w:pPr>
            <w:r/>
            <w:r>
              <w:rPr>
                <w:b/>
                <w:color w:val="807D73"/>
                <w:sz w:val="16"/>
              </w:rPr>
              <w:t>TOTAL</w:t>
            </w:r>
          </w:p>
        </w:tc>
        <w:tc>
          <w:tcPr>
            <w:tcW w:type="dxa" w:w="1531"/>
          </w:tcPr>
          <w:p>
            <w:pPr>
              <w:jc w:val="right"/>
            </w:pPr>
            <w:r/>
            <w:r>
              <w:rPr>
                <w:b/>
                <w:color w:val="807D73"/>
                <w:sz w:val="16"/>
              </w:rPr>
              <w:t>NÃO RESOLVIDO</w:t>
            </w:r>
          </w:p>
        </w:tc>
      </w:tr>
      <w:tr>
        <w:tc>
          <w:tcPr>
            <w:tcW w:type="dxa" w:w="907"/>
          </w:tcPr>
          <w:p>
            <w:r/>
            <w:r>
              <w:rPr>
                <w:sz w:val="19"/>
              </w:rPr>
              <w:t>P11</w:t>
            </w:r>
          </w:p>
        </w:tc>
        <w:tc>
          <w:tcPr>
            <w:tcW w:type="dxa" w:w="3061"/>
          </w:tcPr>
          <w:p>
            <w:r/>
            <w:r>
              <w:rPr>
                <w:sz w:val="19"/>
              </w:rPr>
              <w:t>Outro (sem categoria)</w:t>
            </w:r>
          </w:p>
        </w:tc>
        <w:tc>
          <w:tcPr>
            <w:tcW w:type="dxa" w:w="1304"/>
          </w:tcPr>
          <w:p>
            <w:pPr>
              <w:jc w:val="right"/>
            </w:pPr>
            <w:r/>
            <w:r>
              <w:rPr>
                <w:sz w:val="19"/>
              </w:rPr>
              <w:t>475</w:t>
            </w:r>
          </w:p>
        </w:tc>
        <w:tc>
          <w:tcPr>
            <w:tcW w:type="dxa" w:w="1191"/>
          </w:tcPr>
          <w:p>
            <w:pPr>
              <w:jc w:val="right"/>
            </w:pPr>
            <w:r/>
            <w:r>
              <w:rPr>
                <w:sz w:val="19"/>
              </w:rPr>
              <w:t>370</w:t>
            </w:r>
          </w:p>
        </w:tc>
        <w:tc>
          <w:tcPr>
            <w:tcW w:type="dxa" w:w="1191"/>
          </w:tcPr>
          <w:p>
            <w:pPr>
              <w:jc w:val="right"/>
            </w:pPr>
            <w:r/>
            <w:r>
              <w:rPr>
                <w:sz w:val="19"/>
              </w:rPr>
              <w:t>845</w:t>
            </w:r>
          </w:p>
        </w:tc>
        <w:tc>
          <w:tcPr>
            <w:tcW w:type="dxa" w:w="1531"/>
          </w:tcPr>
          <w:p>
            <w:pPr>
              <w:jc w:val="right"/>
            </w:pPr>
            <w:r/>
            <w:r>
              <w:rPr>
                <w:sz w:val="19"/>
              </w:rPr>
              <w:t>62,6%</w:t>
            </w:r>
          </w:p>
        </w:tc>
      </w:tr>
      <w:tr>
        <w:tc>
          <w:tcPr>
            <w:tcW w:type="dxa" w:w="907"/>
          </w:tcPr>
          <w:p>
            <w:r/>
            <w:r>
              <w:rPr>
                <w:sz w:val="19"/>
              </w:rPr>
              <w:t>P1</w:t>
            </w:r>
          </w:p>
        </w:tc>
        <w:tc>
          <w:tcPr>
            <w:tcW w:type="dxa" w:w="3061"/>
          </w:tcPr>
          <w:p>
            <w:r/>
            <w:r>
              <w:rPr>
                <w:sz w:val="19"/>
              </w:rPr>
              <w:t>Acesso/sistema</w:t>
            </w:r>
          </w:p>
        </w:tc>
        <w:tc>
          <w:tcPr>
            <w:tcW w:type="dxa" w:w="1304"/>
          </w:tcPr>
          <w:p>
            <w:pPr>
              <w:jc w:val="right"/>
            </w:pPr>
            <w:r/>
            <w:r>
              <w:rPr>
                <w:sz w:val="19"/>
              </w:rPr>
              <w:t>462</w:t>
            </w:r>
          </w:p>
        </w:tc>
        <w:tc>
          <w:tcPr>
            <w:tcW w:type="dxa" w:w="1191"/>
          </w:tcPr>
          <w:p>
            <w:pPr>
              <w:jc w:val="right"/>
            </w:pPr>
            <w:r/>
            <w:r>
              <w:rPr>
                <w:sz w:val="19"/>
              </w:rPr>
              <w:t>381</w:t>
            </w:r>
          </w:p>
        </w:tc>
        <w:tc>
          <w:tcPr>
            <w:tcW w:type="dxa" w:w="1191"/>
          </w:tcPr>
          <w:p>
            <w:pPr>
              <w:jc w:val="right"/>
            </w:pPr>
            <w:r/>
            <w:r>
              <w:rPr>
                <w:sz w:val="19"/>
              </w:rPr>
              <w:t>843</w:t>
            </w:r>
          </w:p>
        </w:tc>
        <w:tc>
          <w:tcPr>
            <w:tcW w:type="dxa" w:w="1531"/>
          </w:tcPr>
          <w:p>
            <w:pPr>
              <w:jc w:val="right"/>
            </w:pPr>
            <w:r/>
            <w:r>
              <w:rPr>
                <w:sz w:val="19"/>
              </w:rPr>
              <w:t>33,8%</w:t>
            </w:r>
          </w:p>
        </w:tc>
      </w:tr>
      <w:tr>
        <w:tc>
          <w:tcPr>
            <w:tcW w:type="dxa" w:w="907"/>
          </w:tcPr>
          <w:p>
            <w:r/>
            <w:r>
              <w:rPr>
                <w:sz w:val="19"/>
              </w:rPr>
              <w:t>P2</w:t>
            </w:r>
          </w:p>
        </w:tc>
        <w:tc>
          <w:tcPr>
            <w:tcW w:type="dxa" w:w="3061"/>
          </w:tcPr>
          <w:p>
            <w:r/>
            <w:r>
              <w:rPr>
                <w:sz w:val="19"/>
              </w:rPr>
              <w:t>Faturamento/cobrança</w:t>
            </w:r>
          </w:p>
        </w:tc>
        <w:tc>
          <w:tcPr>
            <w:tcW w:type="dxa" w:w="1304"/>
          </w:tcPr>
          <w:p>
            <w:pPr>
              <w:jc w:val="right"/>
            </w:pPr>
            <w:r/>
            <w:r>
              <w:rPr>
                <w:sz w:val="19"/>
              </w:rPr>
              <w:t>357</w:t>
            </w:r>
          </w:p>
        </w:tc>
        <w:tc>
          <w:tcPr>
            <w:tcW w:type="dxa" w:w="1191"/>
          </w:tcPr>
          <w:p>
            <w:pPr>
              <w:jc w:val="right"/>
            </w:pPr>
            <w:r/>
            <w:r>
              <w:rPr>
                <w:sz w:val="19"/>
              </w:rPr>
              <w:t>185</w:t>
            </w:r>
          </w:p>
        </w:tc>
        <w:tc>
          <w:tcPr>
            <w:tcW w:type="dxa" w:w="1191"/>
          </w:tcPr>
          <w:p>
            <w:pPr>
              <w:jc w:val="right"/>
            </w:pPr>
            <w:r/>
            <w:r>
              <w:rPr>
                <w:sz w:val="19"/>
              </w:rPr>
              <w:t>542</w:t>
            </w:r>
          </w:p>
        </w:tc>
        <w:tc>
          <w:tcPr>
            <w:tcW w:type="dxa" w:w="1531"/>
          </w:tcPr>
          <w:p>
            <w:pPr>
              <w:jc w:val="right"/>
            </w:pPr>
            <w:r/>
            <w:r>
              <w:rPr>
                <w:sz w:val="19"/>
              </w:rPr>
              <w:t>50,0%</w:t>
            </w:r>
          </w:p>
        </w:tc>
      </w:tr>
      <w:tr>
        <w:tc>
          <w:tcPr>
            <w:tcW w:type="dxa" w:w="907"/>
          </w:tcPr>
          <w:p>
            <w:r/>
            <w:r>
              <w:rPr>
                <w:sz w:val="19"/>
              </w:rPr>
              <w:t>P10</w:t>
            </w:r>
          </w:p>
        </w:tc>
        <w:tc>
          <w:tcPr>
            <w:tcW w:type="dxa" w:w="3061"/>
          </w:tcPr>
          <w:p>
            <w:r/>
            <w:r>
              <w:rPr>
                <w:sz w:val="19"/>
              </w:rPr>
              <w:t>Reserva/sistema</w:t>
            </w:r>
          </w:p>
        </w:tc>
        <w:tc>
          <w:tcPr>
            <w:tcW w:type="dxa" w:w="1304"/>
          </w:tcPr>
          <w:p>
            <w:pPr>
              <w:jc w:val="right"/>
            </w:pPr>
            <w:r/>
            <w:r>
              <w:rPr>
                <w:sz w:val="19"/>
              </w:rPr>
              <w:t>226</w:t>
            </w:r>
          </w:p>
        </w:tc>
        <w:tc>
          <w:tcPr>
            <w:tcW w:type="dxa" w:w="1191"/>
          </w:tcPr>
          <w:p>
            <w:pPr>
              <w:jc w:val="right"/>
            </w:pPr>
            <w:r/>
            <w:r>
              <w:rPr>
                <w:sz w:val="19"/>
              </w:rPr>
              <w:t>243</w:t>
            </w:r>
          </w:p>
        </w:tc>
        <w:tc>
          <w:tcPr>
            <w:tcW w:type="dxa" w:w="1191"/>
          </w:tcPr>
          <w:p>
            <w:pPr>
              <w:jc w:val="right"/>
            </w:pPr>
            <w:r/>
            <w:r>
              <w:rPr>
                <w:sz w:val="19"/>
              </w:rPr>
              <w:t>469</w:t>
            </w:r>
          </w:p>
        </w:tc>
        <w:tc>
          <w:tcPr>
            <w:tcW w:type="dxa" w:w="1531"/>
          </w:tcPr>
          <w:p>
            <w:pPr>
              <w:jc w:val="right"/>
            </w:pPr>
            <w:r/>
            <w:r>
              <w:rPr>
                <w:sz w:val="19"/>
              </w:rPr>
              <w:t>30,5%</w:t>
            </w:r>
          </w:p>
        </w:tc>
      </w:tr>
      <w:tr>
        <w:tc>
          <w:tcPr>
            <w:tcW w:type="dxa" w:w="907"/>
          </w:tcPr>
          <w:p>
            <w:r/>
            <w:r>
              <w:rPr>
                <w:sz w:val="19"/>
              </w:rPr>
              <w:t>P5</w:t>
            </w:r>
          </w:p>
        </w:tc>
        <w:tc>
          <w:tcPr>
            <w:tcW w:type="dxa" w:w="3061"/>
          </w:tcPr>
          <w:p>
            <w:r/>
            <w:r>
              <w:rPr>
                <w:sz w:val="19"/>
              </w:rPr>
              <w:t>Condutor/cadastro</w:t>
            </w:r>
          </w:p>
        </w:tc>
        <w:tc>
          <w:tcPr>
            <w:tcW w:type="dxa" w:w="1304"/>
          </w:tcPr>
          <w:p>
            <w:pPr>
              <w:jc w:val="right"/>
            </w:pPr>
            <w:r/>
            <w:r>
              <w:rPr>
                <w:sz w:val="19"/>
              </w:rPr>
              <w:t>213</w:t>
            </w:r>
          </w:p>
        </w:tc>
        <w:tc>
          <w:tcPr>
            <w:tcW w:type="dxa" w:w="1191"/>
          </w:tcPr>
          <w:p>
            <w:pPr>
              <w:jc w:val="right"/>
            </w:pPr>
            <w:r/>
            <w:r>
              <w:rPr>
                <w:sz w:val="19"/>
              </w:rPr>
              <w:t>89</w:t>
            </w:r>
          </w:p>
        </w:tc>
        <w:tc>
          <w:tcPr>
            <w:tcW w:type="dxa" w:w="1191"/>
          </w:tcPr>
          <w:p>
            <w:pPr>
              <w:jc w:val="right"/>
            </w:pPr>
            <w:r/>
            <w:r>
              <w:rPr>
                <w:sz w:val="19"/>
              </w:rPr>
              <w:t>302</w:t>
            </w:r>
          </w:p>
        </w:tc>
        <w:tc>
          <w:tcPr>
            <w:tcW w:type="dxa" w:w="1531"/>
          </w:tcPr>
          <w:p>
            <w:pPr>
              <w:jc w:val="right"/>
            </w:pPr>
            <w:r/>
            <w:r>
              <w:rPr>
                <w:sz w:val="19"/>
              </w:rPr>
              <w:t>28,1%</w:t>
            </w:r>
          </w:p>
        </w:tc>
      </w:tr>
      <w:tr>
        <w:tc>
          <w:tcPr>
            <w:tcW w:type="dxa" w:w="907"/>
          </w:tcPr>
          <w:p>
            <w:r/>
            <w:r>
              <w:rPr>
                <w:sz w:val="19"/>
              </w:rPr>
              <w:t>P4</w:t>
            </w:r>
          </w:p>
        </w:tc>
        <w:tc>
          <w:tcPr>
            <w:tcW w:type="dxa" w:w="3061"/>
          </w:tcPr>
          <w:p>
            <w:r/>
            <w:r>
              <w:rPr>
                <w:sz w:val="19"/>
              </w:rPr>
              <w:t>Manutenção/substituto</w:t>
            </w:r>
          </w:p>
        </w:tc>
        <w:tc>
          <w:tcPr>
            <w:tcW w:type="dxa" w:w="1304"/>
          </w:tcPr>
          <w:p>
            <w:pPr>
              <w:jc w:val="right"/>
            </w:pPr>
            <w:r/>
            <w:r>
              <w:rPr>
                <w:sz w:val="19"/>
              </w:rPr>
              <w:t>169</w:t>
            </w:r>
          </w:p>
        </w:tc>
        <w:tc>
          <w:tcPr>
            <w:tcW w:type="dxa" w:w="1191"/>
          </w:tcPr>
          <w:p>
            <w:pPr>
              <w:jc w:val="right"/>
            </w:pPr>
            <w:r/>
            <w:r>
              <w:rPr>
                <w:sz w:val="19"/>
              </w:rPr>
              <w:t>57</w:t>
            </w:r>
          </w:p>
        </w:tc>
        <w:tc>
          <w:tcPr>
            <w:tcW w:type="dxa" w:w="1191"/>
          </w:tcPr>
          <w:p>
            <w:pPr>
              <w:jc w:val="right"/>
            </w:pPr>
            <w:r/>
            <w:r>
              <w:rPr>
                <w:sz w:val="19"/>
              </w:rPr>
              <w:t>226</w:t>
            </w:r>
          </w:p>
        </w:tc>
        <w:tc>
          <w:tcPr>
            <w:tcW w:type="dxa" w:w="1531"/>
          </w:tcPr>
          <w:p>
            <w:pPr>
              <w:jc w:val="right"/>
            </w:pPr>
            <w:r/>
            <w:r>
              <w:rPr>
                <w:sz w:val="19"/>
              </w:rPr>
              <w:t>52,2%</w:t>
            </w:r>
          </w:p>
        </w:tc>
      </w:tr>
      <w:tr>
        <w:tc>
          <w:tcPr>
            <w:tcW w:type="dxa" w:w="907"/>
          </w:tcPr>
          <w:p>
            <w:r/>
            <w:r>
              <w:rPr>
                <w:sz w:val="19"/>
              </w:rPr>
              <w:t>P7</w:t>
            </w:r>
          </w:p>
        </w:tc>
        <w:tc>
          <w:tcPr>
            <w:tcW w:type="dxa" w:w="3061"/>
          </w:tcPr>
          <w:p>
            <w:r/>
            <w:r>
              <w:rPr>
                <w:sz w:val="19"/>
              </w:rPr>
              <w:t>Disponibilidade</w:t>
            </w:r>
          </w:p>
        </w:tc>
        <w:tc>
          <w:tcPr>
            <w:tcW w:type="dxa" w:w="1304"/>
          </w:tcPr>
          <w:p>
            <w:pPr>
              <w:jc w:val="right"/>
            </w:pPr>
            <w:r/>
            <w:r>
              <w:rPr>
                <w:sz w:val="19"/>
              </w:rPr>
              <w:t>75</w:t>
            </w:r>
          </w:p>
        </w:tc>
        <w:tc>
          <w:tcPr>
            <w:tcW w:type="dxa" w:w="1191"/>
          </w:tcPr>
          <w:p>
            <w:pPr>
              <w:jc w:val="right"/>
            </w:pPr>
            <w:r/>
            <w:r>
              <w:rPr>
                <w:sz w:val="19"/>
              </w:rPr>
              <w:t>101</w:t>
            </w:r>
          </w:p>
        </w:tc>
        <w:tc>
          <w:tcPr>
            <w:tcW w:type="dxa" w:w="1191"/>
          </w:tcPr>
          <w:p>
            <w:pPr>
              <w:jc w:val="right"/>
            </w:pPr>
            <w:r/>
            <w:r>
              <w:rPr>
                <w:sz w:val="19"/>
              </w:rPr>
              <w:t>176</w:t>
            </w:r>
          </w:p>
        </w:tc>
        <w:tc>
          <w:tcPr>
            <w:tcW w:type="dxa" w:w="1531"/>
          </w:tcPr>
          <w:p>
            <w:pPr>
              <w:jc w:val="right"/>
            </w:pPr>
            <w:r/>
            <w:r>
              <w:rPr>
                <w:sz w:val="19"/>
              </w:rPr>
              <w:t>67,6%</w:t>
            </w:r>
          </w:p>
        </w:tc>
      </w:tr>
      <w:tr>
        <w:tc>
          <w:tcPr>
            <w:tcW w:type="dxa" w:w="907"/>
          </w:tcPr>
          <w:p>
            <w:r/>
            <w:r>
              <w:rPr>
                <w:sz w:val="19"/>
              </w:rPr>
              <w:t>P6</w:t>
            </w:r>
          </w:p>
        </w:tc>
        <w:tc>
          <w:tcPr>
            <w:tcW w:type="dxa" w:w="3061"/>
          </w:tcPr>
          <w:p>
            <w:r/>
            <w:r>
              <w:rPr>
                <w:sz w:val="19"/>
              </w:rPr>
              <w:t>Km excedente</w:t>
            </w:r>
          </w:p>
        </w:tc>
        <w:tc>
          <w:tcPr>
            <w:tcW w:type="dxa" w:w="1304"/>
          </w:tcPr>
          <w:p>
            <w:pPr>
              <w:jc w:val="right"/>
            </w:pPr>
            <w:r/>
            <w:r>
              <w:rPr>
                <w:sz w:val="19"/>
              </w:rPr>
              <w:t>54</w:t>
            </w:r>
          </w:p>
        </w:tc>
        <w:tc>
          <w:tcPr>
            <w:tcW w:type="dxa" w:w="1191"/>
          </w:tcPr>
          <w:p>
            <w:pPr>
              <w:jc w:val="right"/>
            </w:pPr>
            <w:r/>
            <w:r>
              <w:rPr>
                <w:sz w:val="19"/>
              </w:rPr>
              <w:t>96</w:t>
            </w:r>
          </w:p>
        </w:tc>
        <w:tc>
          <w:tcPr>
            <w:tcW w:type="dxa" w:w="1191"/>
          </w:tcPr>
          <w:p>
            <w:pPr>
              <w:jc w:val="right"/>
            </w:pPr>
            <w:r/>
            <w:r>
              <w:rPr>
                <w:sz w:val="19"/>
              </w:rPr>
              <w:t>150</w:t>
            </w:r>
          </w:p>
        </w:tc>
        <w:tc>
          <w:tcPr>
            <w:tcW w:type="dxa" w:w="1531"/>
          </w:tcPr>
          <w:p>
            <w:pPr>
              <w:jc w:val="right"/>
            </w:pPr>
            <w:r/>
            <w:r>
              <w:rPr>
                <w:sz w:val="19"/>
              </w:rPr>
              <w:t>50,7%</w:t>
            </w:r>
          </w:p>
        </w:tc>
      </w:tr>
      <w:tr>
        <w:tc>
          <w:tcPr>
            <w:tcW w:type="dxa" w:w="907"/>
          </w:tcPr>
          <w:p>
            <w:r/>
            <w:r>
              <w:rPr>
                <w:sz w:val="19"/>
              </w:rPr>
              <w:t>P12</w:t>
            </w:r>
          </w:p>
        </w:tc>
        <w:tc>
          <w:tcPr>
            <w:tcW w:type="dxa" w:w="3061"/>
          </w:tcPr>
          <w:p>
            <w:r/>
            <w:r>
              <w:rPr>
                <w:sz w:val="19"/>
              </w:rPr>
              <w:t>Manipulação de NPS</w:t>
            </w:r>
          </w:p>
        </w:tc>
        <w:tc>
          <w:tcPr>
            <w:tcW w:type="dxa" w:w="1304"/>
          </w:tcPr>
          <w:p>
            <w:pPr>
              <w:jc w:val="right"/>
            </w:pPr>
            <w:r/>
            <w:r>
              <w:rPr>
                <w:sz w:val="19"/>
              </w:rPr>
              <w:t>98</w:t>
            </w:r>
          </w:p>
        </w:tc>
        <w:tc>
          <w:tcPr>
            <w:tcW w:type="dxa" w:w="1191"/>
          </w:tcPr>
          <w:p>
            <w:pPr>
              <w:jc w:val="right"/>
            </w:pPr>
            <w:r/>
            <w:r>
              <w:rPr>
                <w:sz w:val="19"/>
              </w:rPr>
              <w:t>37</w:t>
            </w:r>
          </w:p>
        </w:tc>
        <w:tc>
          <w:tcPr>
            <w:tcW w:type="dxa" w:w="1191"/>
          </w:tcPr>
          <w:p>
            <w:pPr>
              <w:jc w:val="right"/>
            </w:pPr>
            <w:r/>
            <w:r>
              <w:rPr>
                <w:sz w:val="19"/>
              </w:rPr>
              <w:t>135</w:t>
            </w:r>
          </w:p>
        </w:tc>
        <w:tc>
          <w:tcPr>
            <w:tcW w:type="dxa" w:w="1531"/>
          </w:tcPr>
          <w:p>
            <w:pPr>
              <w:jc w:val="right"/>
            </w:pPr>
            <w:r/>
            <w:r>
              <w:rPr>
                <w:sz w:val="19"/>
              </w:rPr>
              <w:t>95,6%</w:t>
            </w:r>
          </w:p>
        </w:tc>
      </w:tr>
      <w:tr>
        <w:tc>
          <w:tcPr>
            <w:tcW w:type="dxa" w:w="907"/>
          </w:tcPr>
          <w:p>
            <w:r/>
            <w:r>
              <w:rPr>
                <w:sz w:val="19"/>
              </w:rPr>
              <w:t>P3</w:t>
            </w:r>
          </w:p>
        </w:tc>
        <w:tc>
          <w:tcPr>
            <w:tcW w:type="dxa" w:w="3061"/>
          </w:tcPr>
          <w:p>
            <w:r/>
            <w:r>
              <w:rPr>
                <w:sz w:val="19"/>
              </w:rPr>
              <w:t>Multa/infração</w:t>
            </w:r>
          </w:p>
        </w:tc>
        <w:tc>
          <w:tcPr>
            <w:tcW w:type="dxa" w:w="1304"/>
          </w:tcPr>
          <w:p>
            <w:pPr>
              <w:jc w:val="right"/>
            </w:pPr>
            <w:r/>
            <w:r>
              <w:rPr>
                <w:sz w:val="19"/>
              </w:rPr>
              <w:t>99</w:t>
            </w:r>
          </w:p>
        </w:tc>
        <w:tc>
          <w:tcPr>
            <w:tcW w:type="dxa" w:w="1191"/>
          </w:tcPr>
          <w:p>
            <w:pPr>
              <w:jc w:val="right"/>
            </w:pPr>
            <w:r/>
            <w:r>
              <w:rPr>
                <w:sz w:val="19"/>
              </w:rPr>
              <w:t>28</w:t>
            </w:r>
          </w:p>
        </w:tc>
        <w:tc>
          <w:tcPr>
            <w:tcW w:type="dxa" w:w="1191"/>
          </w:tcPr>
          <w:p>
            <w:pPr>
              <w:jc w:val="right"/>
            </w:pPr>
            <w:r/>
            <w:r>
              <w:rPr>
                <w:sz w:val="19"/>
              </w:rPr>
              <w:t>127</w:t>
            </w:r>
          </w:p>
        </w:tc>
        <w:tc>
          <w:tcPr>
            <w:tcW w:type="dxa" w:w="1531"/>
          </w:tcPr>
          <w:p>
            <w:pPr>
              <w:jc w:val="right"/>
            </w:pPr>
            <w:r/>
            <w:r>
              <w:rPr>
                <w:sz w:val="19"/>
              </w:rPr>
              <w:t>40,2%</w:t>
            </w:r>
          </w:p>
        </w:tc>
      </w:tr>
      <w:tr>
        <w:tc>
          <w:tcPr>
            <w:tcW w:type="dxa" w:w="907"/>
          </w:tcPr>
          <w:p>
            <w:r/>
            <w:r>
              <w:rPr>
                <w:sz w:val="19"/>
              </w:rPr>
              <w:t>P9</w:t>
            </w:r>
          </w:p>
        </w:tc>
        <w:tc>
          <w:tcPr>
            <w:tcW w:type="dxa" w:w="3061"/>
          </w:tcPr>
          <w:p>
            <w:r/>
            <w:r>
              <w:rPr>
                <w:sz w:val="19"/>
              </w:rPr>
              <w:t>Sinistro</w:t>
            </w:r>
          </w:p>
        </w:tc>
        <w:tc>
          <w:tcPr>
            <w:tcW w:type="dxa" w:w="1304"/>
          </w:tcPr>
          <w:p>
            <w:pPr>
              <w:jc w:val="right"/>
            </w:pPr>
            <w:r/>
            <w:r>
              <w:rPr>
                <w:sz w:val="19"/>
              </w:rPr>
              <w:t>84</w:t>
            </w:r>
          </w:p>
        </w:tc>
        <w:tc>
          <w:tcPr>
            <w:tcW w:type="dxa" w:w="1191"/>
          </w:tcPr>
          <w:p>
            <w:pPr>
              <w:jc w:val="right"/>
            </w:pPr>
            <w:r/>
            <w:r>
              <w:rPr>
                <w:sz w:val="19"/>
              </w:rPr>
              <w:t>30</w:t>
            </w:r>
          </w:p>
        </w:tc>
        <w:tc>
          <w:tcPr>
            <w:tcW w:type="dxa" w:w="1191"/>
          </w:tcPr>
          <w:p>
            <w:pPr>
              <w:jc w:val="right"/>
            </w:pPr>
            <w:r/>
            <w:r>
              <w:rPr>
                <w:sz w:val="19"/>
              </w:rPr>
              <w:t>114</w:t>
            </w:r>
          </w:p>
        </w:tc>
        <w:tc>
          <w:tcPr>
            <w:tcW w:type="dxa" w:w="1531"/>
          </w:tcPr>
          <w:p>
            <w:pPr>
              <w:jc w:val="right"/>
            </w:pPr>
            <w:r/>
            <w:r>
              <w:rPr>
                <w:sz w:val="19"/>
              </w:rPr>
              <w:t>50,0%</w:t>
            </w:r>
          </w:p>
        </w:tc>
      </w:tr>
      <w:tr>
        <w:tc>
          <w:tcPr>
            <w:tcW w:type="dxa" w:w="907"/>
          </w:tcPr>
          <w:p>
            <w:r/>
            <w:r>
              <w:rPr>
                <w:sz w:val="19"/>
              </w:rPr>
              <w:t>P8</w:t>
            </w:r>
          </w:p>
        </w:tc>
        <w:tc>
          <w:tcPr>
            <w:tcW w:type="dxa" w:w="3061"/>
          </w:tcPr>
          <w:p>
            <w:r/>
            <w:r>
              <w:rPr>
                <w:sz w:val="19"/>
              </w:rPr>
              <w:t>Franquia/agência</w:t>
            </w:r>
          </w:p>
        </w:tc>
        <w:tc>
          <w:tcPr>
            <w:tcW w:type="dxa" w:w="1304"/>
          </w:tcPr>
          <w:p>
            <w:pPr>
              <w:jc w:val="right"/>
            </w:pPr>
            <w:r/>
            <w:r>
              <w:rPr>
                <w:sz w:val="19"/>
              </w:rPr>
              <w:t>14</w:t>
            </w:r>
          </w:p>
        </w:tc>
        <w:tc>
          <w:tcPr>
            <w:tcW w:type="dxa" w:w="1191"/>
          </w:tcPr>
          <w:p>
            <w:pPr>
              <w:jc w:val="right"/>
            </w:pPr>
            <w:r/>
            <w:r>
              <w:rPr>
                <w:sz w:val="19"/>
              </w:rPr>
              <w:t>4</w:t>
            </w:r>
          </w:p>
        </w:tc>
        <w:tc>
          <w:tcPr>
            <w:tcW w:type="dxa" w:w="1191"/>
          </w:tcPr>
          <w:p>
            <w:pPr>
              <w:jc w:val="right"/>
            </w:pPr>
            <w:r/>
            <w:r>
              <w:rPr>
                <w:sz w:val="19"/>
              </w:rPr>
              <w:t>18</w:t>
            </w:r>
          </w:p>
        </w:tc>
        <w:tc>
          <w:tcPr>
            <w:tcW w:type="dxa" w:w="1531"/>
          </w:tcPr>
          <w:p>
            <w:pPr>
              <w:jc w:val="right"/>
            </w:pPr>
            <w:r/>
            <w:r>
              <w:rPr>
                <w:sz w:val="19"/>
              </w:rPr>
              <w:t>72,2%</w:t>
            </w:r>
          </w:p>
        </w:tc>
      </w:tr>
    </w:tbl>
    <w:p/>
    <w:p>
      <w:pPr>
        <w:spacing w:before="320"/>
        <w:pBdr>
          <w:bottom w:val="single" w:sz="4" w:space="1" w:color="D8D5CB"/>
        </w:pBdr>
      </w:pPr>
      <w:r>
        <w:rPr>
          <w:b/>
          <w:color w:val="807D73"/>
          <w:sz w:val="20"/>
        </w:rPr>
        <w:t>4.  LEITURAS</w:t>
      </w:r>
    </w:p>
    <w:p>
      <w:r>
        <w:rPr>
          <w:b/>
          <w:sz w:val="21"/>
        </w:rPr>
        <w:t xml:space="preserve">1. O denominador certo é o das ligações com conversa. </w:t>
      </w:r>
      <w:r>
        <w:rPr>
          <w:sz w:val="21"/>
        </w:rPr>
        <w:t>Quase 3 em cada 10 ligações não têm conversa. Calculados sobre a base inteira, os indicadores ficam diluídos. Sobre as ligações com conversa, a taxa de problema é 50,6%, não 35,6%.</w:t>
      </w:r>
    </w:p>
    <w:p>
      <w:r>
        <w:rPr>
          <w:b/>
          <w:sz w:val="21"/>
        </w:rPr>
        <w:t xml:space="preserve">2. Problema aparece dos dois lados. </w:t>
      </w:r>
      <w:r>
        <w:rPr>
          <w:sz w:val="21"/>
        </w:rPr>
        <w:t>54% das ligações de não venda e 46% das de venda trazem problema. O vendedor absorve suporte inclusive no meio da negociação.</w:t>
      </w:r>
    </w:p>
    <w:p>
      <w:r>
        <w:rPr>
          <w:b/>
          <w:sz w:val="21"/>
        </w:rPr>
        <w:t xml:space="preserve">3. O mix muda conforme o lado. </w:t>
      </w:r>
      <w:r>
        <w:rPr>
          <w:sz w:val="21"/>
        </w:rPr>
        <w:t>Na não venda pesam faturamento, cadastro, manutenção, multa e manipulação de NPS. Na venda pesam reserva, disponibilidade e km excedente, problemas que travam a própria negociação.</w:t>
      </w:r>
    </w:p>
    <w:p>
      <w:r>
        <w:rPr>
          <w:b/>
          <w:sz w:val="21"/>
        </w:rPr>
        <w:t xml:space="preserve">4. Sistemas (acesso + reserva) e "Outro" dividem o topo, </w:t>
      </w:r>
      <w:r>
        <w:rPr>
          <w:sz w:val="21"/>
        </w:rPr>
        <w:t>com cerca de 1.300 e 845 ocorrências. "Outro" é o que menos se resolve entre os grandes (63% sem solução).</w:t>
      </w:r>
    </w:p>
    <w:p>
      <w:r>
        <w:rPr>
          <w:b/>
          <w:sz w:val="21"/>
        </w:rPr>
        <w:t xml:space="preserve">5. A não venda resolve menos. </w:t>
      </w:r>
      <w:r>
        <w:rPr>
          <w:sz w:val="21"/>
        </w:rPr>
        <w:t>Nas ligações de não venda com problema, 52,6% terminam sem solução, contra 45,5% nas de venda.</w:t>
      </w:r>
    </w:p>
    <w:p>
      <w:pPr>
        <w:spacing w:before="320"/>
        <w:pBdr>
          <w:bottom w:val="single" w:sz="4" w:space="1" w:color="D8D5CB"/>
        </w:pBdr>
      </w:pPr>
      <w:r>
        <w:rPr>
          <w:b/>
          <w:color w:val="807D73"/>
          <w:sz w:val="20"/>
        </w:rPr>
        <w:t>5.  NOTA DE MÉTODO</w:t>
      </w:r>
    </w:p>
    <w:p>
      <w:r>
        <w:rPr>
          <w:color w:val="807D73"/>
          <w:sz w:val="18"/>
        </w:rPr>
        <w:t>Fonte: agosto_grvin/gemini/CONSOLIDADO.csv (9.636 ligações GRVIN, 100% classificadas).</w:t>
      </w:r>
    </w:p>
    <w:p>
      <w:r>
        <w:rPr>
          <w:color w:val="807D73"/>
          <w:sz w:val="18"/>
        </w:rPr>
        <w:t>"Venda" = desfecho P1 diferente de nao_era_venda. "Sem conversa" = tipo P2 sem_conteudo. "Problema" = P3 com pelo menos um código.</w:t>
      </w:r>
    </w:p>
    <w:p>
      <w:r>
        <w:rPr>
          <w:color w:val="807D73"/>
          <w:sz w:val="18"/>
        </w:rPr>
        <w:t>Atenção: 2.775 das 2.867 ligações "sem conversa" foram marcadas automaticamente por terem menos de 600 caracteres, sem leitura do modelo. Cerca de 630 delas parecem conversas curtas reais (sondagens do tipo "tem demanda?" / "por enquanto não"). Corrigindo, "sem conversa" cairia para ~23% e a taxa de problema entre as com conversa para ~46%. A leitura geral não muda.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