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pBdr>
          <w:bottom w:val="single" w:sz="6" w:color="D8D5CB"/>
        </w:pBdr>
      </w:pPr>
      <w:r>
        <w:rPr>
          <w:rFonts w:ascii="Calibri" w:hAnsi="Calibri"/>
          <w:b/>
          <w:color w:val="807D73"/>
          <w:sz w:val="16"/>
        </w:rPr>
        <w:t>MEMO INTERNO  ·  NÃO DISTRIBUIR EXTERNAMENTE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417"/>
            <w:tcBorders>
              <w:bottom w:val="single" w:sz="2" w:color="FFFFFF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807D73"/>
                <w:sz w:val="20"/>
              </w:rPr>
              <w:t>Para</w:t>
            </w:r>
          </w:p>
        </w:tc>
        <w:tc>
          <w:tcPr>
            <w:tcW w:type="dxa" w:w="7370"/>
            <w:tcBorders>
              <w:bottom w:val="single" w:sz="2" w:color="FFFFFF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C1C1A"/>
                <w:sz w:val="20"/>
              </w:rPr>
              <w:t>Diretoria</w:t>
            </w:r>
          </w:p>
        </w:tc>
      </w:tr>
      <w:tr>
        <w:tc>
          <w:tcPr>
            <w:tcW w:type="dxa" w:w="1417"/>
            <w:tcBorders>
              <w:bottom w:val="single" w:sz="2" w:color="FFFFFF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807D73"/>
                <w:sz w:val="20"/>
              </w:rPr>
              <w:t>De</w:t>
            </w:r>
          </w:p>
        </w:tc>
        <w:tc>
          <w:tcPr>
            <w:tcW w:type="dxa" w:w="7370"/>
            <w:tcBorders>
              <w:bottom w:val="single" w:sz="2" w:color="FFFFFF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C1C1A"/>
                <w:sz w:val="20"/>
              </w:rPr>
              <w:t>CX — Programa Aletheia</w:t>
            </w:r>
          </w:p>
        </w:tc>
      </w:tr>
      <w:tr>
        <w:tc>
          <w:tcPr>
            <w:tcW w:type="dxa" w:w="1417"/>
            <w:tcBorders>
              <w:bottom w:val="single" w:sz="2" w:color="FFFFFF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807D73"/>
                <w:sz w:val="20"/>
              </w:rPr>
              <w:t>Data</w:t>
            </w:r>
          </w:p>
        </w:tc>
        <w:tc>
          <w:tcPr>
            <w:tcW w:type="dxa" w:w="7370"/>
            <w:tcBorders>
              <w:bottom w:val="single" w:sz="2" w:color="FFFFFF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C1C1A"/>
                <w:sz w:val="20"/>
              </w:rPr>
              <w:t>setembro/2026</w:t>
            </w:r>
          </w:p>
        </w:tc>
      </w:tr>
      <w:tr>
        <w:tc>
          <w:tcPr>
            <w:tcW w:type="dxa" w:w="1417"/>
            <w:tcBorders>
              <w:bottom w:val="single" w:sz="2" w:color="FFFFFF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807D73"/>
                <w:sz w:val="20"/>
              </w:rPr>
              <w:t>Assunto</w:t>
            </w:r>
          </w:p>
        </w:tc>
        <w:tc>
          <w:tcPr>
            <w:tcW w:type="dxa" w:w="7370"/>
            <w:tcBorders>
              <w:bottom w:val="single" w:sz="2" w:color="FFFFFF"/>
            </w:tcBorders>
          </w:tcPr>
          <w:p>
            <w:pPr>
              <w:spacing w:after="40"/>
            </w:pPr>
            <w:r>
              <w:rPr>
                <w:rFonts w:ascii="Calibri" w:hAnsi="Calibri"/>
                <w:color w:val="1C1C1A"/>
                <w:sz w:val="20"/>
              </w:rPr>
              <w:t>RMR agosto/2026 — Frota PJ</w:t>
            </w:r>
          </w:p>
        </w:tc>
      </w:tr>
    </w:tbl>
    <w:p>
      <w:pPr>
        <w:spacing w:before="80" w:after="400"/>
        <w:pBdr>
          <w:top w:val="single" w:sz="18" w:color="1C1C1A"/>
        </w:pBdr>
      </w:pPr>
    </w:p>
    <w:p>
      <w:pPr>
        <w:pStyle w:val="Title"/>
        <w:spacing w:after="400"/>
      </w:pPr>
      <w:r>
        <w:rPr>
          <w:rFonts w:ascii="Georgia" w:hAnsi="Georgia"/>
          <w:b/>
          <w:color w:val="1C1C1A"/>
          <w:sz w:val="40"/>
        </w:rPr>
        <w:t>Revisão Mensal de Resultados — agosto</w:t>
      </w:r>
    </w:p>
    <w:p>
      <w:pPr>
        <w:spacing w:before="360" w:after="160"/>
        <w:pBdr>
          <w:bottom w:val="single" w:sz="4" w:color="D8D5CB"/>
        </w:pBdr>
      </w:pPr>
      <w:r>
        <w:rPr>
          <w:rFonts w:ascii="Calibri" w:hAnsi="Calibri"/>
          <w:b/>
          <w:color w:val="1C1C1A"/>
          <w:sz w:val="20"/>
        </w:rPr>
        <w:t xml:space="preserve">1.  </w:t>
      </w:r>
      <w:r>
        <w:rPr>
          <w:rFonts w:ascii="Calibri" w:hAnsi="Calibri"/>
          <w:b/>
          <w:color w:val="807D73"/>
          <w:sz w:val="20"/>
        </w:rPr>
        <w:t>RESUMO</w:t>
      </w:r>
    </w:p>
    <w:p>
      <w:r>
        <w:rPr>
          <w:b w:val="0"/>
        </w:rPr>
        <w:t xml:space="preserve">A base de agosto (9.636 ligações GRVIN) foi classificada em 8 das 15 dimensões do framework Aletheia. O funil comercial se mantém estável em relação a junho e julho — taxa de fechamento de </w:t>
      </w:r>
      <w:r>
        <w:rPr>
          <w:b/>
        </w:rPr>
        <w:t>12,6%</w:t>
      </w:r>
      <w:r>
        <w:rPr>
          <w:b w:val="0"/>
        </w:rPr>
        <w:t xml:space="preserve">, dentro da faixa de 12-15% observada nos três meses. O achado que mais pede ação imediata não vem do framework padrão: é a demanda de </w:t>
      </w:r>
      <w:r>
        <w:rPr>
          <w:b/>
        </w:rPr>
        <w:t>locação para campanhas eleitorais</w:t>
      </w:r>
      <w:r>
        <w:rPr>
          <w:b w:val="0"/>
        </w:rPr>
        <w:t>, que já responde por 11,3% do volume de agosto e converte à metade da média, com causa identificada.</w:t>
      </w:r>
    </w:p>
    <w:p>
      <w:pPr>
        <w:spacing w:before="360" w:after="160"/>
        <w:pBdr>
          <w:bottom w:val="single" w:sz="4" w:color="D8D5CB"/>
        </w:pBdr>
      </w:pPr>
      <w:r>
        <w:rPr>
          <w:rFonts w:ascii="Calibri" w:hAnsi="Calibri"/>
          <w:b/>
          <w:color w:val="1C1C1A"/>
          <w:sz w:val="20"/>
        </w:rPr>
        <w:t xml:space="preserve">2.  </w:t>
      </w:r>
      <w:r>
        <w:rPr>
          <w:rFonts w:ascii="Calibri" w:hAnsi="Calibri"/>
          <w:b/>
          <w:color w:val="807D73"/>
          <w:sz w:val="20"/>
        </w:rPr>
        <w:t>O MÊS EM NÚMEROS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tcBorders>
              <w:bottom w:val="single" w:sz="4" w:color="D8D5CB"/>
            </w:tcBorders>
          </w:tcPr>
          <w:p>
            <w:r>
              <w:rPr>
                <w:rFonts w:ascii="Calibri" w:hAnsi="Calibri"/>
                <w:b/>
                <w:color w:val="807D73"/>
                <w:sz w:val="18"/>
              </w:rPr>
              <w:t>Métrica</w:t>
            </w:r>
          </w:p>
        </w:tc>
        <w:tc>
          <w:tcPr>
            <w:tcW w:type="dxa" w:w="2266"/>
            <w:tcBorders>
              <w:bottom w:val="single" w:sz="4" w:color="D8D5CB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807D73"/>
                <w:sz w:val="18"/>
              </w:rPr>
              <w:t>Junho</w:t>
            </w:r>
          </w:p>
        </w:tc>
        <w:tc>
          <w:tcPr>
            <w:tcW w:type="dxa" w:w="2266"/>
            <w:tcBorders>
              <w:bottom w:val="single" w:sz="4" w:color="D8D5CB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807D73"/>
                <w:sz w:val="18"/>
              </w:rPr>
              <w:t>Julho</w:t>
            </w:r>
          </w:p>
        </w:tc>
        <w:tc>
          <w:tcPr>
            <w:tcW w:type="dxa" w:w="2266"/>
            <w:tcBorders>
              <w:bottom w:val="single" w:sz="4" w:color="D8D5CB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807D73"/>
                <w:sz w:val="18"/>
              </w:rPr>
              <w:t>Agosto</w:t>
            </w:r>
          </w:p>
        </w:tc>
      </w:tr>
      <w:tr>
        <w:tc>
          <w:tcPr>
            <w:tcW w:type="dxa" w:w="2266"/>
            <w:tcBorders>
              <w:bottom w:val="single" w:sz="4" w:color="D8D5CB"/>
            </w:tcBorders>
          </w:tcPr>
          <w:p>
            <w:r>
              <w:rPr>
                <w:rFonts w:ascii="Consolas" w:hAnsi="Consolas"/>
                <w:b w:val="0"/>
                <w:color w:val="46443E"/>
                <w:sz w:val="20"/>
              </w:rPr>
              <w:t>Ligações classificadas</w:t>
            </w:r>
          </w:p>
        </w:tc>
        <w:tc>
          <w:tcPr>
            <w:tcW w:type="dxa" w:w="2266"/>
            <w:tcBorders>
              <w:bottom w:val="single" w:sz="4" w:color="D8D5CB"/>
            </w:tcBorders>
          </w:tcPr>
          <w:p>
            <w:pPr>
              <w:jc w:val="right"/>
            </w:pPr>
            <w:r>
              <w:rPr>
                <w:rFonts w:ascii="Consolas" w:hAnsi="Consolas"/>
                <w:b w:val="0"/>
                <w:color w:val="46443E"/>
                <w:sz w:val="20"/>
              </w:rPr>
              <w:t>6.623</w:t>
            </w:r>
          </w:p>
        </w:tc>
        <w:tc>
          <w:tcPr>
            <w:tcW w:type="dxa" w:w="2266"/>
            <w:tcBorders>
              <w:bottom w:val="single" w:sz="4" w:color="D8D5CB"/>
            </w:tcBorders>
          </w:tcPr>
          <w:p>
            <w:pPr>
              <w:jc w:val="right"/>
            </w:pPr>
            <w:r>
              <w:rPr>
                <w:rFonts w:ascii="Consolas" w:hAnsi="Consolas"/>
                <w:b w:val="0"/>
                <w:color w:val="46443E"/>
                <w:sz w:val="20"/>
              </w:rPr>
              <w:t>10.240</w:t>
            </w:r>
          </w:p>
        </w:tc>
        <w:tc>
          <w:tcPr>
            <w:tcW w:type="dxa" w:w="2266"/>
            <w:tcBorders>
              <w:bottom w:val="single" w:sz="4" w:color="D8D5CB"/>
            </w:tcBorders>
          </w:tcPr>
          <w:p>
            <w:pPr>
              <w:jc w:val="right"/>
            </w:pPr>
            <w:r>
              <w:rPr>
                <w:rFonts w:ascii="Consolas" w:hAnsi="Consolas"/>
                <w:b w:val="0"/>
                <w:color w:val="46443E"/>
                <w:sz w:val="20"/>
              </w:rPr>
              <w:t>9.636</w:t>
            </w:r>
          </w:p>
        </w:tc>
      </w:tr>
      <w:tr>
        <w:tc>
          <w:tcPr>
            <w:tcW w:type="dxa" w:w="2266"/>
            <w:tcBorders>
              <w:bottom w:val="single" w:sz="4" w:color="D8D5CB"/>
            </w:tcBorders>
          </w:tcPr>
          <w:p>
            <w:r>
              <w:rPr>
                <w:rFonts w:ascii="Consolas" w:hAnsi="Consolas"/>
                <w:b w:val="0"/>
                <w:color w:val="46443E"/>
                <w:sz w:val="20"/>
              </w:rPr>
              <w:t>Tentativa comercial real</w:t>
            </w:r>
          </w:p>
        </w:tc>
        <w:tc>
          <w:tcPr>
            <w:tcW w:type="dxa" w:w="2266"/>
            <w:tcBorders>
              <w:bottom w:val="single" w:sz="4" w:color="D8D5CB"/>
            </w:tcBorders>
          </w:tcPr>
          <w:p>
            <w:pPr>
              <w:jc w:val="right"/>
            </w:pPr>
            <w:r>
              <w:rPr>
                <w:rFonts w:ascii="Consolas" w:hAnsi="Consolas"/>
                <w:b w:val="0"/>
                <w:color w:val="46443E"/>
                <w:sz w:val="20"/>
              </w:rPr>
              <w:t>42,2%</w:t>
            </w:r>
          </w:p>
        </w:tc>
        <w:tc>
          <w:tcPr>
            <w:tcW w:type="dxa" w:w="2266"/>
            <w:tcBorders>
              <w:bottom w:val="single" w:sz="4" w:color="D8D5CB"/>
            </w:tcBorders>
          </w:tcPr>
          <w:p>
            <w:pPr>
              <w:jc w:val="right"/>
            </w:pPr>
            <w:r>
              <w:rPr>
                <w:rFonts w:ascii="Consolas" w:hAnsi="Consolas"/>
                <w:b w:val="0"/>
                <w:color w:val="46443E"/>
                <w:sz w:val="20"/>
              </w:rPr>
              <w:t>23,5%</w:t>
            </w:r>
          </w:p>
        </w:tc>
        <w:tc>
          <w:tcPr>
            <w:tcW w:type="dxa" w:w="2266"/>
            <w:tcBorders>
              <w:bottom w:val="single" w:sz="4" w:color="D8D5CB"/>
            </w:tcBorders>
          </w:tcPr>
          <w:p>
            <w:pPr>
              <w:jc w:val="right"/>
            </w:pPr>
            <w:r>
              <w:rPr>
                <w:rFonts w:ascii="Consolas" w:hAnsi="Consolas"/>
                <w:b w:val="0"/>
                <w:color w:val="46443E"/>
                <w:sz w:val="20"/>
              </w:rPr>
              <w:t>31,2%</w:t>
            </w:r>
          </w:p>
        </w:tc>
      </w:tr>
      <w:tr>
        <w:tc>
          <w:tcPr>
            <w:tcW w:type="dxa" w:w="2266"/>
            <w:tcBorders>
              <w:bottom w:val="single" w:sz="4" w:color="D8D5CB"/>
            </w:tcBorders>
          </w:tcPr>
          <w:p>
            <w:r>
              <w:rPr>
                <w:rFonts w:ascii="Consolas" w:hAnsi="Consolas"/>
                <w:b w:val="0"/>
                <w:color w:val="46443E"/>
                <w:sz w:val="20"/>
              </w:rPr>
              <w:t>Taxa de fechamento</w:t>
            </w:r>
          </w:p>
        </w:tc>
        <w:tc>
          <w:tcPr>
            <w:tcW w:type="dxa" w:w="2266"/>
            <w:tcBorders>
              <w:bottom w:val="single" w:sz="4" w:color="D8D5CB"/>
            </w:tcBorders>
          </w:tcPr>
          <w:p>
            <w:pPr>
              <w:jc w:val="right"/>
            </w:pPr>
            <w:r>
              <w:rPr>
                <w:rFonts w:ascii="Consolas" w:hAnsi="Consolas"/>
                <w:b w:val="0"/>
                <w:color w:val="46443E"/>
                <w:sz w:val="20"/>
              </w:rPr>
              <w:t>12,1%</w:t>
            </w:r>
          </w:p>
        </w:tc>
        <w:tc>
          <w:tcPr>
            <w:tcW w:type="dxa" w:w="2266"/>
            <w:tcBorders>
              <w:bottom w:val="single" w:sz="4" w:color="D8D5CB"/>
            </w:tcBorders>
          </w:tcPr>
          <w:p>
            <w:pPr>
              <w:jc w:val="right"/>
            </w:pPr>
            <w:r>
              <w:rPr>
                <w:rFonts w:ascii="Consolas" w:hAnsi="Consolas"/>
                <w:b w:val="0"/>
                <w:color w:val="46443E"/>
                <w:sz w:val="20"/>
              </w:rPr>
              <w:t>14,5%</w:t>
            </w:r>
          </w:p>
        </w:tc>
        <w:tc>
          <w:tcPr>
            <w:tcW w:type="dxa" w:w="2266"/>
            <w:tcBorders>
              <w:bottom w:val="single" w:sz="4" w:color="D8D5CB"/>
            </w:tcBorders>
          </w:tcPr>
          <w:p>
            <w:pPr>
              <w:jc w:val="right"/>
            </w:pPr>
            <w:r>
              <w:rPr>
                <w:rFonts w:ascii="Consolas" w:hAnsi="Consolas"/>
                <w:b w:val="0"/>
                <w:color w:val="46443E"/>
                <w:sz w:val="20"/>
              </w:rPr>
              <w:t>12,6%</w:t>
            </w:r>
          </w:p>
        </w:tc>
      </w:tr>
      <w:tr>
        <w:tc>
          <w:tcPr>
            <w:tcW w:type="dxa" w:w="2266"/>
            <w:tcBorders>
              <w:bottom w:val="single" w:sz="4" w:color="D8D5CB"/>
            </w:tcBorders>
          </w:tcPr>
          <w:p>
            <w:r>
              <w:rPr>
                <w:rFonts w:ascii="Consolas" w:hAnsi="Consolas"/>
                <w:b w:val="0"/>
                <w:color w:val="46443E"/>
                <w:sz w:val="20"/>
              </w:rPr>
              <w:t>Valor potencial perdido/mês</w:t>
            </w:r>
          </w:p>
        </w:tc>
        <w:tc>
          <w:tcPr>
            <w:tcW w:type="dxa" w:w="2266"/>
            <w:tcBorders>
              <w:bottom w:val="single" w:sz="4" w:color="D8D5CB"/>
            </w:tcBorders>
          </w:tcPr>
          <w:p>
            <w:pPr>
              <w:jc w:val="right"/>
            </w:pPr>
            <w:r>
              <w:rPr>
                <w:rFonts w:ascii="Consolas" w:hAnsi="Consolas"/>
                <w:b w:val="0"/>
                <w:color w:val="46443E"/>
                <w:sz w:val="20"/>
              </w:rPr>
              <w:t>R$860k</w:t>
            </w:r>
          </w:p>
        </w:tc>
        <w:tc>
          <w:tcPr>
            <w:tcW w:type="dxa" w:w="2266"/>
            <w:tcBorders>
              <w:bottom w:val="single" w:sz="4" w:color="D8D5CB"/>
            </w:tcBorders>
          </w:tcPr>
          <w:p>
            <w:pPr>
              <w:jc w:val="right"/>
            </w:pPr>
            <w:r>
              <w:rPr>
                <w:rFonts w:ascii="Consolas" w:hAnsi="Consolas"/>
                <w:b w:val="0"/>
                <w:color w:val="46443E"/>
                <w:sz w:val="20"/>
              </w:rPr>
              <w:t>R$1.530k</w:t>
            </w:r>
          </w:p>
        </w:tc>
        <w:tc>
          <w:tcPr>
            <w:tcW w:type="dxa" w:w="2266"/>
            <w:tcBorders>
              <w:bottom w:val="single" w:sz="4" w:color="D8D5CB"/>
            </w:tcBorders>
          </w:tcPr>
          <w:p>
            <w:pPr>
              <w:jc w:val="right"/>
            </w:pPr>
            <w:r>
              <w:rPr>
                <w:rFonts w:ascii="Consolas" w:hAnsi="Consolas"/>
                <w:b w:val="0"/>
                <w:color w:val="46443E"/>
                <w:sz w:val="20"/>
              </w:rPr>
              <w:t>R$525k</w:t>
            </w:r>
          </w:p>
        </w:tc>
      </w:tr>
    </w:tbl>
    <w:p>
      <w:pPr>
        <w:spacing w:after="80"/>
      </w:pPr>
    </w:p>
    <w:p>
      <w:r>
        <w:rPr>
          <w:i/>
          <w:color w:val="46443E"/>
          <w:sz w:val="19"/>
        </w:rPr>
        <w:t>Julho tem cobertura de dado incompleta (62,5%) — números daquele mês são indicativos, não comparáveis 1:1.</w:t>
      </w:r>
    </w:p>
    <w:p>
      <w:r>
        <w:rPr>
          <w:b w:val="0"/>
        </w:rPr>
        <w:t xml:space="preserve">Dois padrões se repetem nos três meses e já podem ser tratados como consistentes, não como ruído de amostra: ligações com técnica Challenger de </w:t>
      </w:r>
      <w:r>
        <w:rPr>
          <w:b/>
        </w:rPr>
        <w:t>alta qualidade</w:t>
      </w:r>
      <w:r>
        <w:rPr>
          <w:b w:val="0"/>
        </w:rPr>
        <w:t xml:space="preserve"> fecham quase 2× mais que as de baixa qualidade; e fechamento por </w:t>
      </w:r>
      <w:r>
        <w:rPr>
          <w:b/>
        </w:rPr>
        <w:t>compromisso duplo</w:t>
      </w:r>
      <w:r>
        <w:rPr>
          <w:b w:val="0"/>
        </w:rPr>
        <w:t xml:space="preserve"> (vendedor e cliente assumem prazo juntos) converte cerca de 2× mais que o "convite genérico" de encerramento — que ainda é como a maioria das ligações termina hoje.</w:t>
      </w:r>
    </w:p>
    <w:p>
      <w:pPr>
        <w:spacing w:before="360" w:after="160"/>
        <w:pBdr>
          <w:bottom w:val="single" w:sz="4" w:color="D8D5CB"/>
        </w:pBdr>
      </w:pPr>
      <w:r>
        <w:rPr>
          <w:rFonts w:ascii="Calibri" w:hAnsi="Calibri"/>
          <w:b/>
          <w:color w:val="1C1C1A"/>
          <w:sz w:val="20"/>
        </w:rPr>
        <w:t xml:space="preserve">3.  </w:t>
      </w:r>
      <w:r>
        <w:rPr>
          <w:rFonts w:ascii="Calibri" w:hAnsi="Calibri"/>
          <w:b/>
          <w:color w:val="807D73"/>
          <w:sz w:val="20"/>
        </w:rPr>
        <w:t>DESTAQUE DO MÊS — LOCAÇÃO ELEITORAL</w:t>
      </w:r>
    </w:p>
    <w:p>
      <w:r>
        <w:rPr>
          <w:b w:val="0"/>
        </w:rPr>
        <w:t xml:space="preserve">Fora do escopo padrão do framework, identificamos que </w:t>
      </w:r>
      <w:r>
        <w:rPr>
          <w:b/>
        </w:rPr>
        <w:t>1.093</w:t>
      </w:r>
      <w:r>
        <w:rPr>
          <w:b w:val="0"/>
        </w:rPr>
        <w:t xml:space="preserve"> ligações de agosto (11,3% da base) envolvem locação de frota para a campanha eleitoral de outubro. É o segmento com maior proporção de intenção real de compra de toda a base (64,0% vs 27,0% do resto) — mas fecha a apenas </w:t>
      </w:r>
      <w:r>
        <w:rPr>
          <w:b/>
        </w:rPr>
        <w:t>6,7%</w:t>
      </w:r>
      <w:r>
        <w:rPr>
          <w:b w:val="0"/>
        </w:rPr>
        <w:t>, contra 14,4% no restante da base.</w:t>
      </w:r>
    </w:p>
    <w:p>
      <w:r>
        <w:t>A causa não está na condução da ligação: indicadores de processo (abertura contextualizada, próximo passo definido, prazo combinado) estão todos acima da média nesse segmento. O gargalo identificado é administrativo — a esteira de aprovação de crédito não foi desenhada para o perfil de CNPJ recém-criado de comitês e candidaturas, e o pico de demanda (10 a 21/08, coincidindo com o prazo de registro de candidatura) converteu 5,6× pior que o período seguinte, quando o volume normalizou.</w:t>
      </w:r>
    </w:p>
    <w:p>
      <w:r>
        <w:t>Concorrência agrava o quadro: quando o cliente sinaliza que está cotando com outro fornecedor — a Movida é a mais citada nominalmente — a conversão cai para 1,5%, o pior número identificado em toda a base de agosto.</w:t>
      </w:r>
    </w:p>
    <w:p>
      <w:pPr>
        <w:spacing w:before="360" w:after="160"/>
        <w:pBdr>
          <w:bottom w:val="single" w:sz="4" w:color="D8D5CB"/>
        </w:pBdr>
      </w:pPr>
      <w:r>
        <w:rPr>
          <w:rFonts w:ascii="Calibri" w:hAnsi="Calibri"/>
          <w:b/>
          <w:color w:val="1C1C1A"/>
          <w:sz w:val="20"/>
        </w:rPr>
        <w:t xml:space="preserve">4.  </w:t>
      </w:r>
      <w:r>
        <w:rPr>
          <w:rFonts w:ascii="Calibri" w:hAnsi="Calibri"/>
          <w:b/>
          <w:color w:val="807D73"/>
          <w:sz w:val="20"/>
        </w:rPr>
        <w:t>PONTO DE ATENÇÃO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fill="F1E1DE"/>
            <w:tcBorders>
              <w:top w:val="single" w:sz="4" w:color="8B2E2E"/>
              <w:bottom w:val="single" w:sz="4" w:color="8B2E2E"/>
              <w:left w:val="single" w:sz="16" w:color="8B2E2E"/>
              <w:right w:val="single" w:sz="4" w:color="8B2E2E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8B2E2E"/>
                <w:sz w:val="18"/>
              </w:rPr>
              <w:t>PROBLEMA RELATADO, SEM RASTRO</w:t>
            </w:r>
          </w:p>
          <w:p>
            <w:pPr>
              <w:spacing w:after="120"/>
            </w:pPr>
            <w:r>
              <w:rPr>
                <w:b w:val="0"/>
                <w:sz w:val="21"/>
              </w:rPr>
              <w:t xml:space="preserve">Em 22,7% das ligações o cliente relata um problema explícito. Desses, </w:t>
            </w:r>
            <w:r>
              <w:rPr>
                <w:b/>
                <w:sz w:val="21"/>
              </w:rPr>
              <w:t>61,7% não são resolvidos na própria ligação</w:t>
            </w:r>
            <w:r>
              <w:rPr>
                <w:b w:val="0"/>
                <w:sz w:val="21"/>
              </w:rPr>
              <w:t xml:space="preserve">, e </w:t>
            </w:r>
            <w:r>
              <w:rPr>
                <w:b/>
                <w:sz w:val="21"/>
              </w:rPr>
              <w:t>93,5% não escalam para nenhuma área</w:t>
            </w:r>
            <w:r>
              <w:rPr>
                <w:b w:val="0"/>
                <w:sz w:val="21"/>
              </w:rPr>
              <w:t xml:space="preserve"> — o problema simplesmente deixa de ser rastreado. Isso vale tanto para a base geral quanto, de forma mais aguda, para a frente eleitoral, onde quase metade dos problemas relatados nem tem código de classificação próprio.</w:t>
            </w:r>
          </w:p>
        </w:tc>
      </w:tr>
    </w:tbl>
    <w:p>
      <w:pPr>
        <w:spacing w:after="80"/>
      </w:pPr>
    </w:p>
    <w:p>
      <w:pPr>
        <w:spacing w:before="360" w:after="160"/>
        <w:pBdr>
          <w:bottom w:val="single" w:sz="4" w:color="D8D5CB"/>
        </w:pBdr>
      </w:pPr>
      <w:r>
        <w:rPr>
          <w:rFonts w:ascii="Calibri" w:hAnsi="Calibri"/>
          <w:b/>
          <w:color w:val="1C1C1A"/>
          <w:sz w:val="20"/>
        </w:rPr>
        <w:t xml:space="preserve">5.  </w:t>
      </w:r>
      <w:r>
        <w:rPr>
          <w:rFonts w:ascii="Calibri" w:hAnsi="Calibri"/>
          <w:b/>
          <w:color w:val="807D73"/>
          <w:sz w:val="20"/>
        </w:rPr>
        <w:t>PEDIDO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tcBorders>
              <w:top w:val="single" w:sz="12" w:color="1C1C1A"/>
              <w:bottom w:val="single" w:sz="12" w:color="1C1C1A"/>
              <w:left w:val="single" w:sz="12" w:color="1C1C1A"/>
              <w:right w:val="single" w:sz="12" w:color="1C1C1A"/>
            </w:tcBorders>
          </w:tcPr>
          <w:p>
            <w:pPr>
              <w:spacing w:after="160"/>
            </w:pPr>
            <w:r>
              <w:rPr>
                <w:rFonts w:ascii="Calibri" w:hAnsi="Calibri"/>
                <w:b/>
                <w:color w:val="807D73"/>
                <w:sz w:val="18"/>
              </w:rPr>
              <w:t>DECISÕES QUE PRECISAMOS DA DIRETORIA</w:t>
            </w:r>
          </w:p>
          <w:p>
            <w:pPr>
              <w:spacing w:after="160"/>
            </w:pPr>
            <w:r>
              <w:rPr>
                <w:b/>
              </w:rPr>
              <w:t xml:space="preserve">1.  </w:t>
            </w:r>
            <w:r>
              <w:rPr>
                <w:b/>
                <w:sz w:val="21"/>
              </w:rPr>
              <w:t>Aporte de orçamento (~US$20-25)</w:t>
            </w:r>
            <w:r>
              <w:rPr>
                <w:b w:val="0"/>
                <w:sz w:val="21"/>
              </w:rPr>
              <w:t xml:space="preserve"> para fechar os 6 prompts do framework ainda não rodados — hoje restam US$3,86 do teto de US$30 já aprovado.</w:t>
            </w:r>
          </w:p>
          <w:p>
            <w:pPr>
              <w:spacing w:after="160"/>
            </w:pPr>
            <w:r>
              <w:rPr>
                <w:b/>
              </w:rPr>
              <w:t xml:space="preserve">2.  </w:t>
            </w:r>
            <w:r>
              <w:rPr>
                <w:b/>
                <w:sz w:val="21"/>
              </w:rPr>
              <w:t>Um dono formal por frente</w:t>
            </w:r>
            <w:r>
              <w:rPr>
                <w:b w:val="0"/>
                <w:sz w:val="21"/>
              </w:rPr>
              <w:t xml:space="preserve"> (Comercial, Produto, Inteligência de Mercado, Governança, Locação Eleitoral) disposto a transformar achado em ação — sem isso o programa continua produzindo dado sem produzir mudança.</w:t>
            </w:r>
          </w:p>
          <w:p>
            <w:pPr>
              <w:spacing w:after="160"/>
            </w:pPr>
            <w:r>
              <w:rPr>
                <w:b/>
              </w:rPr>
              <w:t xml:space="preserve">3.  </w:t>
            </w:r>
            <w:r>
              <w:rPr>
                <w:b/>
                <w:sz w:val="21"/>
              </w:rPr>
              <w:t>Aval para abrir um código de problema dedicado</w:t>
            </w:r>
            <w:r>
              <w:rPr>
                <w:b w:val="0"/>
                <w:sz w:val="21"/>
              </w:rPr>
              <w:t xml:space="preserve"> à locação eleitoral, hoje perdido dentro da categoria genérica "Outro" — preserva o aprendizado desta eleição para a próxima janela, em 2028.</w:t>
            </w:r>
          </w:p>
        </w:tc>
      </w:tr>
    </w:tbl>
    <w:p>
      <w:pPr>
        <w:spacing w:after="80"/>
      </w:pPr>
    </w:p>
    <w:p>
      <w:pPr>
        <w:spacing w:before="360" w:after="160"/>
        <w:pBdr>
          <w:bottom w:val="single" w:sz="4" w:color="D8D5CB"/>
        </w:pBdr>
      </w:pPr>
      <w:r>
        <w:rPr>
          <w:rFonts w:ascii="Calibri" w:hAnsi="Calibri"/>
          <w:b/>
          <w:color w:val="1C1C1A"/>
          <w:sz w:val="20"/>
        </w:rPr>
        <w:t xml:space="preserve">6.  </w:t>
      </w:r>
      <w:r>
        <w:rPr>
          <w:rFonts w:ascii="Calibri" w:hAnsi="Calibri"/>
          <w:b/>
          <w:color w:val="807D73"/>
          <w:sz w:val="20"/>
        </w:rPr>
        <w:t>PARA APROFUNDAR</w:t>
      </w:r>
    </w:p>
    <w:p>
      <w:pPr>
        <w:spacing w:after="80"/>
      </w:pPr>
      <w:r>
        <w:rPr>
          <w:rFonts w:ascii="Consolas" w:hAnsi="Consolas"/>
          <w:color w:val="807D73"/>
          <w:sz w:val="18"/>
        </w:rPr>
        <w:t xml:space="preserve">01   </w:t>
      </w:r>
      <w:hyperlink r:id="rId9">
        <w:r>
          <w:rPr>
            <w:color w:val="1C1C1A"/>
            <w:u w:val="single"/>
          </w:rPr>
          <w:t>Roadmap Aletheia — as 5 frentes, status e plano de execução</w:t>
        </w:r>
      </w:hyperlink>
    </w:p>
    <w:p>
      <w:pPr>
        <w:spacing w:after="80"/>
      </w:pPr>
      <w:r>
        <w:rPr>
          <w:rFonts w:ascii="Consolas" w:hAnsi="Consolas"/>
          <w:color w:val="807D73"/>
          <w:sz w:val="18"/>
        </w:rPr>
        <w:t xml:space="preserve">02   </w:t>
      </w:r>
      <w:hyperlink r:id="rId10">
        <w:r>
          <w:rPr>
            <w:color w:val="1C1C1A"/>
            <w:u w:val="single"/>
          </w:rPr>
          <w:t>Árvore Aletheia — os 15 prompts, um a um, com time de destino</w:t>
        </w:r>
      </w:hyperlink>
    </w:p>
    <w:p>
      <w:pPr>
        <w:spacing w:after="80"/>
      </w:pPr>
      <w:r>
        <w:rPr>
          <w:rFonts w:ascii="Consolas" w:hAnsi="Consolas"/>
          <w:color w:val="807D73"/>
          <w:sz w:val="18"/>
        </w:rPr>
        <w:t xml:space="preserve">03   </w:t>
      </w:r>
      <w:hyperlink r:id="rId11">
        <w:r>
          <w:rPr>
            <w:color w:val="1C1C1A"/>
            <w:u w:val="single"/>
          </w:rPr>
          <w:t>Locação Eleitoral — diagnóstico completo, com foco em concorrência</w:t>
        </w:r>
      </w:hyperlink>
    </w:p>
    <w:p>
      <w:pPr>
        <w:spacing w:before="360"/>
      </w:pPr>
    </w:p>
    <w:p>
      <w:pPr>
        <w:spacing w:before="200"/>
        <w:pBdr>
          <w:top w:val="single" w:sz="4" w:color="D8D5CB"/>
        </w:pBdr>
      </w:pPr>
      <w:r>
        <w:rPr>
          <w:rFonts w:ascii="Calibri" w:hAnsi="Calibri"/>
          <w:color w:val="807D73"/>
          <w:sz w:val="18"/>
        </w:rPr>
        <w:t>CX · Programa Aletheia · próxima RMR: outubro/2026</w:t>
      </w:r>
    </w:p>
    <w:sectPr w:rsidR="00FC693F" w:rsidRPr="0006063C" w:rsidSect="00034616">
      <w:pgSz w:w="12240" w:h="15840"/>
      <w:pgMar w:top="1247" w:right="158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 w:line="324" w:lineRule="auto"/>
    </w:pPr>
    <w:rPr>
      <w:rFonts w:ascii="Georgia" w:hAnsi="Georgia"/>
      <w:color w:val="1C1C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laude.ai/code/artifact/35806b20-5589-4f36-bce7-d53fc4d59bf1" TargetMode="External"/><Relationship Id="rId10" Type="http://schemas.openxmlformats.org/officeDocument/2006/relationships/hyperlink" Target="https://claude.ai/code/artifact/1f3fc15a-c5a4-4cff-adc5-f03e8bf2ee5e" TargetMode="External"/><Relationship Id="rId11" Type="http://schemas.openxmlformats.org/officeDocument/2006/relationships/hyperlink" Target="https://claude.ai/code/artifact/a5818813-98ab-44de-9729-32b706f6c12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