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2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3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Como o software será utilizado por alunos do Centro Paula Souza, é fundamental que este requisito seja preenchido, pois de qualquer lugar e a qualquer momento o software deverá estar disponível, devendo ser de fácil implantação.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4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6" w:author="Eduardo Sakaue" w:date="2017-07-13T19:21:00Z"/>
          <w:b/>
          <w:b/>
          <w:bCs/>
          <w:sz w:val="32"/>
          <w:szCs w:val="32"/>
        </w:rPr>
      </w:pPr>
      <w:ins w:id="5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8" w:author="Eduardo Sakaue" w:date="2017-07-13T20:05:00Z"/>
          <w:b/>
          <w:b/>
          <w:bCs/>
          <w:sz w:val="32"/>
          <w:szCs w:val="32"/>
        </w:rPr>
      </w:pPr>
      <w:del w:id="7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contido o Banco de Dados Relacional Mysql 5.6, 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isto, o Haproxy utiliza do algoritmo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Round Robin, este algoritmo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tratar os servers como iguais, independente do numero de conexoes solicitadas, sempre redirecionando a proxima requisicao ao server seguinte, desta forma, todos servers terao o mesmo numero de conexoes.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trabalhara como um Proxy Reverso, recebendo todas requisicoes atraves da porta 80 e redirecionando internamente a porta 8080 destinada ao Tomcat que contem o mapskills-war. O balanceamento de carga utilizado e de camada 4 (camada de transporte) da tabela OSI, encaminhando o tráfego do usuário com base no alcance e na porta do IP, no caso definida como 80.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Além de controlar as requisições o Haproxy exibe tambem fornece um Dashboard para visualizacao dos servers, numeros de requisicoes com sucesso e falha, bem como saber em tempo real a quantidade de kbps que foi trafegada pela rede, conforme figura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acesso a esse Dashboard é necessário acessar a porta 1936.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separar o software mapskills dos aplicativos que iram realizar o gerenciamento da aplicação, foi necessário criar dois arquivos. Em um arquivo docker-compose será responsável por gerenciar as aplicações Jenkins, Cavisor e o Banco de Dados Mysql.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Este arquivo localizado no diretório /opt/mapskills/manager, é inicializado primeiro, pois desta forma a segunda parte poderá cair cair a qualquer momento que os dados pertinentes ao gerenciamento da aplicação, bem como a base de dados não serão perdidos.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Para que a segunda parte seja incializada, é necessário que a primeira esteja com todos serviços ativos. Neste arquivo docker-compose, serão inicializados os containers Mapkills-app, Mapskills-web e Mapkills-Haproxy. 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Links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Além de inicializar os serviços, o arquivo docker-compose.yml é responsavel por configurar como e com quem cada um dos containers irão se comunicar, bem como os volumes necessários para cada container.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link entre os containers  Mapskills-app e o Mapskills-Mysql, pois desta forma o back-end da aplicação poderá persistir, consultar deletar ou alterar qualquer informação no banco de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link entre o container Mapskills-app e Mapskills-web para que os dados inseridos na interface web seja trafegada para o back-end, e assim os dados sejam manipulados.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Volumes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que nenhum dado ou configuração seja perdido, foi utilizado o mapeamento de volumes. Onde cada container é responsável pelo seu volume e informação sensível ao serviço em que oferece.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Capitulo 4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RESULTADOS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Neste Capítulo serão apresentados os resultados obtidos com a implantação da aplicação. Ao total entre os meses de maio e atualmente aplicação foi testada por mais de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1400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alunos das instituições da FATEC São José dos Campos,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FATEC São Paulo, Fatec Araçatuba, Fatec Garça, Fatec Mogi Mirim, Fatec Pindamonhangaba e Fatec Jales.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Testes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1.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Servidor: Rede Interna e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Data Prevista: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01/08/2017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Horário: das 18h às 21h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150 alunos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Neste primeiro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teste foi necessário alterar  e configurar os containers Mapskills-web, Mapskills-app e Mapskills-Mysql poucas minutos antes dos alunos começarem a jogar a plataforma, pois foi necessário atualizar a aplicação com novas funcionalidades e requisitos.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Por conta da necessidade de reconfigurar todo ambiente, o jogo foi distribuido inicialmente na Rede Interna. 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Com todo ambiente configurado e a aplicação disponibilizada na Cloud Azure, os alunos puderam acessar o Ip externo e concluir o jogo.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Teste 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Servidor: Cloud Azure.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- Data Prevista: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Atualmente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- Quantidade de Alunos: mais de 1400.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Após a realização do primeiro teste, os serviços que compõe toda arquitetura não foram mais atualizados. Eles se mantém em produção até os dias de hoje.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ab/>
        <w:t>É feito um monitoramento semanal de toda arquitetura, e a mesma se mantém em execução a mais de 3 meses, atentendo a mais de 15 mil acessos a plataforma.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0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1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2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www.infoq.com/presentations/agile-infrastructure. InfoQ. 05 March&#160;2010" TargetMode="External"/><Relationship Id="rId11" Type="http://schemas.openxmlformats.org/officeDocument/2006/relationships/hyperlink" Target="http://www.infowester.com/cloudcomputing.php" TargetMode="External"/><Relationship Id="rId12" Type="http://schemas.openxmlformats.org/officeDocument/2006/relationships/header" Target="header1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Application>LibreOffice/5.1.6.2$Linux_X86_64 LibreOffice_project/10m0$Build-2</Application>
  <Pages>24</Pages>
  <Words>2783</Words>
  <Characters>16954</Characters>
  <CharactersWithSpaces>19751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2017-11-11T14:33:41Z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