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240" w:lineRule="auto"/>
        <w:jc w:val="center"/>
        <w:rPr/>
      </w:pPr>
      <w:r w:rsidDel="00000000" w:rsidR="00000000" w:rsidRPr="00000000">
        <w:rPr>
          <w:rFonts w:ascii="Arial" w:cs="Arial" w:eastAsia="Arial" w:hAnsi="Arial"/>
          <w:b w:val="1"/>
          <w:bCs w:val="1"/>
          <w:sz w:val="26"/>
          <w:szCs w:val="26"/>
          <w:u w:val="single"/>
          <w:rtl w:val="0"/>
        </w:rPr>
        <w:t xml:space="preserve">DECLARAÇÃO DE INEXISTÊNCIA DE FATO IMPEDITIVO</w:t>
      </w:r>
      <w:r w:rsidDel="00000000" w:rsidR="00000000" w:rsidRPr="00000000">
        <w:rPr>
          <w:rtl w:val="0"/>
        </w:rPr>
      </w:r>
    </w:p>
    <w:p w:rsidR="00000000" w:rsidDel="00000000" w:rsidP="00000000" w:rsidRDefault="00000000" w:rsidRPr="00000000" w14:paraId="00000002">
      <w:pPr>
        <w:spacing w:after="220" w:line="340" w:lineRule="auto"/>
        <w:jc w:val="both"/>
        <w:rPr/>
      </w:pPr>
      <w:r w:rsidDel="00000000" w:rsidR="00000000" w:rsidRPr="00000000">
        <w:rPr>
          <w:b w:val="1"/>
          <w:bCs w:val="1"/>
          <w:rtl w:val="0"/>
        </w:rPr>
        <w:t xml:space="preserve">{{nome_empresa}}</w:t>
      </w:r>
      <w:r w:rsidDel="00000000" w:rsidR="00000000" w:rsidRPr="00000000">
        <w:rPr>
          <w:rFonts w:ascii="Arial" w:cs="Arial" w:eastAsia="Arial" w:hAnsi="Arial"/>
          <w:b w:val="0"/>
          <w:bCs w:val="0"/>
          <w:i w:val="0"/>
          <w:iCs w:val="0"/>
          <w:sz w:val="23"/>
          <w:szCs w:val="23"/>
          <w:rtl w:val="0"/>
        </w:rPr>
        <w:t xml:space="preserve">, inscrita no CNPJ nº </w:t>
      </w:r>
      <w:r w:rsidDel="00000000" w:rsidR="00000000" w:rsidRPr="00000000">
        <w:rPr>
          <w:b w:val="1"/>
          <w:bCs w:val="1"/>
          <w:rtl w:val="0"/>
        </w:rPr>
        <w:t xml:space="preserve">{{cnpj}}</w:t>
      </w:r>
      <w:r w:rsidDel="00000000" w:rsidR="00000000" w:rsidRPr="00000000">
        <w:rPr>
          <w:rFonts w:ascii="Arial" w:cs="Arial" w:eastAsia="Arial" w:hAnsi="Arial"/>
          <w:b w:val="0"/>
          <w:bCs w:val="0"/>
          <w:i w:val="0"/>
          <w:iCs w:val="0"/>
          <w:sz w:val="23"/>
          <w:szCs w:val="23"/>
          <w:rtl w:val="0"/>
        </w:rPr>
        <w:t xml:space="preserve">, por intermédio de seu representante legal, o (a) Sr. (a) </w:t>
      </w:r>
      <w:r w:rsidDel="00000000" w:rsidR="00000000" w:rsidRPr="00000000">
        <w:rPr>
          <w:b w:val="1"/>
          <w:bCs w:val="1"/>
          <w:rtl w:val="0"/>
        </w:rPr>
        <w:t xml:space="preserve">{{responsavel}}</w:t>
      </w:r>
      <w:r w:rsidDel="00000000" w:rsidR="00000000" w:rsidRPr="00000000">
        <w:rPr>
          <w:rFonts w:ascii="Arial" w:cs="Arial" w:eastAsia="Arial" w:hAnsi="Arial"/>
          <w:b w:val="0"/>
          <w:bCs w:val="0"/>
          <w:i w:val="0"/>
          <w:iCs w:val="0"/>
          <w:sz w:val="23"/>
          <w:szCs w:val="23"/>
          <w:rtl w:val="0"/>
        </w:rPr>
        <w:t xml:space="preserve">, portador (a) da Carteira de Identidade nº </w:t>
      </w:r>
      <w:r w:rsidDel="00000000" w:rsidR="00000000" w:rsidRPr="00000000">
        <w:rPr>
          <w:b w:val="1"/>
          <w:bCs w:val="1"/>
          <w:rtl w:val="0"/>
        </w:rPr>
        <w:t xml:space="preserve">{{rg}}</w:t>
      </w:r>
      <w:r w:rsidDel="00000000" w:rsidR="00000000" w:rsidRPr="00000000">
        <w:rPr>
          <w:rFonts w:ascii="Arial" w:cs="Arial" w:eastAsia="Arial" w:hAnsi="Arial"/>
          <w:b w:val="0"/>
          <w:bCs w:val="0"/>
          <w:i w:val="0"/>
          <w:iCs w:val="0"/>
          <w:sz w:val="23"/>
          <w:szCs w:val="23"/>
          <w:rtl w:val="0"/>
        </w:rPr>
        <w:t xml:space="preserve"> e do CPF nº </w:t>
      </w:r>
      <w:r w:rsidDel="00000000" w:rsidR="00000000" w:rsidRPr="00000000">
        <w:rPr>
          <w:b w:val="1"/>
          <w:bCs w:val="1"/>
          <w:rtl w:val="0"/>
        </w:rPr>
        <w:t xml:space="preserve">{{cpf}}</w:t>
      </w:r>
      <w:r w:rsidDel="00000000" w:rsidR="00000000" w:rsidRPr="00000000">
        <w:rPr>
          <w:rFonts w:ascii="Arial" w:cs="Arial" w:eastAsia="Arial" w:hAnsi="Arial"/>
          <w:b w:val="0"/>
          <w:bCs w:val="0"/>
          <w:i w:val="0"/>
          <w:iCs w:val="0"/>
          <w:sz w:val="23"/>
          <w:szCs w:val="23"/>
          <w:rtl w:val="0"/>
        </w:rPr>
        <w:t xml:space="preserve">, DECLARA, para os devidos fins, que tem pleno conhecimento das regras contidas no edital de licitação e que possui as condições de habilitação previstas no edital, bem como:</w:t>
      </w:r>
      <w:r w:rsidDel="00000000" w:rsidR="00000000" w:rsidRPr="00000000">
        <w:rPr>
          <w:rtl w:val="0"/>
        </w:rPr>
      </w:r>
    </w:p>
    <w:p w:rsidR="00000000" w:rsidDel="00000000" w:rsidP="00000000" w:rsidRDefault="00000000" w:rsidRPr="00000000" w14:paraId="00000003">
      <w:pPr>
        <w:spacing w:after="140" w:line="340" w:lineRule="auto"/>
        <w:jc w:val="both"/>
        <w:rPr/>
      </w:pPr>
      <w:r w:rsidDel="00000000" w:rsidR="00000000" w:rsidRPr="00000000">
        <w:rPr>
          <w:rFonts w:ascii="Arial" w:cs="Arial" w:eastAsia="Arial" w:hAnsi="Arial"/>
          <w:b w:val="1"/>
          <w:bCs w:val="1"/>
          <w:i w:val="0"/>
          <w:iCs w:val="0"/>
          <w:sz w:val="23"/>
          <w:szCs w:val="23"/>
          <w:rtl w:val="0"/>
        </w:rPr>
        <w:t xml:space="preserve">1. INEXISTÊNCIA DE FATO IMPEDITIVO</w:t>
      </w:r>
      <w:r w:rsidDel="00000000" w:rsidR="00000000" w:rsidRPr="00000000">
        <w:rPr>
          <w:rFonts w:ascii="Arial" w:cs="Arial" w:eastAsia="Arial" w:hAnsi="Arial"/>
          <w:b w:val="0"/>
          <w:bCs w:val="0"/>
          <w:i w:val="0"/>
          <w:iCs w:val="0"/>
          <w:sz w:val="23"/>
          <w:szCs w:val="23"/>
          <w:rtl w:val="0"/>
        </w:rPr>
        <w:t xml:space="preserve"> que não se enquadra em nenhuma das vedações contidas no art. 14 e art. 9º, § 1º da Lei Federal nº 14.133/2021, em especial:</w:t>
      </w:r>
      <w:r w:rsidDel="00000000" w:rsidR="00000000" w:rsidRPr="00000000">
        <w:rPr>
          <w:rtl w:val="0"/>
        </w:rPr>
      </w:r>
    </w:p>
    <w:p w:rsidR="00000000" w:rsidDel="00000000" w:rsidP="00000000" w:rsidRDefault="00000000" w:rsidRPr="00000000" w14:paraId="00000004">
      <w:pPr>
        <w:spacing w:after="140" w:line="340" w:lineRule="auto"/>
        <w:ind w:left="440" w:firstLine="0"/>
        <w:jc w:val="both"/>
        <w:rPr/>
      </w:pPr>
      <w:r w:rsidDel="00000000" w:rsidR="00000000" w:rsidRPr="00000000">
        <w:rPr>
          <w:rFonts w:ascii="Arial" w:cs="Arial" w:eastAsia="Arial" w:hAnsi="Arial"/>
          <w:b w:val="0"/>
          <w:bCs w:val="0"/>
          <w:i w:val="0"/>
          <w:iCs w:val="0"/>
          <w:sz w:val="23"/>
          <w:szCs w:val="23"/>
          <w:rtl w:val="0"/>
        </w:rPr>
        <w:t xml:space="preserve">1.1. Não mantém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w:t>
      </w:r>
      <w:r w:rsidDel="00000000" w:rsidR="00000000" w:rsidRPr="00000000">
        <w:rPr>
          <w:rtl w:val="0"/>
        </w:rPr>
      </w:r>
    </w:p>
    <w:p w:rsidR="00000000" w:rsidDel="00000000" w:rsidP="00000000" w:rsidRDefault="00000000" w:rsidRPr="00000000" w14:paraId="00000005">
      <w:pPr>
        <w:spacing w:after="140" w:line="340" w:lineRule="auto"/>
        <w:ind w:left="440" w:firstLine="0"/>
        <w:jc w:val="both"/>
        <w:rPr/>
      </w:pPr>
      <w:r w:rsidDel="00000000" w:rsidR="00000000" w:rsidRPr="00000000">
        <w:rPr>
          <w:rFonts w:ascii="Arial" w:cs="Arial" w:eastAsia="Arial" w:hAnsi="Arial"/>
          <w:b w:val="0"/>
          <w:bCs w:val="0"/>
          <w:i w:val="0"/>
          <w:iCs w:val="0"/>
          <w:sz w:val="23"/>
          <w:szCs w:val="23"/>
          <w:rtl w:val="0"/>
        </w:rPr>
        <w:t xml:space="preserve">1.2. Nos 5 (cinco) anos anteriores à divulgação do edital, não foi condenado (a) judicialmente, com trânsito em julgado, por exploração de trabalho infantil, por submissão de trabalhadores a condições análogas às de escravo ou por contratação de adolescentes nos casos vedados pela legislação trabalhista.</w:t>
      </w:r>
      <w:r w:rsidDel="00000000" w:rsidR="00000000" w:rsidRPr="00000000">
        <w:rPr>
          <w:rtl w:val="0"/>
        </w:rPr>
      </w:r>
    </w:p>
    <w:p w:rsidR="00000000" w:rsidDel="00000000" w:rsidP="00000000" w:rsidRDefault="00000000" w:rsidRPr="00000000" w14:paraId="00000006">
      <w:pPr>
        <w:spacing w:after="200" w:line="340" w:lineRule="auto"/>
        <w:ind w:left="440" w:firstLine="0"/>
        <w:jc w:val="both"/>
        <w:rPr/>
      </w:pPr>
      <w:r w:rsidDel="00000000" w:rsidR="00000000" w:rsidRPr="00000000">
        <w:rPr>
          <w:rFonts w:ascii="Arial" w:cs="Arial" w:eastAsia="Arial" w:hAnsi="Arial"/>
          <w:b w:val="0"/>
          <w:bCs w:val="0"/>
          <w:i w:val="0"/>
          <w:iCs w:val="0"/>
          <w:sz w:val="23"/>
          <w:szCs w:val="23"/>
          <w:rtl w:val="0"/>
        </w:rPr>
        <w:t xml:space="preserve">1.3. Não poderá participar, direta ou indiretamente, da licitação ou da execução do contrato, agente público de órgão ou entidade licitante ou contratante, devendo ser observadas as situações que possam configurar conflito de interesses no exercício ou após o exercício do cargo ou emprego, nos termos da legislação que disciplina a matéria.</w:t>
      </w:r>
      <w:r w:rsidDel="00000000" w:rsidR="00000000" w:rsidRPr="00000000">
        <w:rPr>
          <w:rtl w:val="0"/>
        </w:rPr>
      </w:r>
    </w:p>
    <w:p w:rsidR="00000000" w:rsidDel="00000000" w:rsidP="00000000" w:rsidRDefault="00000000" w:rsidRPr="00000000" w14:paraId="00000007">
      <w:pPr>
        <w:spacing w:after="200" w:line="340" w:lineRule="auto"/>
        <w:ind w:left="440" w:firstLine="0"/>
        <w:jc w:val="both"/>
        <w:rPr/>
      </w:pPr>
      <w:r w:rsidDel="00000000" w:rsidR="00000000" w:rsidRPr="00000000">
        <w:rPr>
          <w:rFonts w:ascii="Arial" w:cs="Arial" w:eastAsia="Arial" w:hAnsi="Arial"/>
          <w:sz w:val="24"/>
          <w:szCs w:val="24"/>
          <w:rtl w:val="0"/>
        </w:rPr>
        <w:t xml:space="preserve">Mocajuba (PA), </w:t>
      </w:r>
      <w:r w:rsidDel="00000000" w:rsidR="00000000" w:rsidRPr="00000000">
        <w:rPr>
          <w:sz w:val="24"/>
          <w:szCs w:val="24"/>
          <w:rtl w:val="0"/>
        </w:rPr>
        <w:t xml:space="preserve">{{data}}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08">
      <w:pPr>
        <w:pBdr>
          <w:top w:color="000000" w:space="1" w:sz="6" w:val="single"/>
        </w:pBdr>
        <w:spacing w:after="80" w:before="900" w:lineRule="auto"/>
        <w:ind w:left="1600" w:right="1600" w:firstLine="0"/>
        <w:jc w:val="center"/>
        <w:rPr/>
      </w:pP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Arial" w:cs="Arial" w:eastAsia="Arial" w:hAnsi="Arial"/>
          <w:b w:val="1"/>
          <w:bCs w:val="1"/>
          <w:sz w:val="22"/>
          <w:szCs w:val="22"/>
          <w:rtl w:val="0"/>
        </w:rPr>
        <w:t xml:space="preserve">JOÃO VICTOR MAUÉS LOPES</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1"/>
          <w:bCs w:val="1"/>
          <w:sz w:val="22"/>
          <w:szCs w:val="22"/>
          <w:rtl w:val="0"/>
        </w:rPr>
        <w:t xml:space="preserve">CPF: 099.371.442-05</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Arial" w:cs="Arial" w:eastAsia="Arial" w:hAnsi="Arial"/>
          <w:sz w:val="22"/>
          <w:szCs w:val="22"/>
          <w:rtl w:val="0"/>
        </w:rPr>
        <w:t xml:space="preserve">Representante Legal</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rFonts w:ascii="Arial" w:cs="Arial" w:eastAsia="Arial" w:hAnsi="Arial"/>
          <w:b w:val="1"/>
          <w:bCs w:val="1"/>
          <w:sz w:val="22"/>
          <w:szCs w:val="22"/>
          <w:rtl w:val="0"/>
        </w:rPr>
        <w:t xml:space="preserve">SANTA LUZIA DISTRIBUIDORA LTDA</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Arial" w:cs="Arial" w:eastAsia="Arial" w:hAnsi="Arial"/>
          <w:b w:val="1"/>
          <w:bCs w:val="1"/>
          <w:sz w:val="22"/>
          <w:szCs w:val="22"/>
          <w:rtl w:val="0"/>
        </w:rPr>
        <w:t xml:space="preserve">CNPJ: 44.919.742/0001-90</w:t>
      </w:r>
      <w:r w:rsidDel="00000000" w:rsidR="00000000" w:rsidRPr="00000000">
        <w:rPr>
          <w:rtl w:val="0"/>
        </w:rPr>
      </w:r>
    </w:p>
    <w:sectPr>
      <w:headerReference r:id="rId7" w:type="default"/>
      <w:footerReference r:id="rId8" w:type="default"/>
      <w:pgSz w:h="16838" w:w="11906" w:orient="portrait"/>
      <w:pgMar w:bottom="1500" w:top="1500" w:left="17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Bdr>
        <w:top w:color="1f3864" w:space="1" w:sz="18" w:val="single"/>
      </w:pBdr>
      <w:spacing w:after="60" w:before="0" w:lineRule="auto"/>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Fonts w:ascii="Arial" w:cs="Arial" w:eastAsia="Arial" w:hAnsi="Arial"/>
        <w:color w:val="444444"/>
        <w:sz w:val="14"/>
        <w:szCs w:val="14"/>
        <w:rtl w:val="0"/>
      </w:rPr>
      <w:t xml:space="preserve">CNPJ: 44.919.742/0001-90     |     ENDEREÇO: TV. JURANDIR GUIMARÃES, 484 – MOCAJUBA – PA.     |     EMAIL: SANTALUZIADISTRIBUIDORALTDA@GMAIL.COM     |     FONE/WHATSAPP: (91) 98124-7782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spacing w:after="180" w:before="0" w:lineRule="auto"/>
      <w:rPr/>
    </w:pPr>
    <w:r w:rsidDel="00000000" w:rsidR="00000000" w:rsidRPr="00000000">
      <w:rPr/>
      <w:drawing>
        <wp:inline distB="0" distT="0" distL="0" distR="0">
          <wp:extent cx="1238250" cy="4857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bottom w:color="cccccc" w:space="1" w:sz="6" w:val="single"/>
      </w:pBdr>
      <w:spacing w:after="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ULHjCm7hxs9DbFQBmMSF49d8lw==">CgMxLjA4AHIhMXJTOWc4eFRyNENqX0wyd0V0UXpxQmNPY2JPLXFYQnZS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