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Rodrigo Teixeira</w:t>
      </w:r>
    </w:p>
    <w:p>
      <w:r>
        <w:t>Cientista de Dados</w:t>
      </w:r>
    </w:p>
    <w:p>
      <w:pPr>
        <w:pStyle w:val="Heading2"/>
      </w:pPr>
      <w:r>
        <w:t>Resumo Profissional</w:t>
      </w:r>
    </w:p>
    <w:p>
      <w:r>
        <w:t>Cientista de dados com foco em modelos preditivos e machine learning aplicados a churn e crédito.</w:t>
      </w:r>
    </w:p>
    <w:p>
      <w:pPr>
        <w:pStyle w:val="Heading2"/>
      </w:pPr>
      <w:r>
        <w:t>Experiência Profissional</w:t>
      </w:r>
    </w:p>
    <w:p>
      <w:pPr>
        <w:pStyle w:val="ListBullet"/>
      </w:pPr>
      <w:r>
        <w:t>Cientista de Dados Pleno — Banco Regional Confiança (2022–2026): modelos de previsão de inadimplência com scikit-learn e XGBoost.</w:t>
      </w:r>
    </w:p>
    <w:p>
      <w:pPr>
        <w:pStyle w:val="ListBullet"/>
      </w:pPr>
      <w:r>
        <w:t>Analista de Dados — Varejo Popular S.A. (2020–2022): segmentação de clientes e modelos de propensão à compra.</w:t>
      </w:r>
    </w:p>
    <w:p>
      <w:pPr>
        <w:pStyle w:val="Heading2"/>
      </w:pPr>
      <w:r>
        <w:t>Formação Acadêmica</w:t>
      </w:r>
    </w:p>
    <w:p>
      <w:r>
        <w:t>Bacharelado em Estatística — Universidade Estadual de Campinas (2015–2019). Mestrado em Ciência de Dados — Unicamp (2019–2021).</w:t>
      </w:r>
    </w:p>
    <w:p>
      <w:pPr>
        <w:pStyle w:val="Heading2"/>
      </w:pPr>
      <w:r>
        <w:t>Habilidades</w:t>
      </w:r>
    </w:p>
    <w:p>
      <w:r>
        <w:t>Python, scikit-learn, XGBoost, SQL, machine learning, estatística, Power BI.</w:t>
      </w:r>
    </w:p>
    <w:p>
      <w:pPr>
        <w:pStyle w:val="Heading2"/>
      </w:pPr>
      <w:r>
        <w:t>Idiomas</w:t>
      </w:r>
    </w:p>
    <w:p>
      <w:r>
        <w:t>Português (nativo), Inglês (avançado).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