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PREFEITURA MUNICIPAL DE SÃO JOÃO DO IVAÍ / PR — PREGÃO ELETRÔNICO Nº 51/2026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0F172A"/>
          <w:sz w:val="32"/>
          <w:szCs w:val="32"/>
        </w:rPr>
        <w:t xml:space="preserve">Guia Mestre de Testes &amp; Apresentação da POC (Prova de Conceito)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0F766E" w:sz="24"/>
              <w:bottom w:val="none"/>
              <w:right w:val="none"/>
            </w:tcBorders>
            <w:shd w:fill="ECFDF5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766E"/>
                <w:sz w:val="20"/>
                <w:szCs w:val="20"/>
              </w:rPr>
              <w:t xml:space="preserve">🎯 Como usar este guia para não se atrapalhar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Este roteiro foi desenhado para ser o seu navegador passo a passo durante a sessão ao vivo com a comissão avaliadora. Ele contém exatamente: onde clicar, o que preencher, o que esperar na tela, a evidência a demonstrar e o que falar em cada etapa. Siga rigorosamente a ordem numérica de 1 a 9.</w:t>
            </w:r>
          </w:p>
        </w:tc>
      </w:tr>
    </w:tbl>
    <w:p>
      <w:pPr>
        <w:spacing w:after="60" w:before="100"/>
      </w:pPr>
    </w:p>
    <w:p>
      <w:pPr>
        <w:pStyle w:val="Heading1"/>
        <w:spacing w:after="140" w:before="340"/>
      </w:pPr>
      <w:r>
        <w:t xml:space="preserve">1. Checklist de Pré-Voo (15 Minutos Antes da Chamada)</w:t>
      </w: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1. Checklist de Pré-Voo (15 Minutos Antes da Chamada)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1. Ambiente Web: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Abra o navegador em modo anônimo limpo e acesse a URL oficial do CeleriFlow (com HTTPS ativo).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2. Credenciais: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Tenha em mãos os 3 logins da comissão com as senhas temporárias validadas.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3. Integração Bancária: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Verifique que o Banco Virtual Robonuvem está ativo em modo SANDBOX com o período de agosto/2025.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4. Segurança: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Certifique-se de que nenhuma sessão com senha de administrador geral está aberta na tela de projeção.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5. Apoio Operacional: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Deixe este roteiro aberto em uma segunda tela para acompanhar as etapas e valores.</w:t>
      </w:r>
    </w:p>
    <w:p>
      <w:pPr>
        <w:pStyle w:val="Heading1"/>
        <w:spacing w:after="140" w:before="340"/>
      </w:pPr>
      <w:r>
        <w:t xml:space="preserve">2. Matriz de Acessos da Comissão Avaliadora</w:t>
      </w: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2. Matriz de Acessos da Comissão Avaliadora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Comissão</w:t>
            </w:r>
          </w:p>
        </w:tc>
        <w:tc>
          <w:tcPr>
            <w:tcW w:type="pct" w:w="36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Login de Acesso</w:t>
            </w:r>
          </w:p>
        </w:tc>
        <w:tc>
          <w:tcPr>
            <w:tcW w:type="pct" w:w="36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Perfil Provisionado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Comissão TI</w:t>
            </w:r>
          </w:p>
        </w:tc>
        <w:tc>
          <w:tcPr>
            <w:tcW w:type="pct" w:w="36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F766E"/>
                <w:sz w:val="18"/>
                <w:szCs w:val="18"/>
              </w:rPr>
              <w:t xml:space="preserve">adminteste@email.com</w:t>
            </w:r>
          </w:p>
        </w:tc>
        <w:tc>
          <w:tcPr>
            <w:tcW w:type="pct" w:w="36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POC Avaliador Técnico de TI (UG 0101)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Comissão Administrativo-Financeira</w:t>
            </w:r>
          </w:p>
        </w:tc>
        <w:tc>
          <w:tcPr>
            <w:tcW w:type="pct" w:w="36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F766E"/>
                <w:sz w:val="18"/>
                <w:szCs w:val="18"/>
              </w:rPr>
              <w:t xml:space="preserve">gestao1@email.com</w:t>
            </w:r>
          </w:p>
        </w:tc>
        <w:tc>
          <w:tcPr>
            <w:tcW w:type="pct" w:w="36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POC Avaliador Administrativo-Financeiro (UG 0101)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Comissão Contábil</w:t>
            </w:r>
          </w:p>
        </w:tc>
        <w:tc>
          <w:tcPr>
            <w:tcW w:type="pct" w:w="36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F766E"/>
                <w:sz w:val="18"/>
                <w:szCs w:val="18"/>
              </w:rPr>
              <w:t xml:space="preserve">contadorteste@email.com</w:t>
            </w:r>
          </w:p>
        </w:tc>
        <w:tc>
          <w:tcPr>
            <w:tcW w:type="pct" w:w="36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POC Avaliador Contábil (UG 0101)</w:t>
            </w:r>
          </w:p>
        </w:tc>
      </w:tr>
    </w:tbl>
    <w:p>
      <w:pPr>
        <w:pStyle w:val="Heading1"/>
        <w:spacing w:after="140" w:before="340"/>
      </w:pPr>
      <w:r>
        <w:t xml:space="preserve">3. Tabela de Valores de Referência (Dados dos Testes)</w:t>
      </w: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3. Tabela de Valores de Referência (Dados dos Testes)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Cenário de Teste</w:t>
            </w:r>
          </w:p>
        </w:tc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Conta Bancária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Período / Data</w:t>
            </w:r>
          </w:p>
        </w:tc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Valor / Detalhe Esperado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Receitas Constitucionais</w:t>
            </w:r>
          </w:p>
        </w:tc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F766E"/>
                <w:sz w:val="18"/>
                <w:szCs w:val="18"/>
              </w:rPr>
              <w:t xml:space="preserve">20001-1 (Agência 0001)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01/08/2025 a 31/08/2025</w:t>
            </w:r>
          </w:p>
        </w:tc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FPM: R$ 145.000,00 | FUNDEB: R$ 98.400,00
IPVA: R$ 15.500,00 | ICMS: R$ 53.800,00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Aplicação Financeira</w:t>
            </w:r>
          </w:p>
        </w:tc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F766E"/>
                <w:sz w:val="18"/>
                <w:szCs w:val="18"/>
              </w:rPr>
              <w:t xml:space="preserve">10001-0 (Agência 0001)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11/05/2026</w:t>
            </w:r>
          </w:p>
        </w:tc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R$ 80.000,00 (Débito Aplicação)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Resgate Financeiro</w:t>
            </w:r>
          </w:p>
        </w:tc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F766E"/>
                <w:sz w:val="18"/>
                <w:szCs w:val="18"/>
              </w:rPr>
              <w:t xml:space="preserve">90001-4 (Agência 0001)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27/05/2026</w:t>
            </w:r>
          </w:p>
        </w:tc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R$ 150.000,00 (Crédito Resgate)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Rendimento de Aplicação</w:t>
            </w:r>
          </w:p>
        </w:tc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F766E"/>
                <w:sz w:val="18"/>
                <w:szCs w:val="18"/>
              </w:rPr>
              <w:t xml:space="preserve">90001-4 (Agência 0001)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Agosto de 2025</w:t>
            </w:r>
          </w:p>
        </w:tc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R$ 4.400,00 (Bruto, com cálculo de IR/IOF)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Conciliação Bancária</w:t>
            </w:r>
          </w:p>
        </w:tc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F766E"/>
                <w:sz w:val="18"/>
                <w:szCs w:val="18"/>
              </w:rPr>
              <w:t xml:space="preserve">20001-1 (Agência 0001)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2025-08</w:t>
            </w:r>
          </w:p>
        </w:tc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Saldo Inicial: R$ 150.000,00 | Razão: Calculado
Diferença: R$ 0,00 (9 Regras)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Falha Controlada (Exceção)</w:t>
            </w:r>
          </w:p>
        </w:tc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F766E"/>
                <w:sz w:val="18"/>
                <w:szCs w:val="18"/>
              </w:rPr>
              <w:t xml:space="preserve">Conta consultada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UNRECOGNIZED_TRANSACTION</w:t>
            </w:r>
          </w:p>
        </w:tc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R$ 999,99 (Fila de Exceções)</w:t>
            </w:r>
          </w:p>
        </w:tc>
      </w:tr>
    </w:tbl>
    <w:p>
      <w:pPr>
        <w:pStyle w:val="Heading1"/>
        <w:spacing w:after="140" w:before="340"/>
      </w:pPr>
      <w:r>
        <w:t xml:space="preserve">4. Passo a Passo Completo de Execução &amp; Apresentação</w:t>
      </w: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4. Passo a Passo Completo de Execução &amp; Apresentação</w:t>
      </w:r>
    </w:p>
    <w:p>
      <w:pPr>
        <w:pStyle w:val="Heading2"/>
        <w:spacing w:after="100" w:before="240"/>
      </w:pPr>
      <w:r>
        <w:t xml:space="preserve">ETAPA 1 — Tela Inicial e Navegação (Item 3.1.1 a.1 / CT-01)</w:t>
      </w:r>
      <w:r>
        <w:rPr>
          <w:rFonts w:ascii="Calibri" w:cs="Calibri" w:eastAsia="Calibri" w:hAnsi="Calibri"/>
          <w:b/>
          <w:bCs/>
          <w:color w:val="0F172A"/>
          <w:sz w:val="23"/>
          <w:szCs w:val="23"/>
        </w:rPr>
        <w:t xml:space="preserve">ETAPA 1 — Tela Inicial e Navegação (Item 3.1.1 a.1 / CT-01)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1.1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Acessar a URL da POC e Efetuar Login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Abra a página inicial no navegador e entre com a credencial 'adminteste@email.com'.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"Senhores avaliadores, estamos acessando a plataforma 100% web do CeleriFlow através de conexão segura HTTPS com login individual."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1.2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Demonstrar a Tela Inicial (Home) e os Menus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Mostre o título 'Home', o cabeçalho de boas-vindas e a presença das opções 'Home' e 'Automações' no menu superior/lateral.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"Vejam que a interface é limpa e intuitiva, apresentando imediatamente as opções de Home e Catálogo de Automações, conforme exigido no item CT-01."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1.3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Navegar entre Home e Automações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Clique em 'Automações', aguarde a tela carregar sem erros no console, e clique em 'Home' para retornar.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"A navegação ocorre de forma instantânea e fluida, sem falhas ou lentidão."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0F766E" w:sz="24"/>
              <w:bottom w:val="none"/>
              <w:right w:val="none"/>
            </w:tcBorders>
            <w:shd w:fill="ECFDF5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766E"/>
                <w:sz w:val="20"/>
                <w:szCs w:val="20"/>
              </w:rPr>
              <w:t xml:space="preserve">Evidência a Registrar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Item CT-01 atendido: Interface web simples, opção de Home e Automações, navegação 100% funcional.</w:t>
            </w:r>
          </w:p>
        </w:tc>
      </w:tr>
    </w:tbl>
    <w:p>
      <w:pPr>
        <w:pStyle w:val="Heading2"/>
        <w:spacing w:after="100" w:before="240"/>
      </w:pPr>
      <w:r>
        <w:t xml:space="preserve">ETAPA 2 — Controle de Acesso, Perfis e Segurança (Item 3.1.1 a.2 / CT-02)</w:t>
      </w:r>
      <w:r>
        <w:rPr>
          <w:rFonts w:ascii="Calibri" w:cs="Calibri" w:eastAsia="Calibri" w:hAnsi="Calibri"/>
          <w:b/>
          <w:bCs/>
          <w:color w:val="0F172A"/>
          <w:sz w:val="23"/>
          <w:szCs w:val="23"/>
        </w:rPr>
        <w:t xml:space="preserve">ETAPA 2 — Controle de Acesso, Perfis e Segurança (Item 3.1.1 a.2 / CT-02)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2.1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Demonstrar Sessão Individual por Perfil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Mostre o perfil do usuário logado no canto superior direito ('POC Avaliador Técnico de TI').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"Cada membro da comissão possui acesso individualizado e rastreado."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2.2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Demonstrar Bloqueio de Rota Não Autenticada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Abra uma janela anônima e tente colar a URL '/financeiro/conciliacao-bancaria'. Mostre que o sistema bloqueia o acesso e redireciona para o login.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"Tentativas de acesso direto sem autenticação são imediatamente interceptadas pelas políticas de segurança."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2.3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Demonstrar Restrição por Escopo (Unidade Gestora 0101)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Mostre que as rotas e cadastros estão restritos estritamente ao escopo da POC de São João do Ivaí.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"O controle de acesso por Unidade Gestora impede que usuários visualizem dados fora de sua alçada."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0F766E" w:sz="24"/>
              <w:bottom w:val="none"/>
              <w:right w:val="none"/>
            </w:tcBorders>
            <w:shd w:fill="ECFDF5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766E"/>
                <w:sz w:val="20"/>
                <w:szCs w:val="20"/>
              </w:rPr>
              <w:t xml:space="preserve">Evidência a Registrar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Item CT-02 atendido: Autenticação obrigatória, bloqueio a não autorizados e rastreabilidade total.</w:t>
            </w:r>
          </w:p>
        </w:tc>
      </w:tr>
    </w:tbl>
    <w:p>
      <w:pPr>
        <w:pStyle w:val="Heading2"/>
        <w:spacing w:after="100" w:before="240"/>
      </w:pPr>
      <w:r>
        <w:t xml:space="preserve">ETAPA 3 — Catálogo e Disparo de Automações (Item 3.1.1 a.3 / CT-03)</w:t>
      </w:r>
      <w:r>
        <w:rPr>
          <w:rFonts w:ascii="Calibri" w:cs="Calibri" w:eastAsia="Calibri" w:hAnsi="Calibri"/>
          <w:b/>
          <w:bCs/>
          <w:color w:val="0F172A"/>
          <w:sz w:val="23"/>
          <w:szCs w:val="23"/>
        </w:rPr>
        <w:t xml:space="preserve">ETAPA 3 — Catálogo e Disparo de Automações (Item 3.1.1 a.3 / CT-03)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3.1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Acessar o Painel de Automações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No menu lateral, clique em 'Tesouraria e Bancos &gt; Monitoramento de Automações' (ou na Home em 'Automações').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"Aqui temos o catálogo central de tarefas automáticas bancárias e fiscais do município."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3.2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Apresentar o Histórico de Tarefas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Exiba as execuções anteriores, indicando data/hora, status (Sucesso, Em Andamento, Pendência), conta processada e logs.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"O gestor tem visibilidade em tempo real de todas as rotinas executadas pelo robô."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3.3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Disparar Nova Automação com Parâmetros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Clique em 'Nova Automação', selecione a conta '20001-1' e o período '2025-08', e execute a rotina.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"Podemos disparar tarefas manuais sob demanda informando parâmetros específicos de conta e competência."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0F766E" w:sz="24"/>
              <w:bottom w:val="none"/>
              <w:right w:val="none"/>
            </w:tcBorders>
            <w:shd w:fill="ECFDF5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766E"/>
                <w:sz w:val="20"/>
                <w:szCs w:val="20"/>
              </w:rPr>
              <w:t xml:space="preserve">Evidência a Registrar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Item CT-03 atendido: Catálogo disponível, formulário de parâmetros e acompanhamento de status.</w:t>
            </w:r>
          </w:p>
        </w:tc>
      </w:tr>
    </w:tbl>
    <w:p>
      <w:pPr>
        <w:pStyle w:val="Heading2"/>
        <w:spacing w:after="100" w:before="240"/>
      </w:pPr>
      <w:r>
        <w:t xml:space="preserve">ETAPA 4 — Download e Arquivamento de Extratos (Item 3.1.2-01 / MOD-01)</w:t>
      </w:r>
      <w:r>
        <w:rPr>
          <w:rFonts w:ascii="Calibri" w:cs="Calibri" w:eastAsia="Calibri" w:hAnsi="Calibri"/>
          <w:b/>
          <w:bCs/>
          <w:color w:val="0F172A"/>
          <w:sz w:val="23"/>
          <w:szCs w:val="23"/>
        </w:rPr>
        <w:t xml:space="preserve">ETAPA 4 — Download e Arquivamento de Extratos (Item 3.1.2-01 / MOD-01)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4.1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Acessar a Tela de Extratos Bancários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Navegue em 'Tesouraria e Bancos &gt; Extratos Bancários' (/financeiro/download-extratos).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"Vamos agora executar a leitura do extrato oficial simulado no Banco Virtual Robonuvem."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4.2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Baixar Extrato da Conta Corrente (20001-1)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Selecione Banco 'Banco Virtual Robonuvem', Agência '0001', Conta '20001-1', Período de '01/08/2025' a '31/08/2025' e clique em 'Executar Download'.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"O sistema se conecta à API bancária, realiza o download seguro e processa os itens de extrato."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4.3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Apresentar Hash SHA-256 e Arquivamento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Destaque na tela o Hash criptográfico SHA-256 gerado para o arquivo e o caminho de catalogação por conta e competência.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"Para garantir a integridade exigida pelos órgãos de controle, todo documento recebe carimbo de tempo e hash SHA-256."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4.4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Repetir para Conta de Aplicação (90001-4) e Testar Duplicidade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Repita o processo para a conta de aplicação '90001-4'. Em seguida, clique novamente em baixar a conta '20001-1' para mostrar que o sistema não duplica registros já importados.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"A idempotência do CeleriFlow garante que extratos já baixados não criem lançamentos duplicados na tesouraria."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0F766E" w:sz="24"/>
              <w:bottom w:val="none"/>
              <w:right w:val="none"/>
            </w:tcBorders>
            <w:shd w:fill="ECFDF5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766E"/>
                <w:sz w:val="20"/>
                <w:szCs w:val="20"/>
              </w:rPr>
              <w:t xml:space="preserve">Evidência a Registrar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Item MOD-01 atendido: Download de conta corrente e aplicação, organização por pastas, Hash SHA-256 e não duplicação.</w:t>
            </w:r>
          </w:p>
        </w:tc>
      </w:tr>
    </w:tbl>
    <w:p>
      <w:pPr>
        <w:pStyle w:val="Heading2"/>
        <w:spacing w:after="100" w:before="240"/>
      </w:pPr>
      <w:r>
        <w:t xml:space="preserve">ETAPA 5 — Resgates e Aplicações Financeiras (Item 3.1.2-02 / MOD-02)</w:t>
      </w:r>
      <w:r>
        <w:rPr>
          <w:rFonts w:ascii="Calibri" w:cs="Calibri" w:eastAsia="Calibri" w:hAnsi="Calibri"/>
          <w:b/>
          <w:bCs/>
          <w:color w:val="0F172A"/>
          <w:sz w:val="23"/>
          <w:szCs w:val="23"/>
        </w:rPr>
        <w:t xml:space="preserve">ETAPA 5 — Resgates e Aplicações Financeiras (Item 3.1.2-02 / MOD-02)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5.1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Acessar a Tela de Resgates e Aplicações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Navegue em 'Tesouraria e Bancos &gt; Resgates e Aplicações' (/financeiro/resgates-aplicacoes).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"Nesta tela, o sistema lê automaticamente os lançamentos de aplicação e resgate do extrato e prepara a escrituração contábil."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5.2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Identificar Aplicação (Conta 10001-0) e Resgate (Conta 90001-4)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Mostre a aplicação de R$ 80.000,00 (11/05/2026) e o resgate de R$ 150.000,00 (27/05/2026). Destaque a classificação, justificativa e prévia de débito/crédito.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"Vejam que o robô identifica a natureza da operação, calcula os valores e já monta a prévia da partida dobrada."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5.3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Registrar no CeleriFlow e Gerar Recibo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Clique no botão 'Registrar no CeleriFlow &amp; Gerar Recibo'. Mostre o número do lançamento, o recibo oficial de transmissão e a trava contra duplicidade.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"O lançamento é persistido de forma definitiva na tesouraria e no razão, gerando um comprovante auditável."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0F766E" w:sz="24"/>
              <w:bottom w:val="none"/>
              <w:right w:val="none"/>
            </w:tcBorders>
            <w:shd w:fill="ECFDF5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766E"/>
                <w:sz w:val="20"/>
                <w:szCs w:val="20"/>
              </w:rPr>
              <w:t xml:space="preserve">Evidência a Registrar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Item MOD-02 atendido: Identificação de aplicação e resgate, cálculo de valores, gravação no sistema e emissão de recibo.</w:t>
            </w:r>
          </w:p>
        </w:tc>
      </w:tr>
    </w:tbl>
    <w:p>
      <w:pPr>
        <w:pStyle w:val="Heading2"/>
        <w:spacing w:after="100" w:before="240"/>
      </w:pPr>
      <w:r>
        <w:t xml:space="preserve">ETAPA 6 — Rendimentos de Aplicações Financeiras (Item 3.1.2-03 / MOD-03)</w:t>
      </w:r>
      <w:r>
        <w:rPr>
          <w:rFonts w:ascii="Calibri" w:cs="Calibri" w:eastAsia="Calibri" w:hAnsi="Calibri"/>
          <w:b/>
          <w:bCs/>
          <w:color w:val="0F172A"/>
          <w:sz w:val="23"/>
          <w:szCs w:val="23"/>
        </w:rPr>
        <w:t xml:space="preserve">ETAPA 6 — Rendimentos de Aplicações Financeiras (Item 3.1.2-03 / MOD-03)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6.1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Acessar a Tela de Rendimentos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Navegue em 'Tesouraria e Bancos &gt; Rendimentos de Aplicações' (/financeiro/rendimentos).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"Vamos agora demonstrar a apropriação dos rendimentos gerados pelas aplicações financeiras do município."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6.2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Consultar Rendimento da Conta 90001-4 (Agosto/2025)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Selecione a conta '90001-4' e o mês '2025-08'. Clique em 'Consultar rendimentos no extrato de aplicação'.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"O sistema localiza o lançamento de rendimento retornado pela instituição financeira."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6.3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Exibir Cálculo do Rendimento Bruto, Deduções e Líquido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Mostre o valor bruto (R$ 4.400,00), a apuração de retenções (IRRF/IOF se aplicável), o valor líquido e a classificação da receita patrimonial.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"A apuração separa a receita patrimonial de rendimentos e as deduções tributárias legais."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6.4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Registrar Rendimento no CeleriFlow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Clique em 'Registrar Rendimento no CeleriFlow'. Exiba o recibo com identificador do lançamento e a atualização do saldo bancário.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"A receita é reconhecida e contabilizada no orçamento e no caixa municipal."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0F766E" w:sz="24"/>
              <w:bottom w:val="none"/>
              <w:right w:val="none"/>
            </w:tcBorders>
            <w:shd w:fill="ECFDF5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766E"/>
                <w:sz w:val="20"/>
                <w:szCs w:val="20"/>
              </w:rPr>
              <w:t xml:space="preserve">Evidência a Registrar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Item MOD-03 atendido: Leitura de extrato de aplicação, cálculo de rendimentos brutos/líquidos, registro e recibo.</w:t>
            </w:r>
          </w:p>
        </w:tc>
      </w:tr>
    </w:tbl>
    <w:p>
      <w:pPr>
        <w:pStyle w:val="Heading2"/>
        <w:spacing w:after="100" w:before="240"/>
      </w:pPr>
      <w:r>
        <w:t xml:space="preserve">ETAPA 7 — Receitas Constitucionais e Fila de Exceções (Item 3.1.2-04 / MOD-04)</w:t>
      </w:r>
      <w:r>
        <w:rPr>
          <w:rFonts w:ascii="Calibri" w:cs="Calibri" w:eastAsia="Calibri" w:hAnsi="Calibri"/>
          <w:b/>
          <w:bCs/>
          <w:color w:val="0F172A"/>
          <w:sz w:val="23"/>
          <w:szCs w:val="23"/>
        </w:rPr>
        <w:t xml:space="preserve">ETAPA 7 — Receitas Constitucionais e Fila de Exceções (Item 3.1.2-04 / MOD-04)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7.1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Acessar Regras Constitucionais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Navegue em 'Receitas &gt; Regras Constitucionais' (/financeiro/receitas-constitucionais).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"O CeleriFlow possui regras inteligentes para reconhecimento de todos os repasses constitucionais previstos no edital: FPM, FUNDEB, IPVA, ICMS, ITR, Royalties, FEP e LC 176."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7.2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Processar Receitas da Conta 20001-1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Abra a Fila de Processamento e mostre cada receita: FPM (R$ 145.000,00), FUNDEB (R$ 98.400,00), IPVA (R$ 15.500,00) e ICMS (R$ 53.800,00).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"Ao clicar em processar, o sistema vincula a classificação orçamentária correta, fonte de recursos e evento contábil."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7.3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Demonstrar Tratamento de Transação Não Reconhecida (Falha Controlada)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Apresente o lançamento especial de R$ 999,99 (cenário UNRECOGNIZED_TRANSACTION). Mostre que ele é automaticamente isolado na 'Fila de Exceções' para triagem manual, sem travar o sistema.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"Quando um crédito não tem regra cadastrada ou identificador conhecido, ele é desviado para a Fila de Exceções, preservando a segurança contábil."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0F766E" w:sz="24"/>
              <w:bottom w:val="none"/>
              <w:right w:val="none"/>
            </w:tcBorders>
            <w:shd w:fill="ECFDF5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766E"/>
                <w:sz w:val="20"/>
                <w:szCs w:val="20"/>
              </w:rPr>
              <w:t xml:space="preserve">Evidência a Registrar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Item MOD-04 atendido: Classificação de repasses constitucionais, lançamento contábil, geração de recibos e Fila de Exceções.</w:t>
            </w:r>
          </w:p>
        </w:tc>
      </w:tr>
    </w:tbl>
    <w:p>
      <w:pPr>
        <w:pStyle w:val="Heading2"/>
        <w:spacing w:after="100" w:before="240"/>
      </w:pPr>
      <w:r>
        <w:t xml:space="preserve">ETAPA 8 — Conciliação Bancária &amp; Carga de Razão (Item 3.1.2-05 / MOD-05)</w:t>
      </w:r>
      <w:r>
        <w:rPr>
          <w:rFonts w:ascii="Calibri" w:cs="Calibri" w:eastAsia="Calibri" w:hAnsi="Calibri"/>
          <w:b/>
          <w:bCs/>
          <w:color w:val="0F172A"/>
          <w:sz w:val="23"/>
          <w:szCs w:val="23"/>
        </w:rPr>
        <w:t xml:space="preserve">ETAPA 8 — Conciliação Bancária &amp; Carga de Razão (Item 3.1.2-05 / MOD-05)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8.1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Acessar Conciliação Bancária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Navegue em 'Tesouraria e Bancos &gt; Conciliação Bancária' (/financeiro/conciliacao-bancaria).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"Chegamos ao núcleo da conciliação bancária automatizada, com cruzamento entre extrato bancário e o razão contábil."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8.2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Abrir Conciliação e Carregar Razão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Preencha: Banco 'Banco Virtual Robonuvem', Agência '0001', Conta '20001-1', Período '2025-08', Saldo Inicial '150.000,00'. Clique em 'Abrir Conciliação &amp; Carregar Razão'.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"Ao abrir a sessão, o CeleriFlow busca em tempo real todos os lançamentos contábeis e de tesouraria registrados até o fim do mês, calculando o Saldo do Razão."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8.3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Apresentar o Quadro Demonstrativo de Saldos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Destaque os 6 cards: Saldo Inicial (R$ 150.000,00), (+) Entradas, (-) Saídas, Saldo Final Extrato, Saldo do Razão e Diferença (R$ 0,00).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"Vejam que o sistema calcula a conciliação completa dos saldos e aponta qualquer divergência centavo a centavo."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8.4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Executar Motor de Correspondência Automática (9 Regras)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Clique em 'Executar Correspondência Automática (Motor de 9 Regras)'. Apresente a tabela de correspondências com o score de confiança (100%), descrição da match e valor conciliado.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"O motor de inteligência contábil aplica as 9 regras do edital para casar os itens de extrato com os lançamentos contábeis."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8.5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Confirmar Conciliação no CeleriFlow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Clique em 'Confirmar Conciliação no CeleriFlow'. Exiba a mensagem de sucesso, o Recibo de Transmissão ('REC-CONCIL-...'), o Hash SHA-256 e o status final 'CONCILIADA'.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"A conciliação está oficialmente homologada e travada para alterações, com recibo auditável."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0F766E" w:sz="24"/>
              <w:bottom w:val="none"/>
              <w:right w:val="none"/>
            </w:tcBorders>
            <w:shd w:fill="ECFDF5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766E"/>
                <w:sz w:val="20"/>
                <w:szCs w:val="20"/>
              </w:rPr>
              <w:t xml:space="preserve">Evidência a Registrar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Item MOD-05 atendido: Carga do razão, cálculo de saldos, correspondência pelas 9 regras, divergência zerada e conciliação confirmada.</w:t>
            </w:r>
          </w:p>
        </w:tc>
      </w:tr>
    </w:tbl>
    <w:p>
      <w:pPr>
        <w:pStyle w:val="Heading2"/>
        <w:spacing w:after="100" w:before="240"/>
      </w:pPr>
      <w:r>
        <w:t xml:space="preserve">ETAPA 9 — Auditoria de Uso e Encerramento da Sessão</w:t>
      </w:r>
      <w:r>
        <w:rPr>
          <w:rFonts w:ascii="Calibri" w:cs="Calibri" w:eastAsia="Calibri" w:hAnsi="Calibri"/>
          <w:b/>
          <w:bCs/>
          <w:color w:val="0F172A"/>
          <w:sz w:val="23"/>
          <w:szCs w:val="23"/>
        </w:rPr>
        <w:t xml:space="preserve">ETAPA 9 — Auditoria de Uso e Encerramento da Sessão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9.1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Apresentar a Trilha de Auditoria (Configurações &gt; Auditoria de Uso)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Acesse a trilha de auditoria e mostre os registros gravados durante a apresentação: usuário responsável, data/hora, ação realizada e módulo.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"Todas as ações executadas durante a sessão geraram trilha de auditoria imutável, atendendo aos princípios de conformidade e LGPD."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766E"/>
          <w:sz w:val="21"/>
          <w:szCs w:val="21"/>
        </w:rPr>
        <w:t xml:space="preserve">9.2 </w:t>
      </w:r>
      <w:r>
        <w:rPr>
          <w:rFonts w:ascii="Calibri" w:cs="Calibri" w:eastAsia="Calibri" w:hAnsi="Calibri"/>
          <w:b/>
          <w:bCs/>
          <w:color w:val="0F172A"/>
          <w:sz w:val="21"/>
          <w:szCs w:val="21"/>
        </w:rPr>
        <w:t xml:space="preserve">Conferir a Ata da Comissão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Solicite à comissão o preenchimento da ficha de avaliação, confirmando o resultado 'ATENDE' para todos os 8 itens demonstrados.</w:t>
      </w:r>
    </w:p>
    <w:p>
      <w:pPr>
        <w:spacing w:after="80" w:before="20"/>
        <w:ind w:left="360"/>
      </w:pPr>
      <w:r>
        <w:rPr>
          <w:rFonts w:ascii="Calibri" w:cs="Calibri" w:eastAsia="Calibri" w:hAnsi="Calibri"/>
          <w:b/>
          <w:bCs/>
          <w:i/>
          <w:iCs/>
          <w:color w:val="0284C7"/>
          <w:sz w:val="19"/>
          <w:szCs w:val="19"/>
        </w:rPr>
        <w:t xml:space="preserve">💬 O que falar para a comissão: </w:t>
      </w: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"Apresentamos com 100% de sucesso todos os requisitos técnicos obrigatórios e os módulos de automação financeira do edital."</w:t>
      </w:r>
    </w:p>
    <w:p>
      <w:pPr>
        <w:pStyle w:val="Heading1"/>
        <w:spacing w:after="140" w:before="340"/>
      </w:pPr>
      <w:r>
        <w:t xml:space="preserve">5. Guia Rápido de Respostas para Perguntas da Comissão</w:t>
      </w: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5. Guia Rápido de Respostas para Perguntas da Comissão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❓ 'Por que estamos usando o Banco Virtual Robonuvem e não o banco real da prefeitura?'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O ambiente de demonstração utiliza o Banco Virtual Robonuvem em modo Sandbox exatamente para isolar testes de tráfego financeiro real, garantindo segurança jurídica e repetibilidade dos testes sem risco de movimentação indevida de fundos públicos.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❓ 'Os dados gerados nesta sessão são reais no CeleriFlow?'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Sim. Toda a gravação de receitas, despesas, movimentos de caixa, partidas do razão e conciliações é persistida de forma definitiva no banco de dados relacional do CeleriFlow, pronta para ser integrada aos sistemas oficiais de contabilidade.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❓ 'Como será feita a conexão com os bancos reais após a assinatura do contrato?'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O CeleriFlow possui adaptadores nativos para APIs bancárias oficiais (Banco do Brasil, Caixa, Itaú, Bradesco, Santander), VAN bancária CNAB 240/400 e arquivos OFX padrão FEBRABAN, operando com chaves de integração municipais fornecidas no pós-contratação.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475569"/>
        <w:sz w:val="15"/>
        <w:szCs w:val="15"/>
      </w:rPr>
      <w:t xml:space="preserve">Página </w:t>
    </w:r>
    <w:r>
      <w:rPr>
        <w:rFonts w:ascii="Calibri" w:cs="Calibri" w:eastAsia="Calibri" w:hAnsi="Calibri"/>
        <w:color w:val="475569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475569"/>
        <w:sz w:val="15"/>
        <w:szCs w:val="15"/>
      </w:rPr>
      <w:t xml:space="preserve"> de </w:t>
    </w:r>
    <w:r>
      <w:rPr>
        <w:rFonts w:ascii="Calibri" w:cs="Calibri" w:eastAsia="Calibri" w:hAnsi="Calibri"/>
        <w:color w:val="475569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475569"/>
        <w:sz w:val="15"/>
        <w:szCs w:val="15"/>
      </w:rPr>
      <w:t xml:space="preserve">CeleriFlow • Guia Mestre de Testes &amp; Apresentação da POC — São João do Ivaí/PR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2026-08-07T19:51:42.428Z</dcterms:created>
  <dcterms:modified xsi:type="dcterms:W3CDTF">2026-08-07T19:51:42.429Z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