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23.png" ContentType="image/png"/>
  <Override PartName="/word/media/rId37.png" ContentType="image/png"/>
  <Override PartName="/word/media/rId4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exercício-nifi"/>
    <w:p>
      <w:pPr>
        <w:pStyle w:val="Heading2"/>
      </w:pPr>
      <w:r>
        <w:t xml:space="preserve"># Exercício NiFi</w:t>
      </w:r>
    </w:p>
    <w:bookmarkEnd w:id="20"/>
    <w:bookmarkStart w:id="21" w:name="instruções"/>
    <w:p>
      <w:pPr>
        <w:pStyle w:val="Heading2"/>
      </w:pPr>
      <w:r>
        <w:t xml:space="preserve">Instruções</w:t>
      </w:r>
    </w:p>
    <w:p>
      <w:pPr>
        <w:pStyle w:val="FirstParagraph"/>
      </w:pPr>
      <w:r>
        <w:t xml:space="preserve">A entrega deste trabalho deverá ser um documento de evidências de execução dos exercícios solicitados em formato</w:t>
      </w:r>
      <w:r>
        <w:t xml:space="preserve"> </w:t>
      </w:r>
      <w:r>
        <w:rPr>
          <w:bCs/>
          <w:b/>
        </w:rPr>
        <w:t xml:space="preserve">pdf</w:t>
      </w:r>
      <w:r>
        <w:t xml:space="preserve">. Para que as atividades estejam bem evidenciadas lembre de sempre apresentar os seguintes prints para todos os casos:</w:t>
      </w:r>
    </w:p>
    <w:p>
      <w:pPr>
        <w:numPr>
          <w:ilvl w:val="0"/>
          <w:numId w:val="1001"/>
        </w:numPr>
      </w:pPr>
      <w:r>
        <w:t xml:space="preserve">Fluxo completo, onde se possa visualizar todos os</w:t>
      </w:r>
      <w:r>
        <w:t xml:space="preserve"> </w:t>
      </w:r>
      <w:r>
        <w:rPr>
          <w:iCs/>
          <w:i/>
        </w:rPr>
        <w:t xml:space="preserve">processors</w:t>
      </w:r>
      <w:r>
        <w:t xml:space="preserve"> </w:t>
      </w:r>
      <w:r>
        <w:t xml:space="preserve">utilizados para compor a solução</w:t>
      </w:r>
    </w:p>
    <w:p>
      <w:pPr>
        <w:numPr>
          <w:ilvl w:val="0"/>
          <w:numId w:val="1001"/>
        </w:numPr>
      </w:pPr>
      <w:r>
        <w:t xml:space="preserve">Configuração de cada</w:t>
      </w:r>
      <w:r>
        <w:t xml:space="preserve"> </w:t>
      </w:r>
      <w:r>
        <w:rPr>
          <w:iCs/>
          <w:i/>
        </w:rPr>
        <w:t xml:space="preserve">processor</w:t>
      </w:r>
      <w:r>
        <w:t xml:space="preserve"> </w:t>
      </w:r>
      <w:r>
        <w:t xml:space="preserve">para que se possa avaliar os parâmetros utilizados</w:t>
      </w:r>
    </w:p>
    <w:p>
      <w:pPr>
        <w:numPr>
          <w:ilvl w:val="0"/>
          <w:numId w:val="1001"/>
        </w:numPr>
      </w:pPr>
      <w:r>
        <w:t xml:space="preserve">Evidência do resultado da operação realizada que permita avaliar o resultado bem sucedido da execução do fluxo completo (como listagem no HDFS do diretório destino do fluxo, print de um terminal, etc.)</w:t>
      </w:r>
    </w:p>
    <w:p>
      <w:pPr>
        <w:pStyle w:val="FirstParagraph"/>
      </w:pPr>
      <w:r>
        <w:t xml:space="preserve">Lembre-se que a organização do trabalho entregue também é avaliada!</w:t>
      </w:r>
    </w:p>
    <w:bookmarkEnd w:id="21"/>
    <w:bookmarkStart w:id="29" w:name="antes-de-iniciar"/>
    <w:p>
      <w:pPr>
        <w:pStyle w:val="Heading2"/>
      </w:pPr>
      <w:r>
        <w:t xml:space="preserve">Antes de iniciar:</w:t>
      </w:r>
    </w:p>
    <w:p>
      <w:pPr>
        <w:pStyle w:val="FirstParagraph"/>
      </w:pPr>
      <w:r>
        <w:t xml:space="preserve">Antes de iniciar as atividades propostas, é necessário alguns passos, conforme descrito abaixo:</w:t>
      </w:r>
    </w:p>
    <w:bookmarkStart w:id="22" w:name="iniciar-serviços-do-hadoop"/>
    <w:p>
      <w:pPr>
        <w:pStyle w:val="Heading3"/>
      </w:pPr>
      <w:r>
        <w:t xml:space="preserve">Iniciar Serviços do Hadoop</w:t>
      </w:r>
    </w:p>
    <w:p>
      <w:pPr>
        <w:pStyle w:val="FirstParagraph"/>
      </w:pPr>
      <w:r>
        <w:t xml:space="preserve">Certifique-se de que os seguintes serviços estejam rodando em sua VM com Hadoop:</w:t>
      </w:r>
    </w:p>
    <w:p>
      <w:pPr>
        <w:numPr>
          <w:ilvl w:val="0"/>
          <w:numId w:val="1002"/>
        </w:numPr>
        <w:pStyle w:val="Compact"/>
      </w:pPr>
      <w:r>
        <w:t xml:space="preserve">HDFS</w:t>
      </w:r>
    </w:p>
    <w:p>
      <w:pPr>
        <w:numPr>
          <w:ilvl w:val="0"/>
          <w:numId w:val="1002"/>
        </w:numPr>
        <w:pStyle w:val="Compact"/>
      </w:pPr>
      <w:r>
        <w:t xml:space="preserve">Zookeeper</w:t>
      </w:r>
    </w:p>
    <w:p>
      <w:pPr>
        <w:numPr>
          <w:ilvl w:val="0"/>
          <w:numId w:val="1002"/>
        </w:numPr>
        <w:pStyle w:val="Compact"/>
      </w:pPr>
      <w:r>
        <w:t xml:space="preserve">YARN</w:t>
      </w:r>
    </w:p>
    <w:p>
      <w:pPr>
        <w:numPr>
          <w:ilvl w:val="0"/>
          <w:numId w:val="1002"/>
        </w:numPr>
        <w:pStyle w:val="Compact"/>
      </w:pPr>
      <w:r>
        <w:t xml:space="preserve">MapReduce2</w:t>
      </w:r>
    </w:p>
    <w:p>
      <w:pPr>
        <w:numPr>
          <w:ilvl w:val="0"/>
          <w:numId w:val="1002"/>
        </w:numPr>
        <w:pStyle w:val="Compact"/>
      </w:pPr>
      <w:r>
        <w:t xml:space="preserve">Hive</w:t>
      </w:r>
    </w:p>
    <w:p>
      <w:pPr>
        <w:numPr>
          <w:ilvl w:val="0"/>
          <w:numId w:val="1002"/>
        </w:numPr>
        <w:pStyle w:val="Compact"/>
      </w:pPr>
      <w:r>
        <w:t xml:space="preserve">Kafka</w:t>
      </w:r>
    </w:p>
    <w:bookmarkEnd w:id="22"/>
    <w:bookmarkStart w:id="27" w:name="instalar-pacote-kite-no-nifi"/>
    <w:p>
      <w:pPr>
        <w:pStyle w:val="Heading3"/>
      </w:pPr>
      <w:r>
        <w:t xml:space="preserve">Instalar pacote Kite no NiFi</w:t>
      </w:r>
    </w:p>
    <w:p>
      <w:pPr>
        <w:pStyle w:val="FirstParagraph"/>
      </w:pPr>
      <w:r>
        <w:t xml:space="preserve">Nas versões atuais do NiFi, os</w:t>
      </w:r>
      <w:r>
        <w:t xml:space="preserve"> </w:t>
      </w:r>
      <w:r>
        <w:rPr>
          <w:iCs/>
          <w:i/>
        </w:rPr>
        <w:t xml:space="preserve">processors</w:t>
      </w:r>
      <w:r>
        <w:t xml:space="preserve"> </w:t>
      </w:r>
      <w:r>
        <w:t xml:space="preserve">do pacote</w:t>
      </w:r>
      <w:r>
        <w:t xml:space="preserve"> </w:t>
      </w:r>
      <w:r>
        <w:rPr>
          <w:bCs/>
          <w:b/>
        </w:rPr>
        <w:t xml:space="preserve">kite</w:t>
      </w:r>
      <w:r>
        <w:t xml:space="preserve"> </w:t>
      </w:r>
      <w:r>
        <w:t xml:space="preserve">deixaram de ser distribuídos no pacote de instalação. Para executar uma das atividades, teremos que instalar o pacote manualmente no NiFi. Para a nossa sorte, esse processo limita-se a copiar o arquivo do pacote</w:t>
      </w:r>
      <w:r>
        <w:t xml:space="preserve"> </w:t>
      </w:r>
      <w:r>
        <w:rPr>
          <w:bCs/>
          <w:b/>
        </w:rPr>
        <w:t xml:space="preserve">kite</w:t>
      </w:r>
      <w:r>
        <w:t xml:space="preserve"> </w:t>
      </w:r>
      <w:r>
        <w:t xml:space="preserve">ao diretório de bibliotecas de sua instalação no NiFi.</w:t>
      </w:r>
    </w:p>
    <w:p>
      <w:pPr>
        <w:pStyle w:val="BodyText"/>
      </w:pPr>
      <w:r>
        <w:rPr>
          <w:bCs/>
          <w:b/>
        </w:rPr>
        <w:t xml:space="preserve">Observação</w:t>
      </w:r>
      <w:r>
        <w:t xml:space="preserve">: É muito importante que seja adicionado o arquivo do</w:t>
      </w:r>
      <w:r>
        <w:t xml:space="preserve"> </w:t>
      </w:r>
      <w:r>
        <w:rPr>
          <w:bCs/>
          <w:b/>
        </w:rPr>
        <w:t xml:space="preserve">kite</w:t>
      </w:r>
      <w:r>
        <w:t xml:space="preserve"> </w:t>
      </w:r>
      <w:r>
        <w:t xml:space="preserve">exatamente da mesma versão de sua instalação do NiFi. Caso as versões sejam incompatíveis, o pacote não passará na validação do processo de inicialização do NiFi, causando a interrupção do programa.</w:t>
      </w:r>
    </w:p>
    <w:p>
      <w:pPr>
        <w:pStyle w:val="BodyText"/>
      </w:pPr>
      <w:r>
        <w:t xml:space="preserve">Para instalação do pacote</w:t>
      </w:r>
      <w:r>
        <w:t xml:space="preserve"> </w:t>
      </w:r>
      <w:r>
        <w:rPr>
          <w:bCs/>
          <w:b/>
        </w:rPr>
        <w:t xml:space="preserve">kite</w:t>
      </w:r>
      <w:r>
        <w:t xml:space="preserve">, siga as seguintes instruções:</w:t>
      </w:r>
    </w:p>
    <w:p>
      <w:pPr>
        <w:numPr>
          <w:ilvl w:val="0"/>
          <w:numId w:val="1003"/>
        </w:numPr>
      </w:pPr>
      <w:r>
        <w:t xml:space="preserve">Rode o comando</w:t>
      </w:r>
      <w:r>
        <w:t xml:space="preserve"> </w:t>
      </w:r>
      <w:r>
        <w:rPr>
          <w:rStyle w:val="VerbatimChar"/>
        </w:rPr>
        <w:t xml:space="preserve">nifi.sh</w:t>
      </w:r>
      <w:r>
        <w:t xml:space="preserve"> </w:t>
      </w:r>
      <w:r>
        <w:t xml:space="preserve">a partir do terminal para obter a versão e local de instalação do NiFi. No caso do exemplo abaixo, a versão instalada é a</w:t>
      </w:r>
      <w:r>
        <w:t xml:space="preserve"> </w:t>
      </w:r>
      <w:r>
        <w:rPr>
          <w:rStyle w:val="VerbatimChar"/>
        </w:rPr>
        <w:t xml:space="preserve">1.13.2</w:t>
      </w:r>
      <w:r>
        <w:t xml:space="preserve"> </w:t>
      </w:r>
      <w:r>
        <w:t xml:space="preserve">e o local de instalação é</w:t>
      </w:r>
      <w:r>
        <w:t xml:space="preserve"> </w:t>
      </w:r>
      <w:r>
        <w:rPr>
          <w:rStyle w:val="VerbatimChar"/>
        </w:rPr>
        <w:t xml:space="preserve">/opt/nifi-1.13.2</w:t>
      </w:r>
      <w:r>
        <w:t xml:space="preserve">:</w:t>
      </w:r>
    </w:p>
    <w:p>
      <w:pPr>
        <w:numPr>
          <w:ilvl w:val="0"/>
          <w:numId w:val="1000"/>
        </w:numPr>
      </w:pPr>
      <w:r>
        <w:t xml:space="preserve"> </w:t>
      </w:r>
      <w:r>
        <w:drawing>
          <wp:inline>
            <wp:extent cx="5334000" cy="1268266"/>
            <wp:effectExtent b="0" l="0" r="0" t="0"/>
            <wp:docPr descr="image" title="" id="24" name="Picture"/>
            <a:graphic>
              <a:graphicData uri="http://schemas.openxmlformats.org/drawingml/2006/picture">
                <pic:pic>
                  <pic:nvPicPr>
                    <pic:cNvPr descr="img/nifi_status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68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 </w:t>
      </w:r>
    </w:p>
    <w:p>
      <w:pPr>
        <w:numPr>
          <w:ilvl w:val="0"/>
          <w:numId w:val="1003"/>
        </w:numPr>
      </w:pPr>
      <w:r>
        <w:t xml:space="preserve">A partir da sua VM, baixe o pacote binário do</w:t>
      </w:r>
      <w:r>
        <w:t xml:space="preserve"> </w:t>
      </w:r>
      <w:r>
        <w:rPr>
          <w:bCs/>
          <w:b/>
        </w:rPr>
        <w:t xml:space="preserve">kite</w:t>
      </w:r>
      <w:r>
        <w:t xml:space="preserve"> </w:t>
      </w:r>
      <w:r>
        <w:t xml:space="preserve">(nar) para a sua versão de NiFi. No caso da versão apresentada acima, o arquivo pode ser obtido diretamente do link abaixo:</w:t>
      </w:r>
      <w:r>
        <w:t xml:space="preserve"> </w:t>
      </w:r>
      <w:hyperlink r:id="rId26">
        <w:r>
          <w:rPr>
            <w:rStyle w:val="Hyperlink"/>
          </w:rPr>
          <w:t xml:space="preserve">nifi-kite-nar-1.13.2.nar</w:t>
        </w:r>
      </w:hyperlink>
    </w:p>
    <w:p>
      <w:pPr>
        <w:numPr>
          <w:ilvl w:val="0"/>
          <w:numId w:val="1000"/>
        </w:numPr>
      </w:pPr>
      <w:r>
        <w:t xml:space="preserve">Você também poderá encontrar outras versões do pacote no seguinte link:</w:t>
      </w:r>
      <w:r>
        <w:t xml:space="preserve"> </w:t>
      </w:r>
      <w:r>
        <w:t xml:space="preserve">https://mvnrepository.com/artifact/org.apache.nifi/nifi-kite-nar</w:t>
      </w:r>
    </w:p>
    <w:p>
      <w:pPr>
        <w:numPr>
          <w:ilvl w:val="0"/>
          <w:numId w:val="1003"/>
        </w:numPr>
      </w:pPr>
      <w:r>
        <w:t xml:space="preserve">Copie o arquivo baixado para o subdiretório</w:t>
      </w:r>
      <w:r>
        <w:t xml:space="preserve"> </w:t>
      </w:r>
      <w:r>
        <w:rPr>
          <w:rStyle w:val="VerbatimChar"/>
        </w:rPr>
        <w:t xml:space="preserve">lib</w:t>
      </w:r>
      <w:r>
        <w:t xml:space="preserve"> </w:t>
      </w:r>
      <w:r>
        <w:t xml:space="preserve">do local de instalação do NiFi. No caso apresentado acima, você poderá rodar o seguinte comando no terminal, considerando que o download foi feito no diretório padrão:</w:t>
      </w:r>
      <w:r>
        <w:t xml:space="preserve"> </w:t>
      </w:r>
      <w:r>
        <w:t xml:space="preserve">&gt; cp ~/Downloads/nifi-kite-nar-1.13.2.nar /opt/nifi-1.13.2/lib</w:t>
      </w:r>
    </w:p>
    <w:bookmarkEnd w:id="27"/>
    <w:bookmarkStart w:id="28" w:name="X098942781b01a78146f35e421a87ed9dca8b10c"/>
    <w:p>
      <w:pPr>
        <w:pStyle w:val="Heading3"/>
      </w:pPr>
      <w:r>
        <w:t xml:space="preserve">Iniciar o NiFi e acessá-lo através de um browser</w:t>
      </w:r>
    </w:p>
    <w:p>
      <w:pPr>
        <w:pStyle w:val="FirstParagraph"/>
      </w:pPr>
      <w:r>
        <w:t xml:space="preserve">Para iniciar o NiFI, rode o seguinte comando a partir do terminal:</w:t>
      </w:r>
    </w:p>
    <w:p>
      <w:pPr>
        <w:pStyle w:val="BlockText"/>
      </w:pPr>
      <w:r>
        <w:t xml:space="preserve">nifi.sh start</w:t>
      </w:r>
    </w:p>
    <w:p>
      <w:pPr>
        <w:pStyle w:val="FirstParagraph"/>
      </w:pPr>
      <w:r>
        <w:t xml:space="preserve">Aguarde alguns minutos até que o a plataforma suba e a interface web esteja disponível. Você poderá acessar o NiFi pelo browser através do link:</w:t>
      </w:r>
    </w:p>
    <w:p>
      <w:pPr>
        <w:pStyle w:val="BodyText"/>
      </w:pPr>
      <w:r>
        <w:t xml:space="preserve">http://hdpdemo.local:18080/nifi/</w:t>
      </w:r>
    </w:p>
    <w:p>
      <w:pPr>
        <w:pStyle w:val="BodyText"/>
      </w:pPr>
      <w:r>
        <w:t xml:space="preserve">Agora sim! Estamos prontos para iniciar as atividades!</w:t>
      </w:r>
    </w:p>
    <w:bookmarkEnd w:id="28"/>
    <w:bookmarkEnd w:id="29"/>
    <w:bookmarkStart w:id="46" w:name="exercícios"/>
    <w:p>
      <w:pPr>
        <w:pStyle w:val="Heading2"/>
      </w:pPr>
      <w:r>
        <w:t xml:space="preserve">Exercícios</w:t>
      </w:r>
    </w:p>
    <w:bookmarkStart w:id="31" w:name="Xc54af7032c8cbedf775d1e56401773473706b67"/>
    <w:p>
      <w:pPr>
        <w:pStyle w:val="Heading3"/>
      </w:pPr>
      <w:r>
        <w:t xml:space="preserve">1. Ingestão de arquivos para um diretório no HDFS</w:t>
      </w:r>
    </w:p>
    <w:p>
      <w:pPr>
        <w:pStyle w:val="FirstParagraph"/>
      </w:pPr>
      <w:r>
        <w:t xml:space="preserve">Nesta atividade você deverá importar arquivos de vendas da sua empresa para o HDFS. Os arquivos estão em formato delimitado na origem e deverão ser salvos no mesmo formato no destino. Seguem parâmetros para criação do fluxo: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Diretório de origem:</w:t>
      </w:r>
      <w:r>
        <w:t xml:space="preserve"> </w:t>
      </w:r>
      <w:r>
        <w:t xml:space="preserve">/data/marketplace/sales/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Formato dos arquivos na origem:</w:t>
      </w:r>
      <w:r>
        <w:t xml:space="preserve"> </w:t>
      </w:r>
      <w:r>
        <w:t xml:space="preserve">arquivo delimitado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Delimitador</w:t>
      </w:r>
      <w:r>
        <w:t xml:space="preserve">: |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Diretório de destino:</w:t>
      </w:r>
      <w:r>
        <w:t xml:space="preserve"> </w:t>
      </w:r>
      <w:r>
        <w:t xml:space="preserve">/data/bronze/sales/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Formato dos arquivos no destino:</w:t>
      </w:r>
      <w:r>
        <w:t xml:space="preserve"> </w:t>
      </w:r>
      <w:r>
        <w:t xml:space="preserve">preservar mesmo formato da origem</w:t>
      </w:r>
    </w:p>
    <w:p>
      <w:pPr>
        <w:numPr>
          <w:ilvl w:val="0"/>
          <w:numId w:val="1004"/>
        </w:numPr>
        <w:pStyle w:val="Compact"/>
      </w:pPr>
      <w:r>
        <w:rPr>
          <w:bCs/>
          <w:b/>
        </w:rPr>
        <w:t xml:space="preserve">Compressão dos arquivos no destino</w:t>
      </w:r>
      <w:r>
        <w:t xml:space="preserve">: Nenhuma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 </w:t>
      </w:r>
    </w:p>
    <w:bookmarkStart w:id="30" w:name="desafio-1"/>
    <w:p>
      <w:pPr>
        <w:pStyle w:val="Heading4"/>
      </w:pPr>
      <w:r>
        <w:t xml:space="preserve">Desafio 1:</w:t>
      </w:r>
    </w:p>
    <w:p>
      <w:pPr>
        <w:pStyle w:val="FirstParagraph"/>
      </w:pPr>
      <w:r>
        <w:t xml:space="preserve">Os usuários da tabela</w:t>
      </w:r>
      <w:r>
        <w:t xml:space="preserve"> </w:t>
      </w:r>
      <w:r>
        <w:rPr>
          <w:rStyle w:val="VerbatimChar"/>
        </w:rPr>
        <w:t xml:space="preserve">sales</w:t>
      </w:r>
      <w:r>
        <w:t xml:space="preserve"> </w:t>
      </w:r>
      <w:r>
        <w:t xml:space="preserve">estão reclamando da performance da tabela está muito abaixo do esperado. Após alguns estudos, seu time resolve recriar a tabela na camada</w:t>
      </w:r>
      <w:r>
        <w:t xml:space="preserve"> </w:t>
      </w:r>
      <w:r>
        <w:rPr>
          <w:rStyle w:val="VerbatimChar"/>
        </w:rPr>
        <w:t xml:space="preserve">silver</w:t>
      </w:r>
      <w:r>
        <w:t xml:space="preserve"> </w:t>
      </w:r>
      <w:r>
        <w:t xml:space="preserve">de seu datalake em formato</w:t>
      </w:r>
      <w:r>
        <w:t xml:space="preserve"> </w:t>
      </w:r>
      <w:r>
        <w:rPr>
          <w:rStyle w:val="VerbatimChar"/>
        </w:rPr>
        <w:t xml:space="preserve">orc</w:t>
      </w:r>
      <w:r>
        <w:t xml:space="preserve">. Você deverá criar um processo no NiFi que leia os dados salvos do HDFS, converta-os para o formato</w:t>
      </w:r>
      <w:r>
        <w:t xml:space="preserve"> </w:t>
      </w:r>
      <w:r>
        <w:rPr>
          <w:rStyle w:val="VerbatimChar"/>
        </w:rPr>
        <w:t xml:space="preserve">orc</w:t>
      </w:r>
      <w:r>
        <w:t xml:space="preserve"> </w:t>
      </w:r>
      <w:r>
        <w:t xml:space="preserve">e salve na camada silver. Adicionalmente, crie tabelas externas apontando para os dois diretórios, desenvolva uma query que apresente a o número total de operações e o valor total transacionado (soma de</w:t>
      </w:r>
      <w:r>
        <w:t xml:space="preserve"> </w:t>
      </w:r>
      <w:r>
        <w:rPr>
          <w:rStyle w:val="VerbatimChar"/>
        </w:rPr>
        <w:t xml:space="preserve">value</w:t>
      </w:r>
      <w:r>
        <w:t xml:space="preserve">) para cada método de pagamento (coluna</w:t>
      </w:r>
      <w:r>
        <w:t xml:space="preserve"> </w:t>
      </w:r>
      <w:r>
        <w:rPr>
          <w:rStyle w:val="VerbatimChar"/>
        </w:rPr>
        <w:t xml:space="preserve">x_choice</w:t>
      </w:r>
      <w:r>
        <w:t xml:space="preserve">) e compare o tempo de execução para cada um dos casos.</w:t>
      </w:r>
    </w:p>
    <w:p>
      <w:pPr>
        <w:pStyle w:val="BodyText"/>
      </w:pPr>
      <w:r>
        <w:t xml:space="preserve">Para realizar o desafio, considere as seguintes informações: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Diretório de origem:</w:t>
      </w:r>
      <w:r>
        <w:t xml:space="preserve"> </w:t>
      </w:r>
      <w:r>
        <w:t xml:space="preserve">/data/bronze/sales/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Formato dos arquivos na origem:</w:t>
      </w:r>
      <w:r>
        <w:t xml:space="preserve"> </w:t>
      </w:r>
      <w:r>
        <w:t xml:space="preserve">arquivo delimitado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Delimitador</w:t>
      </w:r>
      <w:r>
        <w:t xml:space="preserve">: |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Nome dos campos</w:t>
      </w:r>
      <w:r>
        <w:t xml:space="preserve">:</w:t>
      </w:r>
    </w:p>
    <w:p>
      <w:pPr>
        <w:numPr>
          <w:ilvl w:val="1"/>
          <w:numId w:val="1006"/>
        </w:numPr>
        <w:pStyle w:val="Compact"/>
      </w:pPr>
      <w:r>
        <w:t xml:space="preserve">account_id,</w:t>
      </w:r>
    </w:p>
    <w:p>
      <w:pPr>
        <w:numPr>
          <w:ilvl w:val="1"/>
          <w:numId w:val="1006"/>
        </w:numPr>
        <w:pStyle w:val="Compact"/>
      </w:pPr>
      <w:r>
        <w:t xml:space="preserve">date_time,</w:t>
      </w:r>
    </w:p>
    <w:p>
      <w:pPr>
        <w:numPr>
          <w:ilvl w:val="1"/>
          <w:numId w:val="1006"/>
        </w:numPr>
        <w:pStyle w:val="Compact"/>
      </w:pPr>
      <w:r>
        <w:t xml:space="preserve">transaction_id,</w:t>
      </w:r>
    </w:p>
    <w:p>
      <w:pPr>
        <w:numPr>
          <w:ilvl w:val="1"/>
          <w:numId w:val="1006"/>
        </w:numPr>
        <w:pStyle w:val="Compact"/>
      </w:pPr>
      <w:r>
        <w:t xml:space="preserve">value,</w:t>
      </w:r>
    </w:p>
    <w:p>
      <w:pPr>
        <w:numPr>
          <w:ilvl w:val="1"/>
          <w:numId w:val="1006"/>
        </w:numPr>
        <w:pStyle w:val="Compact"/>
      </w:pPr>
      <w:r>
        <w:t xml:space="preserve">x_stores,</w:t>
      </w:r>
    </w:p>
    <w:p>
      <w:pPr>
        <w:numPr>
          <w:ilvl w:val="1"/>
          <w:numId w:val="1006"/>
        </w:numPr>
        <w:pStyle w:val="Compact"/>
      </w:pPr>
      <w:r>
        <w:t xml:space="preserve">x_category,</w:t>
      </w:r>
    </w:p>
    <w:p>
      <w:pPr>
        <w:numPr>
          <w:ilvl w:val="1"/>
          <w:numId w:val="1006"/>
        </w:numPr>
        <w:pStyle w:val="Compact"/>
      </w:pPr>
      <w:r>
        <w:t xml:space="preserve">x_cities,</w:t>
      </w:r>
    </w:p>
    <w:p>
      <w:pPr>
        <w:numPr>
          <w:ilvl w:val="1"/>
          <w:numId w:val="1006"/>
        </w:numPr>
        <w:pStyle w:val="Compact"/>
      </w:pPr>
      <w:r>
        <w:t xml:space="preserve">x_province,</w:t>
      </w:r>
    </w:p>
    <w:p>
      <w:pPr>
        <w:numPr>
          <w:ilvl w:val="1"/>
          <w:numId w:val="1006"/>
        </w:numPr>
        <w:pStyle w:val="Compact"/>
      </w:pPr>
      <w:r>
        <w:t xml:space="preserve">x_choice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Diretório de destino:</w:t>
      </w:r>
      <w:r>
        <w:t xml:space="preserve"> </w:t>
      </w:r>
      <w:r>
        <w:t xml:space="preserve">/data/silver/sales/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Formato dos arquivos no destino:</w:t>
      </w:r>
      <w:r>
        <w:t xml:space="preserve"> </w:t>
      </w:r>
      <w:r>
        <w:t xml:space="preserve">orc</w:t>
      </w:r>
    </w:p>
    <w:p>
      <w:pPr>
        <w:numPr>
          <w:ilvl w:val="0"/>
          <w:numId w:val="1005"/>
        </w:numPr>
        <w:pStyle w:val="Compact"/>
      </w:pPr>
      <w:r>
        <w:rPr>
          <w:bCs/>
          <w:b/>
        </w:rPr>
        <w:t xml:space="preserve">Compressão dos arquivos no destino</w:t>
      </w:r>
      <w:r>
        <w:t xml:space="preserve">: Nenhuma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 </w:t>
      </w:r>
    </w:p>
    <w:bookmarkEnd w:id="30"/>
    <w:bookmarkEnd w:id="31"/>
    <w:bookmarkStart w:id="36" w:name="Xd8e116aef2ba33fc44fb8c61068c0e6d22ad944"/>
    <w:p>
      <w:pPr>
        <w:pStyle w:val="Heading3"/>
      </w:pPr>
      <w:r>
        <w:t xml:space="preserve">2. Ingestão de uma tabela para um diretório no HDFS</w:t>
      </w:r>
    </w:p>
    <w:p>
      <w:pPr>
        <w:pStyle w:val="FirstParagraph"/>
      </w:pPr>
      <w:r>
        <w:t xml:space="preserve">Nesta atividade você deverá utilizar o NiFi para fazer a importação de uma tabela do banco de Dados para o HDFS. Para isso, você deverá utilizar o processor</w:t>
      </w:r>
      <w:r>
        <w:t xml:space="preserve"> </w:t>
      </w:r>
      <w:r>
        <w:rPr>
          <w:rStyle w:val="VerbatimChar"/>
        </w:rPr>
        <w:t xml:space="preserve">ExecuteSQL</w:t>
      </w:r>
      <w:r>
        <w:t xml:space="preserve">.</w:t>
      </w:r>
    </w:p>
    <w:p>
      <w:pPr>
        <w:pStyle w:val="BodyText"/>
      </w:pPr>
      <w:r>
        <w:t xml:space="preserve">Para a correta utilização deste</w:t>
      </w:r>
      <w:r>
        <w:t xml:space="preserve"> </w:t>
      </w:r>
      <w:r>
        <w:rPr>
          <w:iCs/>
          <w:i/>
        </w:rPr>
        <w:t xml:space="preserve">processor</w:t>
      </w:r>
      <w:r>
        <w:t xml:space="preserve"> </w:t>
      </w:r>
      <w:r>
        <w:t xml:space="preserve">é necessária a criação de um</w:t>
      </w:r>
      <w:r>
        <w:t xml:space="preserve"> </w:t>
      </w:r>
      <w:r>
        <w:rPr>
          <w:bCs/>
          <w:b/>
        </w:rPr>
        <w:t xml:space="preserve">Database Connection Pooling Service</w:t>
      </w:r>
      <w:r>
        <w:t xml:space="preserve">. Utilize a imagem abaixo como exemplo, e não se esqueça de adicionar usuário e senha do DB:</w:t>
      </w:r>
    </w:p>
    <w:p>
      <w:pPr>
        <w:pStyle w:val="CaptionedFigure"/>
      </w:pPr>
      <w:r>
        <w:drawing>
          <wp:inline>
            <wp:extent cx="5334000" cy="2559285"/>
            <wp:effectExtent b="0" l="0" r="0" t="0"/>
            <wp:docPr descr="image" title="" id="33" name="Picture"/>
            <a:graphic>
              <a:graphicData uri="http://schemas.openxmlformats.org/drawingml/2006/picture">
                <pic:pic>
                  <pic:nvPicPr>
                    <pic:cNvPr descr="img/configura_conexao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92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image</w:t>
      </w:r>
    </w:p>
    <w:p>
      <w:pPr>
        <w:pStyle w:val="BodyText"/>
      </w:pPr>
      <w:r>
        <w:t xml:space="preserve">Para configuração do processo, utilize os seguintes dados de origem e destino: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Tabela de origem:</w:t>
      </w:r>
      <w:r>
        <w:t xml:space="preserve"> </w:t>
      </w:r>
      <w:r>
        <w:t xml:space="preserve">LOC_AGENCIA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Tipo de Carga:</w:t>
      </w:r>
      <w:r>
        <w:t xml:space="preserve"> </w:t>
      </w:r>
      <w:r>
        <w:t xml:space="preserve">Carga Full</w:t>
      </w:r>
    </w:p>
    <w:p>
      <w:pPr>
        <w:numPr>
          <w:ilvl w:val="0"/>
          <w:numId w:val="1007"/>
        </w:numPr>
        <w:pStyle w:val="Compact"/>
      </w:pPr>
      <w:r>
        <w:rPr>
          <w:bCs/>
          <w:b/>
        </w:rPr>
        <w:t xml:space="preserve">Diretório de destino:</w:t>
      </w:r>
      <w:r>
        <w:t xml:space="preserve"> </w:t>
      </w:r>
      <w:r>
        <w:t xml:space="preserve">/data/bronze/carloca/loc_agencia/</w:t>
      </w:r>
    </w:p>
    <w:p>
      <w:pPr>
        <w:pStyle w:val="FirstParagraph"/>
      </w:pPr>
      <w:r>
        <w:rPr>
          <w:bCs/>
          <w:b/>
        </w:rPr>
        <w:t xml:space="preserve">Importante:</w:t>
      </w:r>
      <w:r>
        <w:t xml:space="preserve"> </w:t>
      </w:r>
      <w:r>
        <w:t xml:space="preserve">Para evitar que a query rode continuamente, ajuste o parâmetro</w:t>
      </w:r>
      <w:r>
        <w:t xml:space="preserve"> </w:t>
      </w:r>
      <w:r>
        <w:rPr>
          <w:rStyle w:val="VerbatimChar"/>
        </w:rPr>
        <w:t xml:space="preserve">Run Schedule</w:t>
      </w:r>
      <w:r>
        <w:t xml:space="preserve"> </w:t>
      </w:r>
      <w:r>
        <w:t xml:space="preserve">na aba SCHEDULING para</w:t>
      </w:r>
      <w:r>
        <w:t xml:space="preserve"> </w:t>
      </w:r>
      <w:r>
        <w:rPr>
          <w:bCs/>
          <w:b/>
        </w:rPr>
        <w:t xml:space="preserve">60s</w:t>
      </w:r>
      <w:r>
        <w:t xml:space="preserve">. Isso permitirá que você faça uma validação da recorrência do processo sem gerar uma quantidade descontrolada de conexões simultâneas ao banco de dados.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 </w:t>
      </w:r>
    </w:p>
    <w:bookmarkStart w:id="35" w:name="desafio-2"/>
    <w:p>
      <w:pPr>
        <w:pStyle w:val="Heading4"/>
      </w:pPr>
      <w:r>
        <w:t xml:space="preserve">Desafio 2:</w:t>
      </w:r>
    </w:p>
    <w:p>
      <w:pPr>
        <w:pStyle w:val="FirstParagraph"/>
      </w:pPr>
      <w:r>
        <w:t xml:space="preserve">Desenvolva um processo que faça a ingestão de todas as tabelas do banco CARLOCA. Para isso você deverá encontrar um</w:t>
      </w:r>
      <w:r>
        <w:t xml:space="preserve"> </w:t>
      </w:r>
      <w:r>
        <w:rPr>
          <w:iCs/>
          <w:i/>
        </w:rPr>
        <w:t xml:space="preserve">processor</w:t>
      </w:r>
      <w:r>
        <w:t xml:space="preserve"> </w:t>
      </w:r>
      <w:r>
        <w:t xml:space="preserve">que auxilie a listar todas as tabelas do banco. Vale também lembrar que as tabelas de interesse possuem sempre o prefixo</w:t>
      </w:r>
      <w:r>
        <w:t xml:space="preserve"> </w:t>
      </w:r>
      <w:r>
        <w:rPr>
          <w:rStyle w:val="VerbatimChar"/>
        </w:rPr>
        <w:t xml:space="preserve">LOC</w:t>
      </w:r>
      <w:r>
        <w:t xml:space="preserve"> </w:t>
      </w:r>
      <w:r>
        <w:t xml:space="preserve">em seu nome.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 </w:t>
      </w:r>
    </w:p>
    <w:bookmarkEnd w:id="35"/>
    <w:bookmarkEnd w:id="36"/>
    <w:bookmarkStart w:id="45" w:name="X245b26c512c8eb58f336fe067df4d0d64dd935c"/>
    <w:p>
      <w:pPr>
        <w:pStyle w:val="Heading3"/>
      </w:pPr>
      <w:r>
        <w:t xml:space="preserve">3. Ingestão de mensagens de um tópico kafka para o HDFS</w:t>
      </w:r>
    </w:p>
    <w:p>
      <w:pPr>
        <w:pStyle w:val="FirstParagraph"/>
      </w:pPr>
      <w:r>
        <w:t xml:space="preserve">Neste exercício utilizaremos um programa python simulador de logs para fazer a ingestão de registros de log de navegação no HDFS. Antes de iniciar a atividade, você deverá rodar o programa simulador de log em um terminal. Este programa escreve as entradas de log no tópico kafka</w:t>
      </w:r>
      <w:r>
        <w:t xml:space="preserve"> </w:t>
      </w:r>
      <w:r>
        <w:rPr>
          <w:rStyle w:val="VerbatimChar"/>
        </w:rPr>
        <w:t xml:space="preserve">weblogs</w:t>
      </w:r>
      <w:r>
        <w:t xml:space="preserve">. Para desenvolver este fluxo, considere utilizar o</w:t>
      </w:r>
      <w:r>
        <w:t xml:space="preserve"> </w:t>
      </w:r>
      <w:r>
        <w:rPr>
          <w:iCs/>
          <w:i/>
        </w:rPr>
        <w:t xml:space="preserve">processor</w:t>
      </w:r>
      <w:r>
        <w:t xml:space="preserve"> </w:t>
      </w:r>
      <w:r>
        <w:rPr>
          <w:rStyle w:val="VerbatimChar"/>
        </w:rPr>
        <w:t xml:space="preserve">ConsumeKafka_2_6</w:t>
      </w:r>
      <w:r>
        <w:t xml:space="preserve">. Utilize as imagens abaixo como exemplo para configuração:</w:t>
      </w:r>
    </w:p>
    <w:p>
      <w:pPr>
        <w:pStyle w:val="BodyText"/>
      </w:pPr>
      <w:r>
        <w:drawing>
          <wp:inline>
            <wp:extent cx="5334000" cy="3775752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img/processor_kafka_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757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drawing>
          <wp:inline>
            <wp:extent cx="5334000" cy="3725858"/>
            <wp:effectExtent b="0" l="0" r="0" t="0"/>
            <wp:docPr descr="" title="" id="41" name="Picture"/>
            <a:graphic>
              <a:graphicData uri="http://schemas.openxmlformats.org/drawingml/2006/picture">
                <pic:pic>
                  <pic:nvPicPr>
                    <pic:cNvPr descr="img/processor_kafka_2.png" id="42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25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O programa python pode ser obtido no seguinte link:</w:t>
      </w:r>
      <w:r>
        <w:t xml:space="preserve"> </w:t>
      </w:r>
      <w:hyperlink r:id="rId43">
        <w:r>
          <w:rPr>
            <w:rStyle w:val="Hyperlink"/>
          </w:rPr>
          <w:t xml:space="preserve">log_generator-kafka.py</w:t>
        </w:r>
      </w:hyperlink>
    </w:p>
    <w:p>
      <w:pPr>
        <w:pStyle w:val="BodyText"/>
      </w:pPr>
      <w:r>
        <w:t xml:space="preserve">Para configuração do processo, utilize os seguintes dados de destino:</w:t>
      </w:r>
    </w:p>
    <w:p>
      <w:pPr>
        <w:numPr>
          <w:ilvl w:val="0"/>
          <w:numId w:val="1008"/>
        </w:numPr>
        <w:pStyle w:val="Compact"/>
      </w:pPr>
      <w:r>
        <w:rPr>
          <w:bCs/>
          <w:b/>
        </w:rPr>
        <w:t xml:space="preserve">Diretório de destino:</w:t>
      </w:r>
      <w:r>
        <w:t xml:space="preserve"> </w:t>
      </w:r>
      <w:r>
        <w:t xml:space="preserve">/data/bronze/web/weblogs/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 </w:t>
      </w:r>
    </w:p>
    <w:bookmarkStart w:id="44" w:name="desafio-3"/>
    <w:p>
      <w:pPr>
        <w:pStyle w:val="Heading4"/>
      </w:pPr>
      <w:r>
        <w:t xml:space="preserve">Desafio 3:</w:t>
      </w:r>
    </w:p>
    <w:p>
      <w:pPr>
        <w:pStyle w:val="FirstParagraph"/>
      </w:pPr>
      <w:r>
        <w:t xml:space="preserve">Baseado no fluxo criado no item, desenvolva uma forma de filtrar apenas as mensagens do kafka que representem erro 404. Estes registros deverão ser enviados a um novo tópico kafka chamado</w:t>
      </w:r>
      <w:r>
        <w:t xml:space="preserve"> </w:t>
      </w:r>
      <w:r>
        <w:rPr>
          <w:rStyle w:val="VerbatimChar"/>
        </w:rPr>
        <w:t xml:space="preserve">weberrors</w:t>
      </w:r>
      <w:r>
        <w:t xml:space="preserve">. Neste mesmo fluxo, adicione um processor que salve os dados no HDFS no diretório</w:t>
      </w:r>
      <w:r>
        <w:t xml:space="preserve"> </w:t>
      </w:r>
      <w:r>
        <w:rPr>
          <w:rStyle w:val="VerbatimChar"/>
        </w:rPr>
        <w:t xml:space="preserve">/data/web/weberrors</w:t>
      </w:r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#adicione neste espaço suas evidências e comentários </w:t>
      </w:r>
    </w:p>
    <w:bookmarkEnd w:id="44"/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23" Target="media/rId23.png" /><Relationship Type="http://schemas.openxmlformats.org/officeDocument/2006/relationships/image" Id="rId37" Target="media/rId37.png" /><Relationship Type="http://schemas.openxmlformats.org/officeDocument/2006/relationships/image" Id="rId40" Target="media/rId40.png" /><Relationship Type="http://schemas.openxmlformats.org/officeDocument/2006/relationships/hyperlink" Id="rId26" Target="bin/nifi-kite-nar-1.13.2.nar" TargetMode="External" /><Relationship Type="http://schemas.openxmlformats.org/officeDocument/2006/relationships/hyperlink" Id="rId43" Target="src/log_generator-kafka.p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bin/nifi-kite-nar-1.13.2.nar" TargetMode="External" /><Relationship Type="http://schemas.openxmlformats.org/officeDocument/2006/relationships/hyperlink" Id="rId43" Target="src/log_generator-kafka.p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2022-09-15T21:22:57Z</dcterms:created>
  <dcterms:modified xsi:type="dcterms:W3CDTF">2022-09-15T21:22:57Z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