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9BC" w:rsidRPr="00B249BC" w:rsidRDefault="003D43FB" w:rsidP="00DA07C7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3D43F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pict>
          <v:rect id="_x0000_i1025" style="width:0;height:1pt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04"/>
      </w:tblGrid>
      <w:tr w:rsidR="00B249BC" w:rsidRPr="00B249BC">
        <w:trPr>
          <w:tblCellSpacing w:w="0" w:type="dxa"/>
        </w:trPr>
        <w:tc>
          <w:tcPr>
            <w:tcW w:w="0" w:type="auto"/>
            <w:vAlign w:val="center"/>
            <w:hideMark/>
          </w:tcPr>
          <w:p w:rsidR="00B249BC" w:rsidRDefault="00B249BC" w:rsidP="00DA07C7">
            <w:pPr>
              <w:spacing w:before="0" w:beforeAutospacing="0" w:after="0" w:afterAutospacing="0"/>
              <w:rPr>
                <w:rFonts w:ascii="Verdana" w:eastAsia="Times New Roman" w:hAnsi="Verdana" w:cs="Arial"/>
                <w:b/>
                <w:bCs/>
                <w:color w:val="000000"/>
                <w:kern w:val="36"/>
                <w:sz w:val="40"/>
                <w:szCs w:val="40"/>
                <w:lang w:eastAsia="pt-BR"/>
              </w:rPr>
            </w:pPr>
            <w:r w:rsidRPr="00B249BC">
              <w:rPr>
                <w:rFonts w:ascii="Verdana" w:eastAsia="Times New Roman" w:hAnsi="Verdana" w:cs="Arial"/>
                <w:b/>
                <w:bCs/>
                <w:color w:val="000000"/>
                <w:kern w:val="36"/>
                <w:sz w:val="40"/>
                <w:szCs w:val="40"/>
                <w:lang w:eastAsia="pt-BR"/>
              </w:rPr>
              <w:t xml:space="preserve">Gerador caseiro promete revolucionar setor energético nos EUA </w:t>
            </w:r>
          </w:p>
          <w:p w:rsidR="00B249BC" w:rsidRPr="00B249BC" w:rsidRDefault="00B249BC" w:rsidP="00DA07C7">
            <w:pPr>
              <w:spacing w:before="0" w:beforeAutospacing="0" w:after="0" w:afterAutospacing="0"/>
              <w:rPr>
                <w:rFonts w:ascii="Verdana" w:eastAsia="Times New Roman" w:hAnsi="Verdana" w:cs="Arial"/>
                <w:b/>
                <w:bCs/>
                <w:color w:val="CC3300"/>
                <w:sz w:val="20"/>
                <w:szCs w:val="20"/>
                <w:lang w:eastAsia="pt-BR"/>
              </w:rPr>
            </w:pPr>
            <w:r w:rsidRPr="00B249BC">
              <w:rPr>
                <w:rFonts w:ascii="Verdana" w:eastAsia="Times New Roman" w:hAnsi="Verdana" w:cs="Arial"/>
                <w:b/>
                <w:bCs/>
                <w:color w:val="CC3300"/>
                <w:sz w:val="20"/>
                <w:szCs w:val="20"/>
                <w:lang w:eastAsia="pt-BR"/>
              </w:rPr>
              <w:t xml:space="preserve">28/02/2010 - 10h59 </w:t>
            </w:r>
          </w:p>
          <w:p w:rsidR="00B249BC" w:rsidRPr="00B249BC" w:rsidRDefault="00B249BC" w:rsidP="00DA07C7">
            <w:pPr>
              <w:spacing w:before="0" w:beforeAutospacing="0" w:after="0" w:afterAutospacing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PAULA GIL</w:t>
            </w: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  <w:t xml:space="preserve">da </w:t>
            </w:r>
            <w:proofErr w:type="spellStart"/>
            <w:r w:rsidRPr="00B249B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Efe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em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San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Francisco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energia que em um futuro próximo iluminará nossas casas será limpa, barata e, para a felicidade dos ferrenhos consumidores de luz, permitirá praticamente se desvincular das companhias de energia elétrica.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Pelo menos é isso o que promete a Bloom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uma empresa californiana que há oito anos trabalha de forma secreta em uma nova fonte de energia. Esta semana, ela apresentou seu produto </w:t>
            </w:r>
            <w:proofErr w:type="gram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especialistas</w:t>
            </w:r>
            <w:proofErr w:type="gram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setor e jornalistas.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Bloom Box, como se chama o aparelho, é um inovador gerador que utiliza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biocombustíveis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ou gás para produzir eletricidade e, segundo seus criadores, permitirá a empresas e pessoas comuns gerar sua própria energia de forma limpa e econômica.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Ao contrário das células de hidrogênio, este sistema utiliza materiais mais baratos, é mais eficiente --permite produzir o dobro de eletricidade que outros sistemas com a mesma quantidade de combustível --é flexível e também reversível, pois o usuário pode armazenar o que não consome.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Por enquanto, os geradores têm o tamanho de um carro pequeno e custam em torno de US$ 800 mil. Embora a Bloom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insista que o investimento inicial pode ser recuperado em entre três e cinco anos, o preço não está ao alcance da maioria.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empresa acredita que em dez anos poderá fabricar geradores do tamanho de um tijolo e a um preço em torno de US$ 3 mil, transformando cada consumidor em uma potencial central elétrica.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"Nossa missão é pôr energia limpa e confiável ao alcance de todas as pessoas no mundo", disse K.R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Sridhar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cofundador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executivo-chefe da Bloom+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durante a apresentação do Bloom Box.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Por enquanto, só grandes empresas têm acesso ao aparelho e algumas companhias como Coca-Cola e </w:t>
            </w:r>
            <w:proofErr w:type="spellStart"/>
            <w:proofErr w:type="gram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eBay</w:t>
            </w:r>
            <w:proofErr w:type="spellEnd"/>
            <w:proofErr w:type="gram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testaram seu uso nos últimos meses.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primeiro cliente de pagamento da Bloom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foi outra companhia do Vale do Silício, Google, que tem instalado um gerador de 400 quilowatts em um de seus prédios e cobre com ele boa parte de seu consumo elétrico desde julho de 2008.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"Estamos muito emocionados com isso", reconheceu Larry Page,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cofundador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do Google, durante a apresentação do Bloom Box. "Eu gostaria ver um centro de dados inteiro funcionando com esse sistema", continuou.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grande vantagem é que o gerador permitirá aos consumidores abrir mão da companhia elétrica ou usá-la só em casos de emergência, apesar de ser necessário dispor de uma provisão de gás ou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biocombustível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fazê-lo funcionar.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 usuário poderá inclusive vender a sua companhia elétrica local a energia que não consumir, pois o gerador permite armazenamento.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 Bloom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é a única empresa trabalhando neste promissor setor, mas foi, talvez, a mais rápida.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"Há provavelmente cerca de 100 companhias trabalhando em algo muito similar", disse Jack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Brower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diretor associado do Centro Nacional de Pesquisa de Pilhas de Combustível ao diário "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Los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Angeles Times". "A chave está em que a Bloom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tem um sistema integrado e um pacote preparado para sua distribuição comercial", contou.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Os especialistas opinam que, no entanto, ainda há muitas questões por resolver antes de a inovação chegar às mãos de todos os consumidores.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Entre as dúvidas, por exemplo, está a vida útil do aparelho, que a Bloom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Energy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não esclareceu ainda. Pouca duração poderia significar o fracasso da invenção.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Outros analistas apontaram que a inovação poderia ter um indesejável efeito sobre o preço do gás natural ou dos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biocombustíveis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disparando o valor pelo aumento na demanda. </w:t>
            </w:r>
          </w:p>
          <w:p w:rsidR="00B249BC" w:rsidRPr="00B249BC" w:rsidRDefault="00B249BC" w:rsidP="00DA07C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Alguns especialistas temem também que o Bloom Box se transforme em um novo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Segway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aquele </w:t>
            </w:r>
            <w:proofErr w:type="spellStart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patinete</w:t>
            </w:r>
            <w:proofErr w:type="spellEnd"/>
            <w:r w:rsidRPr="00B249B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elétrico de alta tecnologia com o qual seus criadores esperavam revolucionar o mundo do transporte há cerca de dez anos e que hoje é simplesmente uma curiosidade para turistas em algumas cidades. EFE </w:t>
            </w:r>
          </w:p>
        </w:tc>
      </w:tr>
    </w:tbl>
    <w:p w:rsidR="009E52CC" w:rsidRDefault="009E52CC" w:rsidP="00DA07C7"/>
    <w:sectPr w:rsidR="009E52CC" w:rsidSect="009E5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9BC"/>
    <w:rsid w:val="001513F1"/>
    <w:rsid w:val="003D43FB"/>
    <w:rsid w:val="009E52CC"/>
    <w:rsid w:val="00B249BC"/>
    <w:rsid w:val="00DA0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49BC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Thiago</cp:lastModifiedBy>
  <cp:revision>2</cp:revision>
  <dcterms:created xsi:type="dcterms:W3CDTF">2010-02-28T18:32:00Z</dcterms:created>
  <dcterms:modified xsi:type="dcterms:W3CDTF">2010-05-03T18:11:00Z</dcterms:modified>
</cp:coreProperties>
</file>