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0070c0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767171"/>
          <w:sz w:val="32"/>
          <w:szCs w:val="32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767171"/>
          <w:sz w:val="32"/>
          <w:szCs w:val="32"/>
          <w:rtl w:val="0"/>
        </w:rPr>
        <w:t xml:space="preserve">Termo de adesão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UM MILHÃO DE OPORTUNIDADES PARA ADOLESCENTES E JOVENS</w:t>
      </w:r>
      <w:r w:rsidDel="00000000" w:rsidR="00000000" w:rsidRPr="00000000">
        <w:rPr>
          <w:color w:val="0070c0"/>
          <w:sz w:val="22"/>
          <w:szCs w:val="22"/>
          <w:rtl w:val="0"/>
        </w:rPr>
        <w:t xml:space="preserve"> </w:t>
      </w:r>
    </w:p>
    <w:p w:rsidR="00000000" w:rsidDel="00000000" w:rsidP="00000000" w:rsidRDefault="00000000" w:rsidRPr="00000000" w14:paraId="00000003">
      <w:pPr>
        <w:jc w:val="cente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 iniciativa 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Um Milhão de Oportunidades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é uma articulação das Nações Unidas, governos, setor privado e da sociedade civil engajados em criar oportunidades de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educação de qualidade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conectividade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formação de competências digitais 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e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participação cidadã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capacitação profissional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e acesso ao mundo do trabalho nas categorias de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aprendiz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estágio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emprego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para </w:t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adolescentes e jovens (14 a 24 anos) em situação de vulnerabilidade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.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POR QUE É URGENTE?</w:t>
      </w:r>
    </w:p>
    <w:p w:rsidR="00000000" w:rsidDel="00000000" w:rsidP="00000000" w:rsidRDefault="00000000" w:rsidRPr="00000000" w14:paraId="00000007">
      <w:pPr>
        <w:tabs>
          <w:tab w:val="center" w:pos="4419"/>
          <w:tab w:val="right" w:pos="8838"/>
        </w:tabs>
        <w:ind w:left="720" w:right="-597" w:firstLine="0"/>
        <w:jc w:val="right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7f7f7f"/>
          <w:sz w:val="22"/>
          <w:szCs w:val="22"/>
        </w:rPr>
      </w:pPr>
      <w:r w:rsidDel="00000000" w:rsidR="00000000" w:rsidRPr="00000000">
        <w:rPr>
          <w:color w:val="7f7f7f"/>
          <w:sz w:val="22"/>
          <w:szCs w:val="22"/>
          <w:rtl w:val="0"/>
        </w:rPr>
        <w:t xml:space="preserve">O Brasil tem hoje a maior geração de jovens da sua história. São mais de 48 milhões de adolescentes e jovens entre 10 e 24 anos. Mas 6,6 milhões deles, entre 18 e 24 anos, estão sem estudar e sem trabalhar. Na base, a exclusão escolar atinge 1,5 milhão de crianças e adolescentes (4 a 17 anos) e 6 milhões têm dois ou mais anos de atraso escolar. No total, 27 milhões de crianças e adolescentes brasileiros sofrem com privações múltiplas, sem a garantia de seus direitos fundamentais como acesso à moradia e saneamento. Eles são praticamente metade (49,7%) da população brasileira de até 17 anos. O Brasil é também o país com um dos maiores números de casos absolutos de homicídios de adolescentes em todo o mundo. Dados do Atlas da Violência 2019 mostram que, de cada 10 meninos de 15 a 19 anos que morreram no Brasil, quatro foram vítimas de homicídios. Negros, pardos, indígenas e adolescentes e jovens com deficiência são de duas a três vezes mais afetados pela violação de direitos, violência, desemprego e a exclusão e o atraso escolares.</w:t>
      </w:r>
    </w:p>
    <w:p w:rsidR="00000000" w:rsidDel="00000000" w:rsidP="00000000" w:rsidRDefault="00000000" w:rsidRPr="00000000" w14:paraId="00000009">
      <w:pPr>
        <w:ind w:left="720" w:firstLine="0"/>
        <w:rPr>
          <w:color w:val="7f7f7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7f7f7f"/>
          <w:sz w:val="22"/>
          <w:szCs w:val="22"/>
        </w:rPr>
      </w:pPr>
      <w:r w:rsidDel="00000000" w:rsidR="00000000" w:rsidRPr="00000000">
        <w:rPr>
          <w:color w:val="7f7f7f"/>
          <w:sz w:val="22"/>
          <w:szCs w:val="22"/>
          <w:rtl w:val="0"/>
        </w:rPr>
        <w:t xml:space="preserve">Fontes: PNAD/IBGE, Censo Escolar/INEP, SIM/Datasus, IPEA/Atlas da Violência, UNICEF/Pobreza na Infância e na Adolescência.</w:t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TRABALHO DECENTE</w:t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br w:type="textWrapping"/>
        <w:t xml:space="preserve">Formalizado pela Organização Internacional do Trabalho (OIT), em 1999, o conceito de trabalho decente sintetiza a missão histórica da organização de promover oportunidades para que homens e mulheres obtenham um trabalho produtivo e de qualidade, em condições de liberdade, equidade, segurança e dignidade humanas, sendo considerado condição fundamental para a superação da pobreza, a redução das desigualdades sociais, a garantia da governabilidade democrática e o desenvolvimento sustentável.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COMPROMISSOS</w:t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 participação de empresas na iniciativa 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Um Milhão de Oportunidades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implica:</w:t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Adesão formal à iniciativa por meio da concordância com este termo e suas condições;</w:t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Compromisso em gerar oportunidades de acesso ao mundo do trabalho para jovens e adolescentes em situação de vulnerabilidade de 14 a 24 anos nas categorias de estágio, aprendiz e emprego formal, seguindo o conceito de trabalho decente da Organização Internacional do Trabalho e a seção III do Estatuto da Juventude (Lei nº 12.852), que dispõe sobre o direito à profissionalização, ao trabalho e à renda, compreendendo os seguintes pilares:</w:t>
      </w:r>
    </w:p>
    <w:p w:rsidR="00000000" w:rsidDel="00000000" w:rsidP="00000000" w:rsidRDefault="00000000" w:rsidRPr="00000000" w14:paraId="00000017">
      <w:pPr>
        <w:tabs>
          <w:tab w:val="center" w:pos="4419"/>
          <w:tab w:val="right" w:pos="8838"/>
        </w:tabs>
        <w:ind w:left="720" w:right="-597" w:firstLine="0"/>
        <w:jc w:val="right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O respeito aos direitos no trabalho, especialmente aqueles definidos como fundamentais: liberdade sindical, direito de negociação coletiva, eliminação de todas as formas de discriminação em matéria de emprego e ocupação e erradicação de todas as formas de trabalho forçado e trabalho infantil;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 promoção do emprego produtivo e de qualidade;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 ampliação da proteção social;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O fortalecimento do diálogo social. </w:t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Informar e monitorar o preenchimento das vagas ofertadas e o desenvolvimento dos jovens e adolescentes em situação de vulnerabilidade que as ocuparem;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Promover a inclusão produtiva dos jovens e adolescentes em situação de vulnerabilidade social que acessarem as oportunidades ofertando formação, mentoria, possibilidades reais de crescimento profissional, oportunidades de participação em processos de decisão e apoio para aqueles que forem vítimas de violações de direitos e violências;  </w:t>
      </w:r>
    </w:p>
    <w:p w:rsidR="00000000" w:rsidDel="00000000" w:rsidP="00000000" w:rsidRDefault="00000000" w:rsidRPr="00000000" w14:paraId="0000001F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Valorização da diversidade e à não discriminação de gênero, cor, condição social ou de qualquer tipo;</w:t>
      </w:r>
    </w:p>
    <w:p w:rsidR="00000000" w:rsidDel="00000000" w:rsidP="00000000" w:rsidRDefault="00000000" w:rsidRPr="00000000" w14:paraId="00000021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Enfrentamento à todas as formas de violência e violação dos direitos de crianças e adolescentes expressos no Estatuto da Criança e do Adolescente e no Estatuto da Juventude;</w:t>
      </w:r>
    </w:p>
    <w:p w:rsidR="00000000" w:rsidDel="00000000" w:rsidP="00000000" w:rsidRDefault="00000000" w:rsidRPr="00000000" w14:paraId="00000023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Exibir o mais alto padrão de conduta para garantir que os valores fundamentais das Nações Unidas, da Convenção sobre os Direitos da Criança, da Convenção sobre a Eliminação de Todas as Formas de Discriminação contra as Mulheres e da Convenção sobre os Direitos das Pessoas com Deficiência sejam respeitados;</w:t>
      </w:r>
    </w:p>
    <w:p w:rsidR="00000000" w:rsidDel="00000000" w:rsidP="00000000" w:rsidRDefault="00000000" w:rsidRPr="00000000" w14:paraId="00000025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Cumprir as várias leis e convenções aplicáveis no Brasil que proíbem atos de corrupção e outros atos lesivos contra a administração pública, dentre elas a Convenção Anticorrupção da OCDE, a Convenção das Nações Unidas contra a Corrupção (Decreto Federal n° 5.687/06), o Código Penal Brasileiro, a Lei de Improbidade Administrativa (Lei n° 8.429/1992), Lei n° 9.613/98 e a Lei n° 12.846/2013, doravante denominadas, em conjunto, “Leis Anticorrupção”;</w:t>
      </w:r>
    </w:p>
    <w:p w:rsidR="00000000" w:rsidDel="00000000" w:rsidP="00000000" w:rsidRDefault="00000000" w:rsidRPr="00000000" w14:paraId="00000027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Manter práticas empresariais éticas em conformidade com as diferentes legislações federais, estaduais e municipais concernentes às relações e segurança do trabalho, às normas que disciplinam os direitos de propriedade intelectual e de personalidade e às normas e políticas de preservação ambiental;</w:t>
      </w:r>
    </w:p>
    <w:p w:rsidR="00000000" w:rsidDel="00000000" w:rsidP="00000000" w:rsidRDefault="00000000" w:rsidRPr="00000000" w14:paraId="00000029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Fomentar e se comprometer com os 17 Objetivos de Desenvolvimento Sustentável das Nações Unidas (ODS).</w:t>
      </w:r>
    </w:p>
    <w:p w:rsidR="00000000" w:rsidDel="00000000" w:rsidP="00000000" w:rsidRDefault="00000000" w:rsidRPr="00000000" w14:paraId="0000002B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PERFIS PRIORITÁRIOS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 iniciativa 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Um Milhão de Oportunidades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estabelece os seguintes critérios para a definição dos perfis prioritários de adolescentes e jovens de 14 a 24 anos em situação de vulnerabilidade. </w:t>
        <w:br w:type="textWrapping"/>
      </w: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- Étnico-racial;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br w:type="textWrapping"/>
        <w:t xml:space="preserve">- Renda (adolescentes e jovens sem renda ou renda per capita familiar de até R$ 150 mensais); </w:t>
        <w:br w:type="textWrapping"/>
        <w:br w:type="textWrapping"/>
        <w:t xml:space="preserve">- Localização (adolescentes e jovens moradores de periferias urbanas e zonas rurais); </w:t>
        <w:br w:type="textWrapping"/>
        <w:br w:type="textWrapping"/>
        <w:t xml:space="preserve">- Populações originárias (indígenas, quilombolas e ribeirinhos); </w:t>
        <w:br w:type="textWrapping"/>
        <w:br w:type="textWrapping"/>
        <w:t xml:space="preserve">- Migrantes; </w:t>
        <w:br w:type="textWrapping"/>
        <w:br w:type="textWrapping"/>
        <w:t xml:space="preserve">- Adolescentes e jovens com deficiência; </w:t>
        <w:br w:type="textWrapping"/>
        <w:br w:type="textWrapping"/>
        <w:t xml:space="preserve">- LBTQIA+; </w:t>
        <w:br w:type="textWrapping"/>
        <w:br w:type="textWrapping"/>
        <w:t xml:space="preserve">- Meninas nos mercados de Ciência, Tecnologia, Engenharia e afins; </w:t>
        <w:br w:type="textWrapping"/>
        <w:br w:type="textWrapping"/>
        <w:t xml:space="preserve">- Egressos do sistema socioeducativo e adolescentes e jovens cumprindo medidas socioeducativas em meio aberto; </w:t>
        <w:br w:type="textWrapping"/>
        <w:br w:type="textWrapping"/>
        <w:t xml:space="preserve">- Adolescentes e jovens mães;</w:t>
        <w:br w:type="textWrapping"/>
        <w:br w:type="textWrapping"/>
        <w:t xml:space="preserve">- Vítimas de trabalho infantil.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999999"/>
          <w:sz w:val="22"/>
          <w:szCs w:val="22"/>
        </w:rPr>
      </w:pPr>
      <w:r w:rsidDel="00000000" w:rsidR="00000000" w:rsidRPr="00000000">
        <w:rPr>
          <w:b w:val="1"/>
          <w:color w:val="999999"/>
          <w:sz w:val="22"/>
          <w:szCs w:val="22"/>
          <w:rtl w:val="0"/>
        </w:rPr>
        <w:t xml:space="preserve">VISIBILIDADE</w:t>
      </w:r>
    </w:p>
    <w:p w:rsidR="00000000" w:rsidDel="00000000" w:rsidP="00000000" w:rsidRDefault="00000000" w:rsidRPr="00000000" w14:paraId="00000032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As instituições parceiras da iniciativa 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Um Milhão de Oportunidades 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poderão fazer uso da marca da iniciativa em suas comunicações, passam a ser porta-vozes para novos integrantes e terão a visibilidade de suas marcas na plataforma 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Um Milhão de Oportunidades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 e demais materiais de divulgação da iniciativa dentro e fora do país.</w:t>
      </w:r>
    </w:p>
    <w:p w:rsidR="00000000" w:rsidDel="00000000" w:rsidP="00000000" w:rsidRDefault="00000000" w:rsidRPr="00000000" w14:paraId="00000034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Selo de instituição parceira </w:t>
      </w: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Um Milhão de Oportunidades </w:t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(1MIO): a instituição poderá usar a marca 1MIO em seus sites, peças de comunicação, publicações e divulgar os resultados atingidos.</w:t>
      </w:r>
    </w:p>
    <w:p w:rsidR="00000000" w:rsidDel="00000000" w:rsidP="00000000" w:rsidRDefault="00000000" w:rsidRPr="00000000" w14:paraId="00000036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Participação em eventos nacionais e globais da iniciativa: parceiros farão partes de eventos de governança e divulgação de ações e resultados da iniciativa.</w:t>
      </w:r>
    </w:p>
    <w:p w:rsidR="00000000" w:rsidDel="00000000" w:rsidP="00000000" w:rsidRDefault="00000000" w:rsidRPr="00000000" w14:paraId="00000038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Visibilidade na plataforma, redes sociais e materiais de comunicação: as marcas das instituições parceiras estarão na plataforma, peças de comunicação e publicações da iniciativa.</w:t>
      </w:r>
    </w:p>
    <w:p w:rsidR="00000000" w:rsidDel="00000000" w:rsidP="00000000" w:rsidRDefault="00000000" w:rsidRPr="00000000" w14:paraId="0000003A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Porta-voz da iniciativa no Brasil: os parceiros passam a ser porta-vozes para divulgar a iniciativa e provocar a aderência de novos integrantes.</w:t>
      </w:r>
    </w:p>
    <w:p w:rsidR="00000000" w:rsidDel="00000000" w:rsidP="00000000" w:rsidRDefault="00000000" w:rsidRPr="00000000" w14:paraId="0000003C">
      <w:pPr>
        <w:ind w:left="144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color w:val="999999"/>
          <w:sz w:val="22"/>
          <w:szCs w:val="22"/>
        </w:rPr>
      </w:pPr>
      <w:r w:rsidDel="00000000" w:rsidR="00000000" w:rsidRPr="00000000">
        <w:rPr>
          <w:i w:val="1"/>
          <w:color w:val="999999"/>
          <w:sz w:val="22"/>
          <w:szCs w:val="22"/>
          <w:rtl w:val="0"/>
        </w:rPr>
        <w:t xml:space="preserve">O Comitê Gestor da iniciativa Um Milhão de Oportunidades se reserva o direito de excluir unilateralmente da iniciativa quaisquer empresas que não cumprirem os compromissos expressos neste termo.</w:t>
      </w:r>
    </w:p>
    <w:p w:rsidR="00000000" w:rsidDel="00000000" w:rsidP="00000000" w:rsidRDefault="00000000" w:rsidRPr="00000000" w14:paraId="0000003F">
      <w:pPr>
        <w:tabs>
          <w:tab w:val="left" w:pos="6882"/>
        </w:tabs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114300</wp:posOffset>
                </wp:positionV>
                <wp:extent cx="243840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6800" y="3780000"/>
                          <a:ext cx="2438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114300</wp:posOffset>
                </wp:positionV>
                <wp:extent cx="2438400" cy="12700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101600</wp:posOffset>
                </wp:positionV>
                <wp:extent cx="243840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6800" y="3780000"/>
                          <a:ext cx="2438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101600</wp:posOffset>
                </wp:positionV>
                <wp:extent cx="2438400" cy="12700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38100</wp:posOffset>
                </wp:positionV>
                <wp:extent cx="2447925" cy="360547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27118" y="3608868"/>
                          <a:ext cx="24377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Representante da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Empresa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38100</wp:posOffset>
                </wp:positionV>
                <wp:extent cx="2447925" cy="360547"/>
                <wp:effectExtent b="0" l="0" r="0" t="0"/>
                <wp:wrapSquare wrapText="bothSides" distB="0" distT="0" distL="114300" distR="11430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605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990215" cy="474637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55655" y="3551718"/>
                          <a:ext cx="298069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Representante do Comitê Gestor da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Iniciativa “Um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ilhão de Oportunidades”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990215" cy="474637"/>
                <wp:effectExtent b="0" l="0" r="0" t="0"/>
                <wp:wrapSquare wrapText="bothSides" distB="0" distT="0" distL="114300" distR="11430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215" cy="474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6882"/>
        </w:tabs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882"/>
        </w:tabs>
        <w:spacing w:before="120" w:lineRule="auto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6882"/>
        </w:tabs>
        <w:rPr>
          <w:rFonts w:ascii="Lato" w:cs="Lato" w:eastAsia="Lato" w:hAnsi="Lato"/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20" w:w="11900" w:orient="portrait"/>
      <w:pgMar w:bottom="265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-597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3109780" cy="276491"/>
          <wp:effectExtent b="0" l="0" r="0" t="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09780" cy="2764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22"/>
        <w:szCs w:val="22"/>
      </w:rPr>
      <w:drawing>
        <wp:inline distB="114300" distT="114300" distL="114300" distR="114300">
          <wp:extent cx="1035025" cy="521652"/>
          <wp:effectExtent b="0" l="0" r="0" t="0"/>
          <wp:docPr id="2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5025" cy="5216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1018D"/>
    <w:pPr>
      <w:spacing w:after="100" w:afterAutospacing="1" w:before="100" w:beforeAutospacing="1"/>
    </w:pPr>
    <w:rPr>
      <w:rFonts w:ascii="Times New Roman" w:cs="Times New Roman" w:hAnsi="Times New Roman" w:eastAsiaTheme="minorEastAsia"/>
      <w:lang w:eastAsia="pt-BR"/>
    </w:rPr>
  </w:style>
  <w:style w:type="paragraph" w:styleId="ListParagraph">
    <w:name w:val="List Paragraph"/>
    <w:basedOn w:val="Normal"/>
    <w:uiPriority w:val="34"/>
    <w:qFormat w:val="1"/>
    <w:rsid w:val="005D692B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D69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unhideWhenUsed w:val="1"/>
    <w:rsid w:val="00925142"/>
  </w:style>
  <w:style w:type="character" w:styleId="FootnoteTextChar" w:customStyle="1">
    <w:name w:val="Footnote Text Char"/>
    <w:basedOn w:val="DefaultParagraphFont"/>
    <w:link w:val="FootnoteText"/>
    <w:uiPriority w:val="99"/>
    <w:rsid w:val="00925142"/>
  </w:style>
  <w:style w:type="character" w:styleId="FootnoteReference">
    <w:name w:val="footnote reference"/>
    <w:basedOn w:val="DefaultParagraphFont"/>
    <w:uiPriority w:val="99"/>
    <w:unhideWhenUsed w:val="1"/>
    <w:rsid w:val="009251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8E7F6E"/>
    <w:pPr>
      <w:tabs>
        <w:tab w:val="center" w:pos="4419"/>
        <w:tab w:val="right" w:pos="88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E7F6E"/>
  </w:style>
  <w:style w:type="paragraph" w:styleId="Footer">
    <w:name w:val="footer"/>
    <w:basedOn w:val="Normal"/>
    <w:link w:val="FooterChar"/>
    <w:uiPriority w:val="99"/>
    <w:unhideWhenUsed w:val="1"/>
    <w:rsid w:val="008E7F6E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E7F6E"/>
  </w:style>
  <w:style w:type="character" w:styleId="Hyperlink">
    <w:name w:val="Hyperlink"/>
    <w:basedOn w:val="DefaultParagraphFont"/>
    <w:uiPriority w:val="99"/>
    <w:unhideWhenUsed w:val="1"/>
    <w:rsid w:val="00231CC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 w:val="1"/>
    <w:rsid w:val="008C63CD"/>
  </w:style>
  <w:style w:type="character" w:styleId="EndnoteTextChar" w:customStyle="1">
    <w:name w:val="Endnote Text Char"/>
    <w:basedOn w:val="DefaultParagraphFont"/>
    <w:link w:val="EndnoteText"/>
    <w:uiPriority w:val="99"/>
    <w:rsid w:val="008C63CD"/>
  </w:style>
  <w:style w:type="character" w:styleId="EndnoteReference">
    <w:name w:val="endnote reference"/>
    <w:basedOn w:val="DefaultParagraphFont"/>
    <w:uiPriority w:val="99"/>
    <w:unhideWhenUsed w:val="1"/>
    <w:rsid w:val="008C63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40AF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40AF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MJ5Dxfz2p5UZzwpREMe/IU7B1w==">AMUW2mWiqartrCpOdcXHp6vsNprs8K3wJ0+UfHD/rdOlAIpF6NMOzR/jk39ansVcLZoiTnvN+skOaOH3GT8kY6uErIJoR03njZHB+H6fra03LbOvWetfenE=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2020-08-16T13:03:00Z</dcterms:created>
  <dc:creator>Usuário do Microsoft Office</dc:creator>
</cp:coreProperties>
</file>