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b/>
          <w:bCs/>
        </w:rPr>
        <w:t xml:space="preserve">ETEP FACULDADES</w:t>
      </w:r>
    </w:p>
    <w:p>
      <w:pPr>
        <w:spacing w:after="0" w:before="0" w:line="360"/>
        <w:jc w:val="center"/>
      </w:pPr>
      <w:r>
        <w:t xml:space="preserve">Projeto Multidisciplinar — 2026.2</w:t>
      </w:r>
    </w:p>
    <w:p>
      <w:pPr>
        <w:spacing w:after="0" w:before="0" w:line="360"/>
      </w:pPr>
    </w:p>
    <w:p>
      <w:pPr>
        <w:spacing w:after="0" w:before="0" w:line="360"/>
      </w:pPr>
    </w:p>
    <w:p>
      <w:pPr>
        <w:spacing w:after="0" w:before="0" w:line="360"/>
      </w:pPr>
    </w:p>
    <w:p>
      <w:pPr>
        <w:spacing w:after="0" w:before="0" w:line="360"/>
      </w:pPr>
    </w:p>
    <w:p>
      <w:pPr>
        <w:spacing w:after="0" w:before="0" w:line="360"/>
        <w:jc w:val="center"/>
      </w:pPr>
      <w:r>
        <w:t xml:space="preserve">THIAGO MARCELINO DOS REIS</w:t>
      </w:r>
    </w:p>
    <w:p>
      <w:pPr>
        <w:spacing w:after="0" w:before="0" w:line="360"/>
        <w:jc w:val="center"/>
      </w:pPr>
      <w:r>
        <w:t xml:space="preserve">Análise e Desenvolvimento de Sistemas</w:t>
      </w:r>
    </w:p>
    <w:p>
      <w:pPr>
        <w:spacing w:after="0" w:before="0" w:line="360"/>
      </w:pPr>
    </w:p>
    <w:p>
      <w:pPr>
        <w:spacing w:after="0" w:before="0" w:line="360"/>
        <w:jc w:val="center"/>
      </w:pPr>
      <w:r>
        <w:t xml:space="preserve">MARCUS PAULO PEREIRA DE OLIVEIRA</w:t>
      </w:r>
    </w:p>
    <w:p>
      <w:pPr>
        <w:spacing w:after="0" w:before="0" w:line="360"/>
        <w:jc w:val="center"/>
      </w:pPr>
      <w:r>
        <w:t xml:space="preserve">Ciência da Computação</w:t>
      </w:r>
    </w:p>
    <w:p>
      <w:pPr>
        <w:spacing w:after="0" w:before="0" w:line="360"/>
      </w:pPr>
    </w:p>
    <w:p>
      <w:pPr>
        <w:spacing w:after="0" w:before="0" w:line="360"/>
      </w:pPr>
    </w:p>
    <w:p>
      <w:pPr>
        <w:spacing w:after="0" w:before="0" w:line="360"/>
      </w:pPr>
    </w:p>
    <w:p>
      <w:pPr>
        <w:spacing w:after="0" w:before="0" w:line="360"/>
      </w:pPr>
    </w:p>
    <w:p>
      <w:pPr>
        <w:spacing w:after="0" w:before="0" w:line="360"/>
        <w:jc w:val="center"/>
      </w:pPr>
      <w:r>
        <w:rPr>
          <w:b/>
          <w:bCs/>
        </w:rPr>
        <w:t xml:space="preserve">EDUCACHAT</w:t>
      </w:r>
    </w:p>
    <w:p>
      <w:pPr>
        <w:spacing w:after="0" w:before="0" w:line="360"/>
        <w:jc w:val="center"/>
      </w:pPr>
      <w:r>
        <w:t xml:space="preserve">assistente de estudos alinhado à BNCC para estudantes do Ensino Fundamental II</w:t>
      </w:r>
    </w:p>
    <w:p>
      <w:pPr>
        <w:spacing w:after="0" w:before="0" w:line="360"/>
      </w:pPr>
    </w:p>
    <w:p>
      <w:pPr>
        <w:spacing w:after="0" w:before="0" w:line="360"/>
      </w:pPr>
    </w:p>
    <w:p>
      <w:pPr>
        <w:spacing w:after="0" w:before="0" w:line="360"/>
        <w:jc w:val="center"/>
      </w:pPr>
      <w:r>
        <w:t xml:space="preserve">Artigo extensionista</w:t>
      </w: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jc w:val="center"/>
      </w:pPr>
      <w:r>
        <w:t xml:space="preserve">São José dos Campos</w:t>
      </w:r>
    </w:p>
    <w:p>
      <w:pPr>
        <w:spacing w:after="0" w:before="0" w:line="360"/>
        <w:jc w:val="center"/>
      </w:pPr>
      <w:r>
        <w:t xml:space="preserve">2026</w:t>
      </w:r>
    </w:p>
    <w:p>
      <w:pPr>
        <w:pageBreakBefore/>
        <w:spacing w:after="60" w:before="0"/>
        <w:jc w:val="center"/>
      </w:pPr>
      <w:r>
        <w:rPr>
          <w:b/>
          <w:bCs/>
          <w:sz w:val="28"/>
          <w:szCs w:val="28"/>
        </w:rPr>
        <w:t xml:space="preserve">EDUCACHAT</w:t>
      </w:r>
    </w:p>
    <w:p>
      <w:pPr>
        <w:spacing w:after="360" w:line="240"/>
        <w:jc w:val="center"/>
      </w:pPr>
      <w:r>
        <w:rPr>
          <w:sz w:val="26"/>
          <w:szCs w:val="26"/>
        </w:rPr>
        <w:t xml:space="preserve">assistente de estudos alinhado à BNCC para estudantes do Ensino Fundamental II</w:t>
      </w:r>
    </w:p>
    <w:p>
      <w:pPr>
        <w:spacing w:after="0" w:before="120" w:line="240"/>
        <w:jc w:val="right"/>
      </w:pPr>
      <w:r>
        <w:rPr>
          <w:b/>
          <w:bCs/>
        </w:rPr>
        <w:t xml:space="preserve">Thiago Marcelino dos Reis</w:t>
      </w:r>
    </w:p>
    <w:p>
      <w:pPr>
        <w:spacing w:after="0" w:line="240"/>
        <w:jc w:val="right"/>
      </w:pPr>
      <w:r>
        <w:rPr>
          <w:sz w:val="20"/>
          <w:szCs w:val="20"/>
        </w:rPr>
        <w:t xml:space="preserve">Graduando em Análise e Desenvolvimento de Sistemas</w:t>
      </w:r>
    </w:p>
    <w:p>
      <w:pPr>
        <w:spacing w:after="0" w:line="240"/>
        <w:jc w:val="right"/>
      </w:pPr>
      <w:r>
        <w:rPr>
          <w:sz w:val="20"/>
          <w:szCs w:val="20"/>
        </w:rPr>
        <w:t xml:space="preserve">ETEP Faculdades — São José dos Campos (SP)</w:t>
      </w:r>
    </w:p>
    <w:p>
      <w:pPr>
        <w:spacing w:after="0" w:before="120" w:line="240"/>
        <w:jc w:val="right"/>
      </w:pPr>
      <w:r>
        <w:rPr>
          <w:b/>
          <w:bCs/>
        </w:rPr>
        <w:t xml:space="preserve">Marcus Paulo Pereira de Oliveira</w:t>
      </w:r>
    </w:p>
    <w:p>
      <w:pPr>
        <w:spacing w:after="0" w:line="240"/>
        <w:jc w:val="right"/>
      </w:pPr>
      <w:r>
        <w:rPr>
          <w:sz w:val="20"/>
          <w:szCs w:val="20"/>
        </w:rPr>
        <w:t xml:space="preserve">Graduando em Ciência da Computação</w:t>
      </w:r>
    </w:p>
    <w:p>
      <w:pPr>
        <w:spacing w:after="0" w:line="240"/>
        <w:jc w:val="right"/>
      </w:pPr>
      <w:r>
        <w:rPr>
          <w:sz w:val="20"/>
          <w:szCs w:val="20"/>
        </w:rPr>
        <w:t xml:space="preserve">ETEP Faculdades — São José dos Campos (SP)</w:t>
      </w:r>
    </w:p>
    <w:p>
      <w:pPr>
        <w:spacing w:after="120" w:before="360"/>
        <w:jc w:val="center"/>
      </w:pPr>
      <w:r>
        <w:rPr>
          <w:b/>
          <w:bCs/>
        </w:rPr>
        <w:t xml:space="preserve">RESUMO</w:t>
      </w:r>
    </w:p>
    <w:p>
      <w:pPr>
        <w:spacing w:after="120" w:line="240"/>
        <w:jc w:val="both"/>
      </w:pPr>
      <w:r>
        <w:t xml:space="preserve">O avanço da inteligência artificial generativa deu a estudantes acesso imediato a respostas, mas trouxe dois riscos pedagógicos: o uso como atalho para obter trabalhos prontos e explicações deslocadas da série do aluno. O projeto EducaChat desenvolveu um protótipo gratuito de assistente de estudos para alunos do 6º ao 9º ano do Ensino Fundamental, cujas respostas se apoiam nas habilidades da Base Nacional Comum Curricular válidas para a série do estudante. A ação foi realizada no ambiente acadêmico da ETEP, em São José dos Campos, por uma dupla de graduandos de Análise e Desenvolvimento de Sistemas e de Ciência da Computação, ainda sem escola parceira formalizada. A metodologia combinou desenvolvimento incremental, extração validada das 1.304 habilidades do Ensino Fundamental a partir do documento oficial, indexação das 730 habilidades do 6º ao 9º ano em base vetorial e geração aumentada por recuperação com filtro por série, lida do perfil autenticado e nunca da requisição. Para medir o efeito da recuperação, foi construído um conjunto de 151 consultas que compara o protótipo a um modelo de linguagem sem contexto curricular; na recuperação, nenhuma consulta retornou habilidade de outra série. A comparação das respostas geradas, a avaliação de usabilidade e a aplicação com estudantes permanecem como etapas seguintes. O projeto contribuiu para a formação dos discentes e oferece uma base reprodutível para um reforço escolar acessível e alinhado ao currículo.</w:t>
      </w:r>
    </w:p>
    <w:p>
      <w:pPr>
        <w:spacing w:after="120" w:line="240"/>
        <w:jc w:val="both"/>
      </w:pPr>
      <w:r>
        <w:rPr>
          <w:b/>
          <w:bCs/>
        </w:rPr>
        <w:t xml:space="preserve">Palavras-chave:</w:t>
      </w:r>
      <w:r>
        <w:t xml:space="preserve"> educação básica. inteligência artificial. BNCC. geração aumentada por recuperação. extensão universitária.</w:t>
      </w:r>
    </w:p>
    <w:p>
      <w:pPr>
        <w:spacing w:after="120" w:before="360"/>
        <w:jc w:val="center"/>
      </w:pPr>
      <w:r>
        <w:rPr>
          <w:b/>
          <w:bCs/>
        </w:rPr>
        <w:t xml:space="preserve">ABSTRACT</w:t>
      </w:r>
    </w:p>
    <w:p>
      <w:pPr>
        <w:spacing w:after="120" w:line="240"/>
        <w:jc w:val="both"/>
      </w:pPr>
      <w:r>
        <w:t xml:space="preserve">The advance of generative artificial intelligence has given students immediate access to answers, but it has brought two pedagogical risks: its use as a shortcut to obtain ready-made assignments and explanations that do not match the student's grade. The EducaChat project developed a free prototype of a study assistant for 6th to 9th grade students of Brazilian elementary education, whose answers are grounded in the skills of the National Common Core Curriculum (BNCC) that are valid for the student's grade. The action was carried out in the academic environment of ETEP, in São José dos Campos, by two undergraduate students of Systems Analysis and Development and of Computer Science, still without a formal partner school. The methodology combined incremental development, validated extraction of the 1,304 elementary school skills from the official document, indexing of the 730 skills from 6th to 9th grade in a vector database, and retrieval-augmented generation filtered by grade, which is read from the authenticated profile and never from the request. To measure the effect of retrieval, a set of 151 queries was built that compares the prototype with a language model without curricular context; in retrieval, no query returned a skill from another grade. The comparison of the generated answers, the usability evaluation and the application with students remain as next steps. The project contributed to the students' training and offers a reproducible basis for accessible school support aligned with the curriculum.</w:t>
      </w:r>
    </w:p>
    <w:p>
      <w:pPr>
        <w:spacing w:after="120" w:line="240"/>
        <w:jc w:val="both"/>
      </w:pPr>
      <w:r>
        <w:rPr>
          <w:b/>
          <w:bCs/>
        </w:rPr>
        <w:t xml:space="preserve">Keywords:</w:t>
      </w:r>
      <w:r>
        <w:t xml:space="preserve"> basic education. artificial intelligence. BNCC. retrieval-augmented generation. university extension.</w:t>
      </w:r>
    </w:p>
    <w:p>
      <w:pPr>
        <w:pageBreakBefore/>
        <w:spacing w:after="120" w:before="360"/>
        <w:jc w:val="center"/>
      </w:pPr>
      <w:r>
        <w:rPr>
          <w:b/>
          <w:bCs/>
        </w:rPr>
        <w:t xml:space="preserve">SUMÁRIO</w:t>
      </w:r>
    </w:p>
    <w:p>
      <w:pPr>
        <w:tabs>
          <w:tab w:val="right" w:pos="9071" w:leader="dot"/>
        </w:tabs>
        <w:spacing w:after="0" w:line="360"/>
      </w:pPr>
      <w:r>
        <w:rPr>
          <w:b/>
          <w:bCs/>
        </w:rPr>
        <w:t xml:space="preserve">1 INTRODUÇÃO</w:t>
      </w:r>
      <w:r>
        <w:rPr>
          <w:b/>
          <w:bCs/>
        </w:rPr>
        <w:t xml:space="preserve">	4</w:t>
      </w:r>
    </w:p>
    <w:p>
      <w:pPr>
        <w:tabs>
          <w:tab w:val="right" w:pos="9071" w:leader="dot"/>
        </w:tabs>
        <w:spacing w:after="0" w:line="360"/>
      </w:pPr>
      <w:r>
        <w:rPr>
          <w:b w:val="false"/>
          <w:bCs w:val="false"/>
        </w:rPr>
        <w:t xml:space="preserve">1.1 Diagnóstico da demanda</w:t>
      </w:r>
      <w:r>
        <w:rPr>
          <w:b w:val="false"/>
          <w:bCs w:val="false"/>
        </w:rPr>
        <w:t xml:space="preserve">	5</w:t>
      </w:r>
    </w:p>
    <w:p>
      <w:pPr>
        <w:tabs>
          <w:tab w:val="right" w:pos="9071" w:leader="dot"/>
        </w:tabs>
        <w:spacing w:after="0" w:line="360"/>
      </w:pPr>
      <w:r>
        <w:rPr>
          <w:b/>
          <w:bCs/>
        </w:rPr>
        <w:t xml:space="preserve">2 REFERENCIAL TEÓRICO</w:t>
      </w:r>
      <w:r>
        <w:rPr>
          <w:b/>
          <w:bCs/>
        </w:rPr>
        <w:t xml:space="preserve">	6</w:t>
      </w:r>
    </w:p>
    <w:p>
      <w:pPr>
        <w:tabs>
          <w:tab w:val="right" w:pos="9071" w:leader="dot"/>
        </w:tabs>
        <w:spacing w:after="0" w:line="360"/>
      </w:pPr>
      <w:r>
        <w:rPr>
          <w:b/>
          <w:bCs/>
        </w:rPr>
        <w:t xml:space="preserve">3 METODOLOGIA</w:t>
      </w:r>
      <w:r>
        <w:rPr>
          <w:b/>
          <w:bCs/>
        </w:rPr>
        <w:t xml:space="preserve">	8</w:t>
      </w:r>
    </w:p>
    <w:p>
      <w:pPr>
        <w:tabs>
          <w:tab w:val="right" w:pos="9071" w:leader="dot"/>
        </w:tabs>
        <w:spacing w:after="0" w:line="360"/>
      </w:pPr>
      <w:r>
        <w:rPr>
          <w:b w:val="false"/>
          <w:bCs w:val="false"/>
        </w:rPr>
        <w:t xml:space="preserve">3.1 Público participante e local de realização</w:t>
      </w:r>
      <w:r>
        <w:rPr>
          <w:b w:val="false"/>
          <w:bCs w:val="false"/>
        </w:rPr>
        <w:t xml:space="preserve">	9</w:t>
      </w:r>
    </w:p>
    <w:p>
      <w:pPr>
        <w:tabs>
          <w:tab w:val="right" w:pos="9071" w:leader="dot"/>
        </w:tabs>
        <w:spacing w:after="0" w:line="360"/>
      </w:pPr>
      <w:r>
        <w:rPr>
          <w:b w:val="false"/>
          <w:bCs w:val="false"/>
        </w:rPr>
        <w:t xml:space="preserve">3.2 Articulação com o parceiro externo</w:t>
      </w:r>
      <w:r>
        <w:rPr>
          <w:b w:val="false"/>
          <w:bCs w:val="false"/>
        </w:rPr>
        <w:t xml:space="preserve">	9</w:t>
      </w:r>
    </w:p>
    <w:p>
      <w:pPr>
        <w:tabs>
          <w:tab w:val="right" w:pos="9071" w:leader="dot"/>
        </w:tabs>
        <w:spacing w:after="0" w:line="360"/>
      </w:pPr>
      <w:r>
        <w:rPr>
          <w:b w:val="false"/>
          <w:bCs w:val="false"/>
        </w:rPr>
        <w:t xml:space="preserve">3.3 Plano de ação</w:t>
      </w:r>
      <w:r>
        <w:rPr>
          <w:b w:val="false"/>
          <w:bCs w:val="false"/>
        </w:rPr>
        <w:t xml:space="preserve">	10</w:t>
      </w:r>
    </w:p>
    <w:p>
      <w:pPr>
        <w:tabs>
          <w:tab w:val="right" w:pos="9071" w:leader="dot"/>
        </w:tabs>
        <w:spacing w:after="0" w:line="360"/>
      </w:pPr>
      <w:r>
        <w:rPr>
          <w:b w:val="false"/>
          <w:bCs w:val="false"/>
        </w:rPr>
        <w:t xml:space="preserve">3.4 Participação dos estudantes e integração curricular</w:t>
      </w:r>
      <w:r>
        <w:rPr>
          <w:b w:val="false"/>
          <w:bCs w:val="false"/>
        </w:rPr>
        <w:t xml:space="preserve">	10</w:t>
      </w:r>
    </w:p>
    <w:p>
      <w:pPr>
        <w:tabs>
          <w:tab w:val="right" w:pos="9071" w:leader="dot"/>
        </w:tabs>
        <w:spacing w:after="0" w:line="360"/>
      </w:pPr>
      <w:r>
        <w:rPr>
          <w:b w:val="false"/>
          <w:bCs w:val="false"/>
        </w:rPr>
        <w:t xml:space="preserve">3.5 Instrumentos de acompanhamento e avaliação</w:t>
      </w:r>
      <w:r>
        <w:rPr>
          <w:b w:val="false"/>
          <w:bCs w:val="false"/>
        </w:rPr>
        <w:t xml:space="preserve">	11</w:t>
      </w:r>
    </w:p>
    <w:p>
      <w:pPr>
        <w:tabs>
          <w:tab w:val="right" w:pos="9071" w:leader="dot"/>
        </w:tabs>
        <w:spacing w:after="0" w:line="360"/>
      </w:pPr>
      <w:r>
        <w:rPr>
          <w:b/>
          <w:bCs/>
        </w:rPr>
        <w:t xml:space="preserve">4 RESULTADOS E DISCUSSÃO</w:t>
      </w:r>
      <w:r>
        <w:rPr>
          <w:b/>
          <w:bCs/>
        </w:rPr>
        <w:t xml:space="preserve">	11</w:t>
      </w:r>
    </w:p>
    <w:p>
      <w:pPr>
        <w:tabs>
          <w:tab w:val="right" w:pos="9071" w:leader="dot"/>
        </w:tabs>
        <w:spacing w:after="0" w:line="360"/>
      </w:pPr>
      <w:r>
        <w:rPr>
          <w:b w:val="false"/>
          <w:bCs w:val="false"/>
        </w:rPr>
        <w:t xml:space="preserve">4.1 Ação extensionista realizada</w:t>
      </w:r>
      <w:r>
        <w:rPr>
          <w:b w:val="false"/>
          <w:bCs w:val="false"/>
        </w:rPr>
        <w:t xml:space="preserve">	11</w:t>
      </w:r>
    </w:p>
    <w:p>
      <w:pPr>
        <w:tabs>
          <w:tab w:val="right" w:pos="9071" w:leader="dot"/>
        </w:tabs>
        <w:spacing w:after="0" w:line="360"/>
      </w:pPr>
      <w:r>
        <w:rPr>
          <w:b w:val="false"/>
          <w:bCs w:val="false"/>
        </w:rPr>
        <w:t xml:space="preserve">4.2 Avaliação do protótipo</w:t>
      </w:r>
      <w:r>
        <w:rPr>
          <w:b w:val="false"/>
          <w:bCs w:val="false"/>
        </w:rPr>
        <w:t xml:space="preserve">	13</w:t>
      </w:r>
    </w:p>
    <w:p>
      <w:pPr>
        <w:tabs>
          <w:tab w:val="right" w:pos="9071" w:leader="dot"/>
        </w:tabs>
        <w:spacing w:after="0" w:line="360"/>
      </w:pPr>
      <w:r>
        <w:rPr>
          <w:b w:val="false"/>
          <w:bCs w:val="false"/>
        </w:rPr>
        <w:t xml:space="preserve">4.3 Devolutiva à comunidade</w:t>
      </w:r>
      <w:r>
        <w:rPr>
          <w:b w:val="false"/>
          <w:bCs w:val="false"/>
        </w:rPr>
        <w:t xml:space="preserve">	13</w:t>
      </w:r>
    </w:p>
    <w:p>
      <w:pPr>
        <w:tabs>
          <w:tab w:val="right" w:pos="9071" w:leader="dot"/>
        </w:tabs>
        <w:spacing w:after="0" w:line="360"/>
      </w:pPr>
      <w:r>
        <w:rPr>
          <w:b w:val="false"/>
          <w:bCs w:val="false"/>
        </w:rPr>
        <w:t xml:space="preserve">4.4 Aprendizagens e reflexão dos estudantes</w:t>
      </w:r>
      <w:r>
        <w:rPr>
          <w:b w:val="false"/>
          <w:bCs w:val="false"/>
        </w:rPr>
        <w:t xml:space="preserve">	13</w:t>
      </w:r>
    </w:p>
    <w:p>
      <w:pPr>
        <w:tabs>
          <w:tab w:val="right" w:pos="9071" w:leader="dot"/>
        </w:tabs>
        <w:spacing w:after="0" w:line="360"/>
      </w:pPr>
      <w:r>
        <w:rPr>
          <w:b/>
          <w:bCs/>
        </w:rPr>
        <w:t xml:space="preserve">5 CONSIDERAÇÕES FINAIS</w:t>
      </w:r>
      <w:r>
        <w:rPr>
          <w:b/>
          <w:bCs/>
        </w:rPr>
        <w:t xml:space="preserve">	13</w:t>
      </w:r>
    </w:p>
    <w:p>
      <w:pPr>
        <w:tabs>
          <w:tab w:val="right" w:pos="9071" w:leader="dot"/>
        </w:tabs>
        <w:spacing w:after="0" w:line="360"/>
      </w:pPr>
      <w:r>
        <w:rPr>
          <w:b/>
          <w:bCs/>
        </w:rPr>
        <w:t xml:space="preserve">REFERÊNCIAS</w:t>
      </w:r>
      <w:r>
        <w:rPr>
          <w:b/>
          <w:bCs/>
        </w:rPr>
        <w:t xml:space="preserve">	13</w:t>
      </w:r>
    </w:p>
    <w:p>
      <w:pPr>
        <w:tabs>
          <w:tab w:val="right" w:pos="9071" w:leader="dot"/>
        </w:tabs>
        <w:spacing w:after="0" w:line="360"/>
      </w:pPr>
      <w:r>
        <w:rPr>
          <w:b/>
          <w:bCs/>
        </w:rPr>
        <w:t xml:space="preserve">APÊNDICE A — HABILIDADES DA BNCC INDEXADAS POR COMPONENTE E ANO</w:t>
      </w:r>
      <w:r>
        <w:rPr>
          <w:b/>
          <w:bCs/>
        </w:rPr>
        <w:t xml:space="preserve">	15</w:t>
      </w:r>
    </w:p>
    <w:p>
      <w:pPr>
        <w:pStyle w:val="Heading1"/>
        <w:pageBreakBefore/>
      </w:pPr>
      <w:r>
        <w:t xml:space="preserve">1 INTRODUÇÃO</w:t>
      </w:r>
    </w:p>
    <w:p>
      <w:pPr>
        <w:ind w:firstLine="709"/>
        <w:jc w:val="both"/>
      </w:pPr>
      <w:r>
        <w:t xml:space="preserve">A popularização de assistentes de inteligência artificial generativa alterou o modo como muitos estudantes buscam apoio para tarefas escolares. Em poucos segundos, é possível obter uma redação, a resolução de uma equação ou um resumo de conteúdo histórico. Esse acesso imediato, contudo, convive com um problema pedagógico: quando a ferramenta entrega a resposta pronta, o aluno tende a copiar o resultado sem percorrer o raciocínio exigido pela etapa escolar em que se encontra. Além disso, modelos de uso geral frequentemente produzem explicações acima ou abaixo da série do estudante, misturando competências de anos distintos.</w:t>
      </w:r>
    </w:p>
    <w:p>
      <w:pPr>
        <w:ind w:firstLine="709"/>
        <w:jc w:val="both"/>
      </w:pPr>
      <w:r>
        <w:t xml:space="preserve">No Brasil, a Base Nacional Comum Curricular organiza aprendizagens por etapa e por componente, o que torna inadequado um “chat único” para todas as idades. Um aluno do 6º ano do Ensino Fundamental e um estudante do Ensino Médio não devem receber o mesmo recorte de Matemática, Português ou Ciências. O EducaChat parte dessa premissa: o cadastro registra a série, e o sistema restringe o material àquela etapa, com ênfase em Matemática, Português, Ciências e conhecimentos gerais.</w:t>
      </w:r>
    </w:p>
    <w:p>
      <w:pPr>
        <w:ind w:firstLine="709"/>
        <w:jc w:val="both"/>
      </w:pPr>
      <w:r>
        <w:t xml:space="preserve">A situação-problema que fundamenta o projeto é, portanto, dupla. De um lado, há desigualdade de acesso a reforço escolar presencial e gratuito. De outro, o uso irrestrito de IAs generativas pode aprofundar a dependência de respostas prontas e desalinhar o conteúdo da série. A relevância social aproxima-se do Objetivo de Desenvolvimento Sustentável 4, relativo à educação de qualidade, inclusiva e equitativa. A relevância acadêmica dialoga com o curso de Análise e Desenvolvimento de Sistemas e com a Ciência da Computação, ao exigir análise de requisitos, prototipação, persistência de dados, integração com modelo de linguagem e gestão ágil.</w:t>
      </w:r>
    </w:p>
    <w:p>
      <w:pPr>
        <w:ind w:firstLine="709"/>
        <w:jc w:val="both"/>
      </w:pPr>
      <w:r>
        <w:t xml:space="preserve">A ação insere-se nas Diretrizes para a Extensão na Educação Superior Brasileira, que vinculam a formação estudantil à interação com demandas da sociedade. Nesta Fase 1, o diálogo com a sociedade ocorre como planejamento: o protótipo é concebido para uso escolar futuro, embora ainda não exista instituição parceira formalizada. O local de elaboração é o ambiente acadêmico da ETEP, em São José dos Campos.</w:t>
      </w:r>
    </w:p>
    <w:p>
      <w:pPr>
        <w:ind w:firstLine="709"/>
        <w:jc w:val="both"/>
      </w:pPr>
      <w:r>
        <w:t xml:space="preserve">O objetivo geral é prototipar um assistente virtual escolar gratuito que oriente o estudante pelo método socrático e utilize apenas conteúdos compatíveis com a série informada. Os objetivos específicos são: (a) prever autenticação com indicação de série a partir do 6º ano; (b) filtrar materiais curriculares (BNCC) por etapa e componente; (c) oferecer três modos de uso — dúvida, estruturação de trabalho e exercício com correção comentada; (d) documentar o processo em artigo, repositório Git e quadro Kanban; (e) preparar apresentação e devolutiva quando houver espaço de aplicação.</w:t>
      </w:r>
    </w:p>
    <w:p>
      <w:pPr>
        <w:pStyle w:val="Heading2"/>
      </w:pPr>
      <w:r>
        <w:t xml:space="preserve">1.1 Diagnóstico da demanda</w:t>
      </w:r>
    </w:p>
    <w:p>
      <w:pPr>
        <w:ind w:firstLine="709"/>
        <w:jc w:val="both"/>
      </w:pPr>
      <w:r>
        <w:t xml:space="preserve">O diagnóstico que orienta o EducaChat é, nesta fase, documental, e não resulta de pesquisa de campo já concluída em uma escola específica. Essa escolha é explícita: ainda não há instituição parceira formalizada, e inventar entrevistas ou quantitativos de alunos comprometeria a integridade do relato extensionista. Os instrumentos utilizados foram a leitura da BNCC, a análise de diretrizes de extensão e a definição de requisitos da disciplina de projetos (interface em Vue, autenticação com série, versionamento Git e gestão em Trello). Não há, nesta Fase 1, observação sistematizada do uso de IAs generativas por estudantes: não se registrou método, período, amostra nem fonte empírica. A percepção de uso cotidiano dessas ferramentas entra apenas como hipótese de trabalho da equipe, a ser verificada quando houver escuta com escola.</w:t>
      </w:r>
    </w:p>
    <w:p>
      <w:pPr>
        <w:ind w:firstLine="709"/>
        <w:jc w:val="both"/>
      </w:pPr>
      <w:r>
        <w:t xml:space="preserve">O território de referência é São José dos Campos, no estado de São Paulo, onde se situa a ETEP. O público beneficiário pretendido são estudantes da educação básica a partir do 6º ano do Ensino Fundamental, em Matemática, Português, Ciências e conhecimentos gerais. O público executor é a dupla de graduandos Thiago Marcelino dos Reis, do curso de Análise e Desenvolvimento de Sistemas, e Marcus Paulo Pereira de Oliveira, de Ciência da Computação.</w:t>
      </w:r>
    </w:p>
    <w:p>
      <w:pPr>
        <w:ind w:firstLine="709"/>
        <w:jc w:val="both"/>
      </w:pPr>
      <w:r>
        <w:t xml:space="preserve">A demanda que o projeto assume pode ser sintetizada em três hipóteses de trabalho, e não em achados observacionais. Primeiro, ferramentas de IA de uso geral não distinguiriam adequadamente a série do aluno e, por isso, tenderiam a oferecer conteúdos deslocados da etapa. Segundo, o formato “resposta pronta” favoreceria a entrega de trabalhos escolares sem mediação pedagógica, o que conflitaria com a formação de competências previstas na BNCC. Terceiro, o reforço escolar presencial nem sempre seria acessível de forma contínua e gratuita, o que abriria espaço para um protótipo digital que oriente em vez de substituir o estudo.</w:t>
      </w:r>
    </w:p>
    <w:p>
      <w:pPr>
        <w:ind w:firstLine="709"/>
        <w:jc w:val="both"/>
      </w:pPr>
      <w:r>
        <w:t xml:space="preserve">Parte-se ainda da hipótese de que parte dos estudantes recorre a IAs no celular, sem mediação de professor e sem indicação de série. Isso reforça a tese de desenho de que um protótipo acadêmico só se justifica se incorporar, no próprio desenho, o filtro curricular e a recusa de tarefas prontas. A sustentabilidade educacional, neste diagnóstico, significa ampliar o acesso a um apoio gratuito e alinhado à etapa, e não substituir a escola.</w:t>
      </w:r>
    </w:p>
    <w:p>
      <w:pPr>
        <w:ind w:firstLine="709"/>
        <w:jc w:val="both"/>
      </w:pPr>
      <w:r>
        <w:t xml:space="preserve">A prioridade definida pela equipe, até que haja escuta com uma escola, é construir um produto mínimo viável com login, seleção de série, chat em três modos e base de conteúdos da etapa, usando materiais oficiais (BNCC) e um recorte de sustentabilidade educacional. A validação com professores e estudantes da educação básica fica registrada como etapa seguinte do plano de articulação, e não como resultado já obtido.</w:t>
      </w:r>
    </w:p>
    <w:p>
      <w:pPr>
        <w:pStyle w:val="Heading1"/>
      </w:pPr>
      <w:r>
        <w:t xml:space="preserve">2 REFERENCIAL TEÓRICO</w:t>
      </w:r>
    </w:p>
    <w:p>
      <w:pPr>
        <w:ind w:firstLine="709"/>
        <w:jc w:val="both"/>
      </w:pPr>
      <w:r>
        <w:t xml:space="preserve">A extensão universitária, no Brasil, não se reduz à prestação unilateral de serviço nem à produção exclusiva de artigo científico. A Resolução CNE/CES nº 7, de 18 de dezembro de 2018, estabelece as Diretrizes para a Extensão na Educação Superior Brasileira e afirma a extensão como atividade que integra a formação do estudante à interlocução com a sociedade (BRASIL, 2018). O EducaChat adota esse marco: o software é o meio de uma ação que pretende, quando aplicada, devolver à comunidade escolar um instrumento de apoio ao estudo, e não apenas um exercício interno de programação.</w:t>
      </w:r>
    </w:p>
    <w:p>
      <w:pPr>
        <w:ind w:firstLine="709"/>
        <w:jc w:val="both"/>
      </w:pPr>
      <w:r>
        <w:t xml:space="preserve">A educação de qualidade e o acesso ao conhecimento aproximam o projeto do Objetivo de Desenvolvimento Sustentável 4 da Agenda 2030, que trata de assegurar educação inclusiva, equitativa e de qualidade (ONU, 2015). A “sustentabilidade educacional” aqui não substitui o debate ambiental, mas o complementa: tecnologia pode reduzir barreiras de acesso a um reforço mediado, desde que não reproduza a lógica de atalho. O módulo de Ciências e conhecimentos gerais poderá, em etapas posteriores, dialogar também com temas de meio ambiente, energia e mudanças climáticas, alinhados a habilidades da BNCC.</w:t>
      </w:r>
    </w:p>
    <w:p>
      <w:pPr>
        <w:ind w:firstLine="709"/>
        <w:jc w:val="both"/>
      </w:pPr>
      <w:r>
        <w:t xml:space="preserve">A Base Nacional Comum Curricular define direitos de aprendizagem e organiza competências por etapa e componente curricular (BRASIL, 2018a). Esse documento é o principal recorte de conteúdo do protótipo. Ao indexar trechos por série e disciplina, o sistema evita tratar o currículo como um bloco único. A opção por partir do 6º ano corresponde ao segundo segmento do Ensino Fundamental, em que se intensificam a abstração matemática, a produção textual e os conceitos de Ciências, sem abandonar o cuidado com a linguagem adequada à faixa etária.</w:t>
      </w:r>
    </w:p>
    <w:p>
      <w:pPr>
        <w:ind w:firstLine="709"/>
        <w:jc w:val="both"/>
      </w:pPr>
      <w:r>
        <w:t xml:space="preserve">No campo da inteligência artificial aplicada à educação, distingue-se a tutoria inteligente — que diagnostica dificuldades e conduz o aprendiz — do uso de modelos generativos como meros produtores de texto. A UNESCO tem alertado para a necessidade de orientação ética, proteção de dados e centralidade humana no uso de IA em contextos educativos (UNESCO, 2021). O EducaChat posiciona-se no primeiro polo: o método socrático, baseado em perguntas que levam o aluno a explicitar o que já sabe e a dar o próximo passo, opera como restrição de desenho. Em dúvida, o sistema pede identificação de dados e hipóteses; em trabalho escolar, oferece estrutura e perguntas de pesquisa, não o texto final; em exercício, gera questão da série, aguarda a resposta e comenta o erro.</w:t>
      </w:r>
    </w:p>
    <w:p>
      <w:pPr>
        <w:ind w:firstLine="709"/>
        <w:jc w:val="both"/>
      </w:pPr>
      <w:r>
        <w:t xml:space="preserve">A proteção de dados pessoais de crianças e adolescentes é condição de legitimidade. A Lei nº 13.709/2018 (Lei Geral de Proteção de Dados Pessoais) exige finalidade, necessidade e segurança no tratamento de dados e, no caso de menores, o melhor interesse do titular (BRASIL, 2018b, art. 14). Antes de qualquer teste escolar, o projeto documenta e deve implementar os seguintes controles: (a) finalidade — tutoria socrática restrita à série cadastrada, sem perfilamento comercial; (b) hipótese legal — consentimento específico de pelo menos um responsável, nos termos do art. 14 da LGPD, e execução das atividades acadêmicas da extensão; (c) melhor interesse — o sistema recusa resposta pronta e conteúdo de outra série; (d) papéis — a equipe acadêmica (e, quando houver, a escola) atua como controladora do cadastro e da série; o Supabase e o OpenRouter atuam como operadores no limite do serviço contratado; (e) minimização — e-mail de teste, série e mensagens da conversa; sem nome civil, foto, geolocalização, dado de saúde ou identificador escolar; (f) retenção e exclusão — contas e histórico de teste são apagados ao fim da disciplina ou a pedido, o que ocorrer primeiro; (g) canal para direitos — pedido de acesso, correção ou exclusão pelo e-mail institucional da dupla, com prazo de resposta alinhado à LGPD; (h) bloqueio técnico de dados reais — enquanto não houver termo de responsável e parceiro, o protótipo opera só com contas fictícias; cadastro com dado de aluno real deve ser recusado.</w:t>
      </w:r>
    </w:p>
    <w:p>
      <w:pPr>
        <w:ind w:firstLine="709"/>
        <w:jc w:val="both"/>
      </w:pPr>
      <w:r>
        <w:t xml:space="preserve">No fluxo de envio ao OpenRouter, o texto da conversa constitui dado pessoal e segue para tratamento no exterior (Estados Unidos e, conforme o modelo roteado, outros países em que o provedor do modelo opere). Não há, até esta data, decisão de adequação da ANPD reconhecendo nível equivalente nesses destinos. O mecanismo aplicável, antes de teste com titulares reais, é a transferência internacional amparada no art. 33, II, “b”, da LGPD, mediante adesão integral às cláusulas-padrão contratuais do Anexo II da Resolução CD/ANPD nº 19/2024 (BRASIL, 2024), firmadas entre o exportador (equipe/instituição) e o importador (OpenRouter e, se houver subprocessamento, o provedor do modelo). Enquanto essas cláusulas e o aviso a responsáveis não existirem, o envio de conversa de aluno real permanece bloqueado. Essa ressalva será retomada no contato com o parceiro externo.</w:t>
      </w:r>
    </w:p>
    <w:p>
      <w:pPr>
        <w:ind w:firstLine="709"/>
        <w:jc w:val="both"/>
      </w:pPr>
      <w:r>
        <w:t xml:space="preserve">Do ponto de vista da engenharia de software, o projeto apoia-se em métodos ágeis e no quadro Kanban para visualizar o fluxo de trabalho (Backlog, A Fazer, Em Desenvolvimento, Em Teste, Concluído). A abordagem incremental reduz o risco de construir um sistema completo sem validação e atende à exigência da disciplina de versionar o código e movimentar cards conforme o progresso. A arquitetura prevista separa interface (Vue), API (FastAPI), persistência de usuários (PostgreSQL via Supabase) e busca semântica do material da série (ChromaDB local), de modo que o modelo de linguagem não “invente matéria”, mas se apoie em trechos recuperados e filtrados.</w:t>
      </w:r>
    </w:p>
    <w:p>
      <w:pPr>
        <w:ind w:firstLine="709"/>
        <w:jc w:val="both"/>
      </w:pPr>
      <w:r>
        <w:t xml:space="preserve">A literatura sobre sistemas de tutoria inteligente reforça que o valor pedagógico está menos na velocidade da resposta e mais no encadeamento de pistas, na verificação do que o aprendiz já compreende e no retorno sobre o erro. Transposto para um modelo generativo, isso implica recusar o papel de “autor fantasma” de trabalhos escolares. O EducaChat, ao separar os modos dúvida, trabalho e exercício, operacionaliza essa recusa: cada modo tem um contrato distinto com o aluno. No modo trabalho, por exemplo, o sistema pode sugerir introdução, desenvolvimento e conclusão e formular perguntas de pesquisa, mas não deve produzir o texto a ser entregue ao professor. Essa distinção é central para que o protótipo não contradiga a finalidade extensionista de apoiar a aprendizagem.</w:t>
      </w:r>
    </w:p>
    <w:p>
      <w:pPr>
        <w:ind w:firstLine="709"/>
        <w:jc w:val="both"/>
      </w:pPr>
      <w:r>
        <w:t xml:space="preserve">Outro eixo é a governança do conteúdo. Sem uma base curricular filtrada, o modelo de linguagem completa lacunas com conhecimento paramétrico, o que pode misturar competências de anos diferentes ou introduzir imprecisões. A opção por ChromaDB local, com metadados de série e disciplina, materializa o princípio da BNCC de progressão das aprendizagens. A BNCC não é “treinada” como um modelo novo; ela é recuperada em trechos e injetada no contexto da conversa. O modelo do OpenRouter, em variante gratuita, funciona apenas como motor linguístico. Essa divisão de responsabilidades — currículo na base vetorial, diálogo no modelo, identidade e série no banco relacional — é também uma decisão ética: reduz a chance de o sistema inventar matéria.</w:t>
      </w:r>
    </w:p>
    <w:p>
      <w:pPr>
        <w:ind w:firstLine="709"/>
        <w:jc w:val="both"/>
      </w:pPr>
      <w:r>
        <w:t xml:space="preserve">Do ponto de vista formativo, o referencial dialoga com competências da Análise e Desenvolvimento de Sistemas (requisitos, prototipação, dados, qualidade) e da Ciência da Computação (algoritmos, arquitetura, inteligência artificial). A Resolução CNE/CES nº 7/2018 destaca que a extensão deve contribuir para a formação cidadã e profissional. Ao documentar limitações (ausência temporária de escola parceira, teto de requisições da API gratuita, protótipo ainda sem papéis de professor e administrador), o projeto evita o discurso de solução milagrosa e assume o caráter incremental próprio da extensão e da engenharia de software.</w:t>
      </w:r>
    </w:p>
    <w:p>
      <w:pPr>
        <w:ind w:firstLine="709"/>
        <w:jc w:val="both"/>
      </w:pPr>
      <w:r>
        <w:t xml:space="preserve">Assim, o referencial articula extensão, currículo, tutoria, proteção de dados e prototipação ágil. Sem essa articulação, o EducaChat se reduziria a mais um chatbot genérico; com ela, o produto pretende ser um artefato de formação profissional e, futuramente, de apoio escolar.</w:t>
      </w:r>
    </w:p>
    <w:p>
      <w:pPr>
        <w:pStyle w:val="Heading1"/>
      </w:pPr>
      <w:r>
        <w:t xml:space="preserve">3 METODOLOGIA</w:t>
      </w:r>
    </w:p>
    <w:p>
      <w:pPr>
        <w:ind w:firstLine="709"/>
        <w:jc w:val="both"/>
      </w:pPr>
      <w:r>
        <w:t xml:space="preserve">O projeto será desenvolvido em ciclo de planejamento, prototipação e, quando houver parceiro, aplicação com devolutiva. A Fase 1 corresponde ao planejamento e à fundamentação teórica. A Fase 2 descreverá a execução efetivamente realizada. A Fase 3 reunirá resultados, discussão, aprendizagens e referências.</w:t>
      </w:r>
    </w:p>
    <w:p>
      <w:pPr>
        <w:ind w:firstLine="709"/>
        <w:jc w:val="both"/>
      </w:pPr>
      <w:r>
        <w:t xml:space="preserve">As estratégias previstas são: (1) diagnóstico documental da demanda; (2) recorte de público (a partir do 6º ano) e de componentes (Matemática, Português, Ciências e conhecimentos gerais); (3) gestão ágil em Trello, com um card por vez; (4) versionamento em GitHub; (5) implementação incremental da stack — Vue 3 e Vite no front-end, FastAPI em Python no back-end, Supabase para autenticação e série, ChromaDB local para trechos da BNCC, OpenRouter com modelo gratuito como motor de linguagem; (6) testes internos do protótipo; (7) planejamento de contato com escola; (8) documentação e apresentação em Word.</w:t>
      </w:r>
    </w:p>
    <w:p>
      <w:pPr>
        <w:ind w:firstLine="709"/>
        <w:jc w:val="both"/>
      </w:pPr>
      <w:r>
        <w:t xml:space="preserve">Os recursos incluem ambiente de desenvolvimento (Cursor), quadro Trello, repositório GitHub, materiais oficiais da BNCC, plano gratuito do Supabase e modelos `:free` do OpenRouter. A participação do público externo, nesta fase, é potencial: o protótipo é desenhado para o aluno da educação básica, mas a interação direta ainda não ocorreu. A metodologia deixa isso explícito para não confundir planejamento com execução.</w:t>
      </w:r>
    </w:p>
    <w:p>
      <w:pPr>
        <w:ind w:firstLine="709"/>
        <w:jc w:val="both"/>
      </w:pPr>
      <w:r>
        <w:t xml:space="preserve">O critério pedagógico de aceite do produto mínimo é o seguinte: o aluno autentica-se, informa a série, escolhe um modo (dúvida, trabalho ou exercício) e recebe condução socrática baseada em material daquela etapa. Pedidos de resposta pronta ou de conteúdo de outra série devem ser recusados e redirecionados.</w:t>
      </w:r>
    </w:p>
    <w:p>
      <w:pPr>
        <w:pStyle w:val="Heading2"/>
      </w:pPr>
      <w:r>
        <w:t xml:space="preserve">3.1 Público participante e local de realização</w:t>
      </w:r>
    </w:p>
    <w:p>
      <w:pPr>
        <w:ind w:firstLine="709"/>
        <w:jc w:val="both"/>
      </w:pPr>
      <w:r>
        <w:t xml:space="preserve">O público-alvo pretendido do EducaChat são estudantes da educação básica a partir do 6º ano do Ensino Fundamental, incluindo séries seguintes do Ensino Fundamental e, potencialmente, o Ensino Médio, desde que a série seja informada no cadastro. Os componentes priorizados no produto mínimo são Matemática, Português, Ciências e conhecimentos gerais. Não há número de participantes definido, porque ainda não existe turma parceira nem lista de inscritos.</w:t>
      </w:r>
    </w:p>
    <w:p>
      <w:pPr>
        <w:ind w:firstLine="709"/>
        <w:jc w:val="both"/>
      </w:pPr>
      <w:r>
        <w:t xml:space="preserve">O critério de participação no software é o cadastro com e-mail de teste e a escolha da série. A partir desse dado, o sistema filtra o material. Não se prevê, no primeiro protótipo, os papéis de professor e administrador, embora esses perfis permaneçam no backlog como evolução.</w:t>
      </w:r>
    </w:p>
    <w:p>
      <w:pPr>
        <w:ind w:firstLine="709"/>
        <w:jc w:val="both"/>
      </w:pPr>
      <w:r>
        <w:t xml:space="preserve">O local de realização desta Fase 1 é o ambiente acadêmico da ETEP, na Avenida Barão do Rio Branco, 882, Jardim Esplanada, São José dos Campos (SP). A aplicação em escola é perspectiva futura, condicionada à articulação descrita no item 1.6. A equipe executora é multidisciplinar: Thiago Marcelino dos Reis, do curso de Análise e Desenvolvimento de Sistemas, e Marcus Paulo Pereira de Oliveira, de Ciência da Computação.</w:t>
      </w:r>
    </w:p>
    <w:p>
      <w:pPr>
        <w:pStyle w:val="Heading2"/>
      </w:pPr>
      <w:r>
        <w:t xml:space="preserve">3.2 Articulação com o parceiro externo</w:t>
      </w:r>
    </w:p>
    <w:p>
      <w:pPr>
        <w:ind w:firstLine="709"/>
        <w:jc w:val="both"/>
      </w:pPr>
      <w:r>
        <w:t xml:space="preserve">Ainda não houve contato formal com escola, secretaria ou outra instituição parceira, nem reunião com data, pauta e acordo registrados. Esta seção descreve o planejamento da articulação, e não um fato já consumado.</w:t>
      </w:r>
    </w:p>
    <w:p>
      <w:pPr>
        <w:ind w:firstLine="709"/>
        <w:jc w:val="both"/>
      </w:pPr>
      <w:r>
        <w:t xml:space="preserve">A abordagem prevista consiste em apresentar o EducaChat a uma escola da rede municipal ou estadual de São José dos Campos, ou a um núcleo de reforço vinculado à educação básica, por meio dos canais institucionais da ETEP e do professor orientador. A equipe executora — Thiago Marcelino dos Reis (ADS) e Marcus Paulo Pereira de Oliveira (Ciência da Computação) — elaborará um convite objetivo, contendo: o que o protótipo faz e o que não faz; o recorte de série e de matérias; a garantia de que o sistema não redige trabalhos prontos; e os cuidados de LGPD (contas de teste, ausência de dados sensíveis, ciência de que a conversa transita por API de modelo de linguagem).</w:t>
      </w:r>
    </w:p>
    <w:p>
      <w:pPr>
        <w:ind w:firstLine="709"/>
        <w:jc w:val="both"/>
      </w:pPr>
      <w:r>
        <w:t xml:space="preserve">O que se pedirá ao parceiro, quando o contato ocorrer, é a possibilidade de teste supervisionado com estudantes a partir do 6º ano e a escuta de professores sobre dúvidas frequentes. O que se oferecerá em troca é o acesso ao protótipo, um relatório simples de uso e uma devolutiva presencial ou remota. As responsabilidades da equipe acadêmica incluem desenvolvimento, documentação e ética de dados; as da escola, quando houver aceite, incluirão autorização de responsáveis e mediação pedagógica.</w:t>
      </w:r>
    </w:p>
    <w:p>
      <w:pPr>
        <w:ind w:firstLine="709"/>
        <w:jc w:val="both"/>
      </w:pPr>
      <w:r>
        <w:t xml:space="preserve">Enquanto o parceiro não for formalizado, o desenvolvimento segue no ambiente da ETEP, com validação interna da dupla e do orientador. Qualquer alteração desse status será registrada nas Fases 2 e 3, sem retroagir como se a escola já tivesse participado desta Fase 1.</w:t>
      </w:r>
    </w:p>
    <w:p>
      <w:pPr>
        <w:pStyle w:val="Heading2"/>
      </w:pPr>
      <w:r>
        <w:t xml:space="preserve">3.3 Plano de ação</w:t>
      </w:r>
    </w:p>
    <w:p>
      <w:pPr>
        <w:ind w:firstLine="709"/>
        <w:jc w:val="both"/>
      </w:pPr>
      <w:r>
        <w:t xml:space="preserve">Etapa 1 — Planejamento (Fase 1): elaboração do artigo (itens 1.1 a 1.10), recorte de público e de stack, organização do Trello e criação do repositório GitHub. Responsáveis: Thiago Marcelino dos Reis e Marcus Paulo Pereira de Oliveira. Produto: texto da Fase 1 e quadro de tarefas.</w:t>
      </w:r>
    </w:p>
    <w:p>
      <w:pPr>
        <w:ind w:firstLine="709"/>
        <w:jc w:val="both"/>
      </w:pPr>
      <w:r>
        <w:t xml:space="preserve">Etapa 2 — Prototipação técnica: scaffold em Vue (login e chat), API FastAPI, projeto Supabase com campo de série, ingestão da BNCC da série no ChromaDB e, depois, ligação da API OpenRouter com prompt socrático. Responsáveis: a definir na divisão interna da dupla. Produto: protótipo navegável.</w:t>
      </w:r>
    </w:p>
    <w:p>
      <w:pPr>
        <w:ind w:firstLine="709"/>
        <w:jc w:val="both"/>
      </w:pPr>
      <w:r>
        <w:t xml:space="preserve">Etapa 3 — Articulação externa: convite a escola ou núcleo de reforço, com termo de ciência sobre dados. Produto: registro de contato (quando houver).</w:t>
      </w:r>
    </w:p>
    <w:p>
      <w:pPr>
        <w:ind w:firstLine="709"/>
        <w:jc w:val="both"/>
      </w:pPr>
      <w:r>
        <w:t xml:space="preserve">Etapa 4 — Teste e ajuste: uso interno e, se autorizado, uso supervisionado por estudantes a partir do 6º ano. Produto: lista de falhas e melhorias.</w:t>
      </w:r>
    </w:p>
    <w:p>
      <w:pPr>
        <w:ind w:firstLine="709"/>
        <w:jc w:val="both"/>
      </w:pPr>
      <w:r>
        <w:t xml:space="preserve">Etapa 5 — Devolutiva e apresentação: documentação técnica, artigo (Fases 2 e 3) e apresentação em Word. Recursos: computador, Cursor, Trello, GitHub, Supabase free, ChromaDB local, OpenRouter free, PDFs oficiais da BNCC. Cronograma: alinhado às datas da disciplina; a Fase 1 concentra-se em 02/09/2026.</w:t>
      </w:r>
    </w:p>
    <w:p>
      <w:pPr>
        <w:pStyle w:val="Heading2"/>
      </w:pPr>
      <w:r>
        <w:t xml:space="preserve">3.4 Participação dos estudantes e integração curricular</w:t>
      </w:r>
    </w:p>
    <w:p>
      <w:pPr>
        <w:ind w:firstLine="709"/>
        <w:jc w:val="both"/>
      </w:pPr>
      <w:r>
        <w:t xml:space="preserve">Os estudantes responsáveis pelo projeto são Thiago Marcelino dos Reis, do curso de Análise e Desenvolvimento de Sistemas, e Marcus Paulo Pereira de Oliveira, de Ciência da Computação, ambos no contexto da ETEP. A composição é multidisciplinar: o ADS contribui com análise de requisitos, prototipação de sistemas, modelagem de dados e gestão de projeto; a Ciência da Computação contribui com fundamentos de algoritmos, arquitetura, inteligência artificial e persistência.</w:t>
      </w:r>
    </w:p>
    <w:p>
      <w:pPr>
        <w:ind w:firstLine="709"/>
        <w:jc w:val="both"/>
      </w:pPr>
      <w:r>
        <w:t xml:space="preserve">Os conhecimentos aplicados incluem levantamento de requisitos, arquitetura em camadas, interface web, API REST, banco relacional, busca vetorial, engenharia de prompt e versionamento. A divisão detalhada de papéis (front, back, artigo, apresentação) será combinada entre a dupla e registrada no Trello, evitando sobrecarga de uma única pessoa. O professor da disciplina de projetos orienta o recorte, cobra as entregas por fase e acompanha o quadro Kanban.</w:t>
      </w:r>
    </w:p>
    <w:p>
      <w:pPr>
        <w:ind w:firstLine="709"/>
        <w:jc w:val="both"/>
      </w:pPr>
      <w:r>
        <w:t xml:space="preserve">A integração curricular ocorre ao transformar uma demanda social — reforço escolar mediado e alinhado à série — em produto de software e em artigo extensionista, articulando ensino (conteúdos da graduação), pesquisa (referencial e diagnóstico documental) e extensão (planejamento de devolutiva à escola).</w:t>
      </w:r>
    </w:p>
    <w:p>
      <w:pPr>
        <w:pStyle w:val="Heading2"/>
      </w:pPr>
      <w:r>
        <w:t xml:space="preserve">3.5 Instrumentos de acompanhamento e avaliação</w:t>
      </w:r>
    </w:p>
    <w:p>
      <w:pPr>
        <w:ind w:firstLine="709"/>
        <w:jc w:val="both"/>
      </w:pPr>
      <w:r>
        <w:t xml:space="preserve">O acompanhamento do projeto utilizará: quadro Trello (movimentação de cards como evidência de progresso); repositório GitHub (commits e histórico); arquivos do artigo por seção; registros de reunião da dupla; e, quando houver teste, lista de presença ou autorização de responsáveis, questionário breve de satisfação e prints do protótipo.</w:t>
      </w:r>
    </w:p>
    <w:p>
      <w:pPr>
        <w:ind w:firstLine="709"/>
        <w:jc w:val="both"/>
      </w:pPr>
      <w:r>
        <w:t xml:space="preserve">Indicadores quantitativos previstos: número de cards concluídos, número de commits, quantidade de matérias e séries efetivamente indexadas, e, após testes, número de sessões de uso. Indicadores qualitativos: clareza das respostas socráticas, adequação à série, recusa correta de pedidos de trabalho pronto e avaliação do orientador.</w:t>
      </w:r>
    </w:p>
    <w:p>
      <w:pPr>
        <w:ind w:firstLine="709"/>
        <w:jc w:val="both"/>
      </w:pPr>
      <w:r>
        <w:t xml:space="preserve">A devolutiva interna ocorrerá ao final de cada sprint (validação do card). A devolutiva externa dependerá da formalização do parceiro. Não se utilizarão, nesta Fase 1, dados de alunos reais de escola.</w:t>
      </w:r>
    </w:p>
    <w:p>
      <w:pPr>
        <w:pStyle w:val="Heading1"/>
      </w:pPr>
      <w:r>
        <w:t xml:space="preserve">4 RESULTADOS E DISCUSSÃO</w:t>
      </w:r>
    </w:p>
    <w:p>
      <w:pPr>
        <w:pStyle w:val="Heading2"/>
      </w:pPr>
      <w:r>
        <w:t xml:space="preserve">4.1 Ação extensionista realizada</w:t>
      </w:r>
    </w:p>
    <w:p>
      <w:pPr>
        <w:ind w:firstLine="709"/>
        <w:jc w:val="both"/>
      </w:pPr>
      <w:r>
        <w:t xml:space="preserve">A execução ocorreu no ambiente acadêmico da ETEP, em São José dos Campos, entre 26 de agosto e 30 de setembro de 2026. Não houve participação de público externo: nenhuma escola foi contatada formalmente e nenhum estudante da educação básica usou o sistema. Toda a validação relatada é técnica e interna à dupla.</w:t>
      </w:r>
    </w:p>
    <w:p>
      <w:pPr>
        <w:ind w:firstLine="709"/>
        <w:jc w:val="both"/>
      </w:pPr>
      <w:r>
        <w:t xml:space="preserve">Em 26 de agosto, o planejamento foi versionado em Git. Em 2 de setembro, foi entregue a Fase 1. Em 9 de setembro, Thiago Marcelino dos Reis publicou o esqueleto da API (FastAPI) e da interface (Vue) e uma primeira ingestão da BNCC no ChromaDB. Em paralelo, Marcus Paulo Pereira de Oliveira desenvolveu um pipeline completo, registrado no repositório em 30 de setembro. Como as duas ingestões se sobrepunham, a dupla adotou o pipeline de Marcus como base única e descartou a primeira versão, preservando o histórico de autoria.</w:t>
      </w:r>
    </w:p>
    <w:p>
      <w:pPr>
        <w:ind w:firstLine="709"/>
        <w:jc w:val="both"/>
      </w:pPr>
      <w:r>
        <w:t xml:space="preserve">O pipeline extrai as habilidades do PDF oficial da BNCC pela geometria da página: 1.304 habilidades do Ensino Fundamental. A completude foi verificada por dois critérios: todo código visível nas tabelas virou registro, e a numeração dos 70 prefixos é contígua. Essa verificação revelou e corrigiu dois erros silenciosos: 15 habilidades omitidas por um falso cabeçalho e 58 com o objeto de conhecimento fundido ao da linha vizinha. Foram indexadas 730 habilidades do 6º ao 9º ano, nos nove componentes. Dessas, 208 valem para mais de um ano. O modelo de embedding foi escolhido entre três multilíngues. O multilingual-e5-base foi o único que não truncou nenhuma habilidade (os outros truncariam 38, 5,2%) e teve o melhor resultado na tarefa proxy (hit@5 = 0,802; MRR@10 = 0,682). A ingestão completa levou 48,7 s em CPU.</w:t>
      </w:r>
    </w:p>
    <w:p>
      <w:pPr>
        <w:ind w:firstLine="709"/>
        <w:jc w:val="both"/>
      </w:pPr>
      <w:r>
        <w:t xml:space="preserve">Para medir o efeito da recuperação, foram implementadas duas condições com o mesmo modelo de linguagem, o mesmo prompt e os mesmos parâmetros:</w:t>
      </w:r>
    </w:p>
    <w:p>
      <w:pPr>
        <w:pStyle w:val="ListParagraph"/>
        <w:numPr>
          <w:ilvl w:val="0"/>
          <w:numId w:val="2"/>
        </w:numPr>
        <w:jc w:val="both"/>
      </w:pPr>
      <w:r>
        <w:t xml:space="preserve">um baseline, sem contexto;</w:t>
      </w:r>
    </w:p>
    <w:p>
      <w:pPr>
        <w:pStyle w:val="ListParagraph"/>
        <w:numPr>
          <w:ilvl w:val="0"/>
          <w:numId w:val="2"/>
        </w:numPr>
        <w:jc w:val="both"/>
      </w:pPr>
      <w:r>
        <w:t xml:space="preserve">o protótipo, que recebe as cinco habilidades mais próximas da pergunta, restritas às válidas no ano do aluno.</w:t>
      </w:r>
    </w:p>
    <w:p>
      <w:pPr>
        <w:ind w:firstLine="709"/>
        <w:jc w:val="both"/>
      </w:pPr>
      <w:r>
        <w:t xml:space="preserve">Antes de chamar o modelo, o protótipo confere que nenhuma habilidade recuperada é de outra série. Foi montado um conjunto de 151 consultas estratificadas por ano e componente: 72 conformes, 23 de série superior, 36 pedidos de trabalho pronto e 20 fora de escopo. Nas 151, a recuperação não trouxe nenhuma habilidade de outra série. As métricas (rastreabilidade, vazamento de série, códigos inexistentes e recusas) são calculadas por um script independente.</w:t>
      </w:r>
    </w:p>
    <w:p>
      <w:pPr>
        <w:ind w:firstLine="709"/>
        <w:jc w:val="both"/>
      </w:pPr>
      <w:r>
        <w:t xml:space="preserve">A API delega a autenticação ao Supabase Auth. A série é lida de uma tabela de perfis protegida por </w:t>
      </w:r>
      <w:r>
        <w:rPr>
          <w:i/>
          <w:iCs/>
        </w:rPr>
        <w:t xml:space="preserve">Row Level Security</w:t>
      </w:r>
      <w:r>
        <w:t xml:space="preserve">, criada no cadastro e que o aluno não pode alterar. O endpoint de conversa aceita apenas a pergunta, e 57 testes automatizados cobrem tentativas de burlar a série. A interface em Vue 3 tem cadastro, login e chat, exibe as habilidades da BNCC consultadas em cada resposta e conta com 18 testes automatizados.</w:t>
      </w:r>
    </w:p>
    <w:p>
      <w:pPr>
        <w:ind w:firstLine="709"/>
        <w:jc w:val="both"/>
      </w:pPr>
      <w:r>
        <w:t xml:space="preserve">Ajustes em relação ao planejado (1.5):</w:t>
      </w:r>
    </w:p>
    <w:p>
      <w:pPr>
        <w:pStyle w:val="ListParagraph"/>
        <w:numPr>
          <w:ilvl w:val="0"/>
          <w:numId w:val="2"/>
        </w:numPr>
        <w:jc w:val="both"/>
      </w:pPr>
      <w:r>
        <w:rPr>
          <w:b/>
          <w:bCs/>
        </w:rPr>
        <w:t xml:space="preserve">Componentes:</w:t>
      </w:r>
      <w:r>
        <w:t xml:space="preserve"> em vez de Matemática, Português, Ciências e "conhecimentos gerais", foram cobertos os nove componentes do Ensino Fundamental II. A extração do documento inteiro dispensou o recorte, e "conhecimentos gerais" não é um componente da BNCC.</w:t>
      </w:r>
    </w:p>
    <w:p>
      <w:pPr>
        <w:pStyle w:val="ListParagraph"/>
        <w:numPr>
          <w:ilvl w:val="0"/>
          <w:numId w:val="2"/>
        </w:numPr>
        <w:jc w:val="both"/>
      </w:pPr>
      <w:r>
        <w:rPr>
          <w:b/>
          <w:bCs/>
        </w:rPr>
        <w:t xml:space="preserve">Público:</w:t>
      </w:r>
      <w:r>
        <w:t xml:space="preserve"> restrito ao 6º–9º ano, que é o escopo da base indexada.</w:t>
      </w:r>
    </w:p>
    <w:p>
      <w:pPr>
        <w:pStyle w:val="ListParagraph"/>
        <w:numPr>
          <w:ilvl w:val="0"/>
          <w:numId w:val="2"/>
        </w:numPr>
        <w:jc w:val="both"/>
      </w:pPr>
      <w:r>
        <w:rPr>
          <w:b/>
          <w:bCs/>
        </w:rPr>
        <w:t xml:space="preserve">Modos de conversa:</w:t>
      </w:r>
      <w:r>
        <w:t xml:space="preserve"> os três modos (dúvida, trabalho e exercício) foram substituídos por um modo único. O prompt pede explicação adequada à série, recusa de trabalho pronto com orientação e redirecionamento de perguntas não escolares. A condução socrática por perguntas e o exercício com correção não foram implementados: priorizaram-se a garantia de série e um desenho de avaliação mensurável.</w:t>
      </w:r>
    </w:p>
    <w:p>
      <w:pPr>
        <w:pStyle w:val="ListParagraph"/>
        <w:numPr>
          <w:ilvl w:val="0"/>
          <w:numId w:val="2"/>
        </w:numPr>
        <w:jc w:val="both"/>
      </w:pPr>
      <w:r>
        <w:rPr>
          <w:b/>
          <w:bCs/>
        </w:rPr>
        <w:t xml:space="preserve">Filtro:</w:t>
      </w:r>
      <w:r>
        <w:t xml:space="preserve"> feito só por ano, porque a API não recebe o componente. Por isso, o contexto pode trazer uma habilidade de outro componente, sempre da série correta.</w:t>
      </w:r>
    </w:p>
    <w:p>
      <w:pPr>
        <w:pStyle w:val="ListParagraph"/>
        <w:numPr>
          <w:ilvl w:val="0"/>
          <w:numId w:val="2"/>
        </w:numPr>
        <w:jc w:val="both"/>
      </w:pPr>
      <w:r>
        <w:rPr>
          <w:b/>
          <w:bCs/>
        </w:rPr>
        <w:t xml:space="preserve">Avaliação:</w:t>
      </w:r>
      <w:r>
        <w:t xml:space="preserve"> os indicadores qualitativos previstos foram complementados pela comparação entre baseline e protótipo.</w:t>
      </w:r>
    </w:p>
    <w:p>
      <w:pPr>
        <w:ind w:firstLine="709"/>
        <w:jc w:val="both"/>
      </w:pPr>
      <w:r>
        <w:t xml:space="preserve">Ao fim do período, ainda faltavam: configurar o Supabase com chaves reais, executar as 151 consultas contra o OpenRouter (testadas até agora só com modelo simulado), percorrer o fluxo completo na interface e aplicar o questionário SUS. Sem essas etapas, não há resultado sobre a qualidade das respostas.</w:t>
      </w:r>
    </w:p>
    <w:p>
      <w:pPr>
        <w:pStyle w:val="Heading2"/>
      </w:pPr>
      <w:r>
        <w:t xml:space="preserve">4.2 Avaliação do protótipo</w:t>
      </w:r>
    </w:p>
    <w:p>
      <w:pPr>
        <w:jc w:val="both"/>
      </w:pPr>
      <w:r>
        <w:rPr>
          <w:i/>
          <w:iCs/>
          <w:color w:val="666666"/>
        </w:rPr>
        <w:t xml:space="preserve">Seção a redigir depois da avaliação com o OpenRouter (Quadro 1, métricas M1–M5) e da aplicação do questionário SUS no produto integrado.</w:t>
      </w:r>
    </w:p>
    <w:p>
      <w:pPr>
        <w:pStyle w:val="Heading2"/>
      </w:pPr>
      <w:r>
        <w:t xml:space="preserve">4.3 Devolutiva à comunidade</w:t>
      </w:r>
    </w:p>
    <w:p>
      <w:pPr>
        <w:jc w:val="both"/>
      </w:pPr>
      <w:r>
        <w:rPr>
          <w:i/>
          <w:iCs/>
          <w:color w:val="666666"/>
        </w:rPr>
        <w:t xml:space="preserve">Seção a redigir depois do contato com a escola parceira.</w:t>
      </w:r>
    </w:p>
    <w:p>
      <w:pPr>
        <w:pStyle w:val="Heading2"/>
      </w:pPr>
      <w:r>
        <w:t xml:space="preserve">4.4 Aprendizagens e reflexão dos estudantes</w:t>
      </w:r>
    </w:p>
    <w:p>
      <w:pPr>
        <w:jc w:val="both"/>
      </w:pPr>
      <w:r>
        <w:rPr>
          <w:i/>
          <w:iCs/>
          <w:color w:val="666666"/>
        </w:rPr>
        <w:t xml:space="preserve">Seção a redigir por cada integrante da dupla, com a própria aprendizagem.</w:t>
      </w:r>
    </w:p>
    <w:p>
      <w:pPr>
        <w:pStyle w:val="Heading1"/>
      </w:pPr>
      <w:r>
        <w:t xml:space="preserve">5 CONSIDERAÇÕES FINAIS</w:t>
      </w:r>
    </w:p>
    <w:p>
      <w:pPr>
        <w:jc w:val="both"/>
      </w:pPr>
      <w:r>
        <w:rPr>
          <w:i/>
          <w:iCs/>
          <w:color w:val="666666"/>
        </w:rPr>
        <w:t xml:space="preserve">Seção a redigir depois dos resultados da seção 4.</w:t>
      </w:r>
    </w:p>
    <w:p>
      <w:pPr>
        <w:pStyle w:val="Heading1"/>
      </w:pPr>
      <w:r>
        <w:t xml:space="preserve">REFERÊNCIAS</w:t>
      </w:r>
    </w:p>
    <w:p>
      <w:pPr>
        <w:spacing w:after="240" w:line="240"/>
        <w:jc w:val="left"/>
      </w:pPr>
      <w:r>
        <w:t xml:space="preserve">BRASIL. Conselho Nacional de Educação. Câmara de Educação Superior. Resolução CNE/CES nº 7, de 18 de dezembro de 2018. Estabelece as Diretrizes para a Extensão na Educação Superior Brasileira. Diário Oficial da União: seção 1, Brasília, DF, 19 dez. 2018.</w:t>
      </w:r>
    </w:p>
    <w:p>
      <w:pPr>
        <w:spacing w:after="240" w:line="240"/>
        <w:jc w:val="left"/>
      </w:pPr>
      <w:r>
        <w:t xml:space="preserve">BRASIL. Ministério da Educação. Base Nacional Comum Curricular. Brasília: MEC, 2018a.</w:t>
      </w:r>
    </w:p>
    <w:p>
      <w:pPr>
        <w:spacing w:after="240" w:line="240"/>
        <w:jc w:val="left"/>
      </w:pPr>
      <w:r>
        <w:t xml:space="preserve">BRASIL. Lei nº 13.709, de 14 de agosto de 2018. Lei Geral de Proteção de Dados Pessoais (LGPD). Diário Oficial da União: seção 1, Brasília, DF, 15 ago. 2018b.</w:t>
      </w:r>
    </w:p>
    <w:p>
      <w:pPr>
        <w:spacing w:after="240" w:line="240"/>
        <w:jc w:val="left"/>
      </w:pPr>
      <w:r>
        <w:t xml:space="preserve">BRASIL. Autoridade Nacional de Proteção de Dados. Resolução CD/ANPD nº 19, de 23 de agosto de 2024. Aprova o Regulamento de Transferência Internacional de Dados e o conteúdo das cláusulas-padrão contratuais. Diário Oficial da União: seção 1, Brasília, DF, 23 ago. 2024.</w:t>
      </w:r>
    </w:p>
    <w:p>
      <w:pPr>
        <w:spacing w:after="240" w:line="240"/>
        <w:jc w:val="left"/>
      </w:pPr>
      <w:r>
        <w:t xml:space="preserve">ORGANIZAÇÃO DAS NAÇÕES UNIDAS. Transformando nosso mundo: a Agenda 2030 para o Desenvolvimento Sustentável. Nova York: ONU, 2015.</w:t>
      </w:r>
    </w:p>
    <w:p>
      <w:pPr>
        <w:spacing w:after="240" w:line="240"/>
        <w:jc w:val="left"/>
      </w:pPr>
      <w:r>
        <w:t xml:space="preserve">UNESCO. Recomendação sobre a Ética da Inteligência Artificial. Paris: Unesco, 2021.</w:t>
      </w:r>
    </w:p>
    <w:p>
      <w:pPr>
        <w:pStyle w:val="Heading1"/>
        <w:pageBreakBefore/>
      </w:pPr>
      <w:r>
        <w:t xml:space="preserve">APÊNDICE A — HABILIDADES DA BNCC INDEXADAS POR COMPONENTE E ANO</w:t>
      </w:r>
    </w:p>
    <w:p>
      <w:pPr>
        <w:spacing w:after="120" w:line="240"/>
        <w:jc w:val="center"/>
      </w:pPr>
      <w:r>
        <w:rPr>
          <w:sz w:val="20"/>
          <w:szCs w:val="20"/>
        </w:rPr>
        <w:t xml:space="preserve">Tabela 1 — Habilidades disponíveis para o aluno de cada ano</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3626"/>
        <w:gridCol w:w="1300"/>
        <w:gridCol w:w="1300"/>
        <w:gridCol w:w="1300"/>
        <w:gridCol w:w="1300"/>
      </w:tblGrid>
      <w:tr>
        <w:tc>
          <w:tcPr>
            <w:tcW w:type="dxa" w:w="3626"/>
            <w:tcBorders>
              <w:top w:val="single" w:color="000000" w:sz="4"/>
              <w:left w:val="single" w:color="000000" w:sz="4"/>
              <w:bottom w:val="single" w:color="000000" w:sz="4"/>
              <w:right w:val="single" w:color="000000" w:sz="4"/>
            </w:tcBorders>
          </w:tcPr>
          <w:p>
            <w:pPr>
              <w:spacing w:after="40" w:before="40" w:line="240"/>
              <w:jc w:val="left"/>
            </w:pPr>
            <w:r>
              <w:rPr>
                <w:b/>
                <w:bCs/>
                <w:sz w:val="20"/>
                <w:szCs w:val="20"/>
              </w:rPr>
              <w:t xml:space="preserve">Componente</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bCs/>
                <w:sz w:val="20"/>
                <w:szCs w:val="20"/>
              </w:rPr>
              <w:t xml:space="preserve">6º</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bCs/>
                <w:sz w:val="20"/>
                <w:szCs w:val="20"/>
              </w:rPr>
              <w:t xml:space="preserve">7º</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bCs/>
                <w:sz w:val="20"/>
                <w:szCs w:val="20"/>
              </w:rPr>
              <w:t xml:space="preserve">8º</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bCs/>
                <w:sz w:val="20"/>
                <w:szCs w:val="20"/>
              </w:rPr>
              <w:t xml:space="preserve">9º</w:t>
            </w:r>
          </w:p>
        </w:tc>
      </w:tr>
      <w:tr>
        <w:tc>
          <w:tcPr>
            <w:tcW w:type="dxa" w:w="3626"/>
            <w:tcBorders>
              <w:top w:val="single" w:color="000000" w:sz="4"/>
              <w:left w:val="single" w:color="000000" w:sz="4"/>
              <w:bottom w:val="single" w:color="000000" w:sz="4"/>
              <w:right w:val="single" w:color="000000" w:sz="4"/>
            </w:tcBorders>
          </w:tcPr>
          <w:p>
            <w:pPr>
              <w:spacing w:after="40" w:before="40" w:line="240"/>
              <w:jc w:val="left"/>
            </w:pPr>
            <w:r>
              <w:rPr>
                <w:b w:val="false"/>
                <w:bCs w:val="false"/>
                <w:sz w:val="20"/>
                <w:szCs w:val="20"/>
              </w:rPr>
              <w:t xml:space="preserve">Arte</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35</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35</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35</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35</w:t>
            </w:r>
          </w:p>
        </w:tc>
      </w:tr>
      <w:tr>
        <w:tc>
          <w:tcPr>
            <w:tcW w:type="dxa" w:w="3626"/>
            <w:tcBorders>
              <w:top w:val="single" w:color="000000" w:sz="4"/>
              <w:left w:val="single" w:color="000000" w:sz="4"/>
              <w:bottom w:val="single" w:color="000000" w:sz="4"/>
              <w:right w:val="single" w:color="000000" w:sz="4"/>
            </w:tcBorders>
          </w:tcPr>
          <w:p>
            <w:pPr>
              <w:spacing w:after="40" w:before="40" w:line="240"/>
              <w:jc w:val="left"/>
            </w:pPr>
            <w:r>
              <w:rPr>
                <w:b w:val="false"/>
                <w:bCs w:val="false"/>
                <w:sz w:val="20"/>
                <w:szCs w:val="20"/>
              </w:rPr>
              <w:t xml:space="preserve">Ciências</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14</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16</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16</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17</w:t>
            </w:r>
          </w:p>
        </w:tc>
      </w:tr>
      <w:tr>
        <w:tc>
          <w:tcPr>
            <w:tcW w:type="dxa" w:w="3626"/>
            <w:tcBorders>
              <w:top w:val="single" w:color="000000" w:sz="4"/>
              <w:left w:val="single" w:color="000000" w:sz="4"/>
              <w:bottom w:val="single" w:color="000000" w:sz="4"/>
              <w:right w:val="single" w:color="000000" w:sz="4"/>
            </w:tcBorders>
          </w:tcPr>
          <w:p>
            <w:pPr>
              <w:spacing w:after="40" w:before="40" w:line="240"/>
              <w:jc w:val="left"/>
            </w:pPr>
            <w:r>
              <w:rPr>
                <w:b w:val="false"/>
                <w:bCs w:val="false"/>
                <w:sz w:val="20"/>
                <w:szCs w:val="20"/>
              </w:rPr>
              <w:t xml:space="preserve">Educação Física</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21</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21</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21</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21</w:t>
            </w:r>
          </w:p>
        </w:tc>
      </w:tr>
      <w:tr>
        <w:tc>
          <w:tcPr>
            <w:tcW w:type="dxa" w:w="3626"/>
            <w:tcBorders>
              <w:top w:val="single" w:color="000000" w:sz="4"/>
              <w:left w:val="single" w:color="000000" w:sz="4"/>
              <w:bottom w:val="single" w:color="000000" w:sz="4"/>
              <w:right w:val="single" w:color="000000" w:sz="4"/>
            </w:tcBorders>
          </w:tcPr>
          <w:p>
            <w:pPr>
              <w:spacing w:after="40" w:before="40" w:line="240"/>
              <w:jc w:val="left"/>
            </w:pPr>
            <w:r>
              <w:rPr>
                <w:b w:val="false"/>
                <w:bCs w:val="false"/>
                <w:sz w:val="20"/>
                <w:szCs w:val="20"/>
              </w:rPr>
              <w:t xml:space="preserve">Ensino Religioso</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7</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8</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7</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8</w:t>
            </w:r>
          </w:p>
        </w:tc>
      </w:tr>
      <w:tr>
        <w:tc>
          <w:tcPr>
            <w:tcW w:type="dxa" w:w="3626"/>
            <w:tcBorders>
              <w:top w:val="single" w:color="000000" w:sz="4"/>
              <w:left w:val="single" w:color="000000" w:sz="4"/>
              <w:bottom w:val="single" w:color="000000" w:sz="4"/>
              <w:right w:val="single" w:color="000000" w:sz="4"/>
            </w:tcBorders>
          </w:tcPr>
          <w:p>
            <w:pPr>
              <w:spacing w:after="40" w:before="40" w:line="240"/>
              <w:jc w:val="left"/>
            </w:pPr>
            <w:r>
              <w:rPr>
                <w:b w:val="false"/>
                <w:bCs w:val="false"/>
                <w:sz w:val="20"/>
                <w:szCs w:val="20"/>
              </w:rPr>
              <w:t xml:space="preserve">Geografia</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13</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12</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24</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18</w:t>
            </w:r>
          </w:p>
        </w:tc>
      </w:tr>
      <w:tr>
        <w:tc>
          <w:tcPr>
            <w:tcW w:type="dxa" w:w="3626"/>
            <w:tcBorders>
              <w:top w:val="single" w:color="000000" w:sz="4"/>
              <w:left w:val="single" w:color="000000" w:sz="4"/>
              <w:bottom w:val="single" w:color="000000" w:sz="4"/>
              <w:right w:val="single" w:color="000000" w:sz="4"/>
            </w:tcBorders>
          </w:tcPr>
          <w:p>
            <w:pPr>
              <w:spacing w:after="40" w:before="40" w:line="240"/>
              <w:jc w:val="left"/>
            </w:pPr>
            <w:r>
              <w:rPr>
                <w:b w:val="false"/>
                <w:bCs w:val="false"/>
                <w:sz w:val="20"/>
                <w:szCs w:val="20"/>
              </w:rPr>
              <w:t xml:space="preserve">História</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19</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17</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27</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36</w:t>
            </w:r>
          </w:p>
        </w:tc>
      </w:tr>
      <w:tr>
        <w:tc>
          <w:tcPr>
            <w:tcW w:type="dxa" w:w="3626"/>
            <w:tcBorders>
              <w:top w:val="single" w:color="000000" w:sz="4"/>
              <w:left w:val="single" w:color="000000" w:sz="4"/>
              <w:bottom w:val="single" w:color="000000" w:sz="4"/>
              <w:right w:val="single" w:color="000000" w:sz="4"/>
            </w:tcBorders>
          </w:tcPr>
          <w:p>
            <w:pPr>
              <w:spacing w:after="40" w:before="40" w:line="240"/>
              <w:jc w:val="left"/>
            </w:pPr>
            <w:r>
              <w:rPr>
                <w:b w:val="false"/>
                <w:bCs w:val="false"/>
                <w:sz w:val="20"/>
                <w:szCs w:val="20"/>
              </w:rPr>
              <w:t xml:space="preserve">Língua Inglesa</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26</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23</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20</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19</w:t>
            </w:r>
          </w:p>
        </w:tc>
      </w:tr>
      <w:tr>
        <w:tc>
          <w:tcPr>
            <w:tcW w:type="dxa" w:w="3626"/>
            <w:tcBorders>
              <w:top w:val="single" w:color="000000" w:sz="4"/>
              <w:left w:val="single" w:color="000000" w:sz="4"/>
              <w:bottom w:val="single" w:color="000000" w:sz="4"/>
              <w:right w:val="single" w:color="000000" w:sz="4"/>
            </w:tcBorders>
          </w:tcPr>
          <w:p>
            <w:pPr>
              <w:spacing w:after="40" w:before="40" w:line="240"/>
              <w:jc w:val="left"/>
            </w:pPr>
            <w:r>
              <w:rPr>
                <w:b w:val="false"/>
                <w:bCs w:val="false"/>
                <w:sz w:val="20"/>
                <w:szCs w:val="20"/>
              </w:rPr>
              <w:t xml:space="preserve">Língua Portuguesa</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106</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108</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109</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105</w:t>
            </w:r>
          </w:p>
        </w:tc>
      </w:tr>
      <w:tr>
        <w:tc>
          <w:tcPr>
            <w:tcW w:type="dxa" w:w="3626"/>
            <w:tcBorders>
              <w:top w:val="single" w:color="000000" w:sz="4"/>
              <w:left w:val="single" w:color="000000" w:sz="4"/>
              <w:bottom w:val="single" w:color="000000" w:sz="4"/>
              <w:right w:val="single" w:color="000000" w:sz="4"/>
            </w:tcBorders>
          </w:tcPr>
          <w:p>
            <w:pPr>
              <w:spacing w:after="40" w:before="40" w:line="240"/>
              <w:jc w:val="left"/>
            </w:pPr>
            <w:r>
              <w:rPr>
                <w:b w:val="false"/>
                <w:bCs w:val="false"/>
                <w:sz w:val="20"/>
                <w:szCs w:val="20"/>
              </w:rPr>
              <w:t xml:space="preserve">Matemática</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34</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37</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27</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23</w:t>
            </w:r>
          </w:p>
        </w:tc>
      </w:tr>
      <w:tr>
        <w:tc>
          <w:tcPr>
            <w:tcW w:type="dxa" w:w="3626"/>
            <w:tcBorders>
              <w:top w:val="single" w:color="000000" w:sz="4"/>
              <w:left w:val="single" w:color="000000" w:sz="4"/>
              <w:bottom w:val="single" w:color="000000" w:sz="4"/>
              <w:right w:val="single" w:color="000000" w:sz="4"/>
            </w:tcBorders>
          </w:tcPr>
          <w:p>
            <w:pPr>
              <w:spacing w:after="40" w:before="40" w:line="240"/>
              <w:jc w:val="left"/>
            </w:pPr>
            <w:r>
              <w:rPr>
                <w:b/>
                <w:bCs/>
                <w:sz w:val="20"/>
                <w:szCs w:val="20"/>
              </w:rPr>
              <w:t xml:space="preserve">Total</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275</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277</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286</w:t>
            </w:r>
          </w:p>
        </w:tc>
        <w:tc>
          <w:tcPr>
            <w:tcW w:type="dxa" w:w="1300"/>
            <w:tcBorders>
              <w:top w:val="single" w:color="000000" w:sz="4"/>
              <w:left w:val="single" w:color="000000" w:sz="4"/>
              <w:bottom w:val="single" w:color="000000" w:sz="4"/>
              <w:right w:val="single" w:color="000000" w:sz="4"/>
            </w:tcBorders>
          </w:tcPr>
          <w:p>
            <w:pPr>
              <w:spacing w:after="40" w:before="40" w:line="240"/>
              <w:jc w:val="center"/>
            </w:pPr>
            <w:r>
              <w:rPr>
                <w:b w:val="false"/>
                <w:bCs w:val="false"/>
                <w:sz w:val="20"/>
                <w:szCs w:val="20"/>
              </w:rPr>
              <w:t xml:space="preserve">282</w:t>
            </w:r>
          </w:p>
        </w:tc>
      </w:tr>
    </w:tbl>
    <w:p>
      <w:pPr>
        <w:spacing w:before="120" w:line="240"/>
      </w:pPr>
      <w:r>
        <w:rPr>
          <w:sz w:val="20"/>
          <w:szCs w:val="20"/>
        </w:rPr>
        <w:t xml:space="preserve">Fonte: elaborada pelos autores a partir da base indexada (versão fed3c3114c96). As habilidades que valem para mais de um ano são contadas em cada ano, por isso a soma das colunas (1.120) supera as 730 habilidades indexadas.</w:t>
      </w:r>
    </w:p>
    <w:sectPr>
      <w:footerReference w:type="default" r:id="rId6"/>
      <w:footerReference w:type="first" r:id="rId7"/>
      <w:pgSz w:w="11906" w:h="16838" w:orient="portrait"/>
      <w:pgMar w:top="1701" w:right="1134"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3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EducaChat: assistente de estudos alinhado à BNCC para estudantes do Ensino Fundamental II</dc:title>
  <dc:creator>Thiago Marcelino dos Reis; Marcus Paulo Pereira de Oliveira</dc:creator>
  <cp:lastModifiedBy>Un-named</cp:lastModifiedBy>
  <cp:revision>1</cp:revision>
  <dcterms:created xsi:type="dcterms:W3CDTF">2026-10-07T23:12:01.690Z</dcterms:created>
  <dcterms:modified xsi:type="dcterms:W3CDTF">2026-10-07T23:12:01.691Z</dcterms:modified>
</cp:coreProperties>
</file>

<file path=docProps/custom.xml><?xml version="1.0" encoding="utf-8"?>
<Properties xmlns="http://schemas.openxmlformats.org/officeDocument/2006/custom-properties" xmlns:vt="http://schemas.openxmlformats.org/officeDocument/2006/docPropsVTypes"/>
</file>