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E76C2" w14:textId="77777777" w:rsidR="00D17C0A" w:rsidRPr="00DB4FC4" w:rsidRDefault="00000000">
      <w:pPr>
        <w:spacing w:after="60"/>
        <w:rPr>
          <w:rFonts w:ascii="Arial" w:hAnsi="Arial" w:cs="Arial"/>
          <w:sz w:val="18"/>
          <w:szCs w:val="18"/>
        </w:rPr>
      </w:pPr>
      <w:r w:rsidRPr="00DB4FC4">
        <w:rPr>
          <w:rFonts w:ascii="Arial" w:hAnsi="Arial" w:cs="Arial"/>
          <w:b/>
          <w:bCs/>
          <w:color w:val="1F6F50"/>
          <w:sz w:val="36"/>
          <w:szCs w:val="36"/>
        </w:rPr>
        <w:t>DATA SUMMARY REPORT</w:t>
      </w:r>
    </w:p>
    <w:p w14:paraId="70AEC3B8" w14:textId="77777777" w:rsidR="00D17C0A" w:rsidRPr="00DB4FC4" w:rsidRDefault="00000000">
      <w:pPr>
        <w:spacing w:after="60"/>
        <w:rPr>
          <w:rFonts w:ascii="Arial" w:hAnsi="Arial" w:cs="Arial"/>
        </w:rPr>
      </w:pPr>
      <w:r w:rsidRPr="00DB4FC4">
        <w:rPr>
          <w:rFonts w:ascii="Arial" w:hAnsi="Arial" w:cs="Arial"/>
          <w:i/>
          <w:iCs/>
          <w:color w:val="555555"/>
          <w:sz w:val="24"/>
          <w:szCs w:val="24"/>
        </w:rPr>
        <w:t>Monitoramento e Previsão de Emissões de Carbono Corporativas</w:t>
      </w:r>
    </w:p>
    <w:p w14:paraId="7B97627A" w14:textId="77777777" w:rsidR="00D17C0A" w:rsidRPr="00DB4FC4" w:rsidRDefault="00000000">
      <w:pPr>
        <w:spacing w:after="300"/>
        <w:rPr>
          <w:rFonts w:ascii="Arial" w:hAnsi="Arial" w:cs="Arial"/>
        </w:rPr>
      </w:pPr>
      <w:r w:rsidRPr="00DB4FC4">
        <w:rPr>
          <w:rFonts w:ascii="Arial" w:hAnsi="Arial" w:cs="Arial"/>
          <w:color w:val="777777"/>
        </w:rPr>
        <w:t xml:space="preserve">Versão: Rascunho 1 (Fase: Data Acquisition </w:t>
      </w:r>
      <w:proofErr w:type="spellStart"/>
      <w:r w:rsidRPr="00DB4FC4">
        <w:rPr>
          <w:rFonts w:ascii="Arial" w:hAnsi="Arial" w:cs="Arial"/>
          <w:color w:val="777777"/>
        </w:rPr>
        <w:t>and</w:t>
      </w:r>
      <w:proofErr w:type="spellEnd"/>
      <w:r w:rsidRPr="00DB4FC4">
        <w:rPr>
          <w:rFonts w:ascii="Arial" w:hAnsi="Arial" w:cs="Arial"/>
          <w:color w:val="777777"/>
        </w:rPr>
        <w:t xml:space="preserve"> </w:t>
      </w:r>
      <w:proofErr w:type="spellStart"/>
      <w:r w:rsidRPr="00DB4FC4">
        <w:rPr>
          <w:rFonts w:ascii="Arial" w:hAnsi="Arial" w:cs="Arial"/>
          <w:color w:val="777777"/>
        </w:rPr>
        <w:t>Understanding</w:t>
      </w:r>
      <w:proofErr w:type="spellEnd"/>
      <w:r w:rsidRPr="00DB4FC4">
        <w:rPr>
          <w:rFonts w:ascii="Arial" w:hAnsi="Arial" w:cs="Arial"/>
          <w:color w:val="777777"/>
        </w:rPr>
        <w:t xml:space="preserve"> — TDSP)</w:t>
      </w:r>
    </w:p>
    <w:p w14:paraId="79A9CD3D" w14:textId="77777777" w:rsidR="00D17C0A" w:rsidRPr="00DB4FC4" w:rsidRDefault="00000000">
      <w:pPr>
        <w:pStyle w:val="Ttulo1"/>
        <w:spacing w:before="300" w:after="150"/>
        <w:rPr>
          <w:rFonts w:ascii="Arial" w:hAnsi="Arial" w:cs="Arial"/>
        </w:rPr>
      </w:pPr>
      <w:r w:rsidRPr="00DB4FC4">
        <w:rPr>
          <w:rFonts w:ascii="Arial" w:hAnsi="Arial" w:cs="Arial"/>
        </w:rPr>
        <w:t>1. Objetivo deste Documento</w:t>
      </w:r>
    </w:p>
    <w:p w14:paraId="2ADFD9DE" w14:textId="3249BD9B" w:rsidR="00DB4FC4" w:rsidRPr="00DB4FC4" w:rsidRDefault="00000000">
      <w:pPr>
        <w:spacing w:after="120"/>
        <w:rPr>
          <w:rFonts w:ascii="Arial" w:hAnsi="Arial" w:cs="Arial"/>
        </w:rPr>
      </w:pPr>
      <w:r w:rsidRPr="00DB4FC4">
        <w:rPr>
          <w:rFonts w:ascii="Arial" w:hAnsi="Arial" w:cs="Arial"/>
        </w:rPr>
        <w:t xml:space="preserve">Este relatório apresenta o primeiro levantamento das fontes de dados que serão utilizadas no projeto, indicando o tipo de dado, o formato de acesso e o objetivo de uso de cada fonte dentro do pipeline analítico. Trata-se de um documento vivo, a ser atualizado conforme novas fontes forem avaliadas ou descartadas ao longo da fase de Data </w:t>
      </w:r>
      <w:proofErr w:type="spellStart"/>
      <w:r w:rsidRPr="00DB4FC4">
        <w:rPr>
          <w:rFonts w:ascii="Arial" w:hAnsi="Arial" w:cs="Arial"/>
        </w:rPr>
        <w:t>Understanding</w:t>
      </w:r>
      <w:proofErr w:type="spellEnd"/>
      <w:r w:rsidRPr="00DB4FC4">
        <w:rPr>
          <w:rFonts w:ascii="Arial" w:hAnsi="Arial" w:cs="Arial"/>
        </w:rPr>
        <w:t>.</w:t>
      </w:r>
    </w:p>
    <w:p w14:paraId="1253BD16" w14:textId="77777777" w:rsidR="00D17C0A" w:rsidRPr="00DB4FC4" w:rsidRDefault="00000000">
      <w:pPr>
        <w:pStyle w:val="Ttulo1"/>
        <w:spacing w:before="300" w:after="150"/>
        <w:rPr>
          <w:rFonts w:ascii="Arial" w:hAnsi="Arial" w:cs="Arial"/>
        </w:rPr>
      </w:pPr>
      <w:r w:rsidRPr="00DB4FC4">
        <w:rPr>
          <w:rFonts w:ascii="Arial" w:hAnsi="Arial" w:cs="Arial"/>
        </w:rPr>
        <w:t>2. Resumo das Fontes de Dados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5"/>
        <w:gridCol w:w="1548"/>
        <w:gridCol w:w="1646"/>
        <w:gridCol w:w="1296"/>
        <w:gridCol w:w="2925"/>
      </w:tblGrid>
      <w:tr w:rsidR="00D17C0A" w:rsidRPr="00DB4FC4" w14:paraId="7596CF3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9A866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16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E0C67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Tipo de Dado</w:t>
            </w:r>
          </w:p>
        </w:tc>
        <w:tc>
          <w:tcPr>
            <w:tcW w:w="13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E797F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Formato / Acesso</w:t>
            </w:r>
          </w:p>
        </w:tc>
        <w:tc>
          <w:tcPr>
            <w:tcW w:w="14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7F22E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Atualização</w:t>
            </w:r>
          </w:p>
        </w:tc>
        <w:tc>
          <w:tcPr>
            <w:tcW w:w="345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277B2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Objetivo de Uso no Projeto</w:t>
            </w:r>
          </w:p>
        </w:tc>
      </w:tr>
      <w:tr w:rsidR="00D17C0A" w:rsidRPr="00DB4FC4" w14:paraId="0C0C774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84C05" w14:textId="77777777" w:rsidR="00D17C0A" w:rsidRPr="00DB4FC4" w:rsidRDefault="00000000">
            <w:pPr>
              <w:rPr>
                <w:rFonts w:ascii="Arial" w:hAnsi="Arial" w:cs="Arial"/>
              </w:rPr>
            </w:pPr>
            <w:proofErr w:type="spellStart"/>
            <w:r w:rsidRPr="00DB4FC4">
              <w:rPr>
                <w:rFonts w:ascii="Arial" w:hAnsi="Arial" w:cs="Arial"/>
                <w:color w:val="000000"/>
              </w:rPr>
              <w:t>Climatiq</w:t>
            </w:r>
            <w:proofErr w:type="spellEnd"/>
            <w:r w:rsidRPr="00DB4FC4">
              <w:rPr>
                <w:rFonts w:ascii="Arial" w:hAnsi="Arial" w:cs="Arial"/>
                <w:color w:val="000000"/>
              </w:rPr>
              <w:t xml:space="preserve"> API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929F8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Fatores de emissão (kg CO2e por unidade de atividade: energia, combustível, transporte)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BD3E1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 xml:space="preserve">REST API (JSON), autenticação via API </w:t>
            </w:r>
            <w:proofErr w:type="spellStart"/>
            <w:r w:rsidRPr="00DB4FC4">
              <w:rPr>
                <w:rFonts w:ascii="Arial" w:hAnsi="Arial" w:cs="Arial"/>
                <w:color w:val="000000"/>
              </w:rPr>
              <w:t>key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BC2ED7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Contínua (base atualizada pelo provedor)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5DA841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Converter dados de consumo/atividade em emissões de CO2e; base para o cálculo do Escopo 1 e 2</w:t>
            </w:r>
          </w:p>
        </w:tc>
      </w:tr>
      <w:tr w:rsidR="00D17C0A" w:rsidRPr="00DB4FC4" w14:paraId="04FA598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495320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SEEG / Observatório do Clima (Brasil)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6C9DE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Séries históricas de emissões setoriais no Brasil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B3B65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Download de planilhas / dados abertos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23AFA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Anual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D65E2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Servir de benchmark setorial/nacional para contextualizar e validar a magnitude das emissões calculadas</w:t>
            </w:r>
          </w:p>
        </w:tc>
      </w:tr>
      <w:tr w:rsidR="00D17C0A" w:rsidRPr="00DB4FC4" w14:paraId="240D77F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891DE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EPA (EUA) / DEFRA (Reino Unido)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0A99E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Fatores de emissão por tipo de combustível e atividade (padrões internacionais)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48068A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Planilhas públicas (CSV/XLSX)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2FA470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Anual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44165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 xml:space="preserve">Fonte alternativa/complementar de fatores de emissão, útil para checagem cruzada com a </w:t>
            </w:r>
            <w:proofErr w:type="spellStart"/>
            <w:r w:rsidRPr="00DB4FC4">
              <w:rPr>
                <w:rFonts w:ascii="Arial" w:hAnsi="Arial" w:cs="Arial"/>
                <w:color w:val="000000"/>
              </w:rPr>
              <w:t>Climatiq</w:t>
            </w:r>
            <w:proofErr w:type="spellEnd"/>
            <w:r w:rsidRPr="00DB4FC4">
              <w:rPr>
                <w:rFonts w:ascii="Arial" w:hAnsi="Arial" w:cs="Arial"/>
                <w:color w:val="000000"/>
              </w:rPr>
              <w:t xml:space="preserve"> API</w:t>
            </w:r>
          </w:p>
        </w:tc>
      </w:tr>
      <w:tr w:rsidR="00D17C0A" w:rsidRPr="00DB4FC4" w14:paraId="7D3D415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00204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Dados internos simulados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A31A3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Consumo de energia elétrica (kWh), consumo de combustível da frota (litros), km rodados, por unidade/mês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F206B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CSV gerado sinteticamente em Python (</w:t>
            </w:r>
            <w:proofErr w:type="spellStart"/>
            <w:r w:rsidRPr="00DB4FC4">
              <w:rPr>
                <w:rFonts w:ascii="Arial" w:hAnsi="Arial" w:cs="Arial"/>
                <w:color w:val="000000"/>
              </w:rPr>
              <w:t>numpy</w:t>
            </w:r>
            <w:proofErr w:type="spellEnd"/>
            <w:r w:rsidRPr="00DB4FC4">
              <w:rPr>
                <w:rFonts w:ascii="Arial" w:hAnsi="Arial" w:cs="Arial"/>
                <w:color w:val="000000"/>
              </w:rPr>
              <w:t>/pandas)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B796C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Mensal (simulado)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DE1D3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Representar os dados operacionais da empresa (ausentes no mundo real deste projeto), usados como variável de atividade para o cálculo de emissões</w:t>
            </w:r>
          </w:p>
        </w:tc>
      </w:tr>
      <w:tr w:rsidR="00D17C0A" w:rsidRPr="00DB4FC4" w14:paraId="4B8839F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02003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Dados de calendário/contexto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8ED87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Datas, feriados, sazonalidade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D371A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Gerado em Python (biblioteca de calendário)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798DE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Estático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04DDF" w14:textId="77777777" w:rsidR="00D17C0A" w:rsidRPr="00DB4FC4" w:rsidRDefault="00000000">
            <w:pPr>
              <w:rPr>
                <w:rFonts w:ascii="Arial" w:hAnsi="Arial" w:cs="Arial"/>
              </w:rPr>
            </w:pPr>
            <w:r w:rsidRPr="00DB4FC4">
              <w:rPr>
                <w:rFonts w:ascii="Arial" w:hAnsi="Arial" w:cs="Arial"/>
                <w:color w:val="000000"/>
              </w:rPr>
              <w:t>Enriquecer o modelo de série temporal com variáveis sazonais (ex.: maior consumo de energia em períodos específicos)</w:t>
            </w:r>
          </w:p>
        </w:tc>
      </w:tr>
    </w:tbl>
    <w:p w14:paraId="44242C98" w14:textId="77777777" w:rsidR="00D17C0A" w:rsidRPr="00DB4FC4" w:rsidRDefault="00D17C0A">
      <w:pPr>
        <w:spacing w:after="200"/>
        <w:rPr>
          <w:rFonts w:ascii="Arial" w:hAnsi="Arial" w:cs="Arial"/>
        </w:rPr>
      </w:pPr>
    </w:p>
    <w:p w14:paraId="0241AEEC" w14:textId="2CE041D1" w:rsidR="00DB4FC4" w:rsidRPr="00DB4FC4" w:rsidRDefault="00000000">
      <w:pPr>
        <w:pStyle w:val="Ttulo1"/>
        <w:spacing w:before="300" w:after="150"/>
        <w:rPr>
          <w:rFonts w:ascii="Arial" w:hAnsi="Arial" w:cs="Arial"/>
        </w:rPr>
      </w:pPr>
      <w:r w:rsidRPr="00DB4FC4">
        <w:rPr>
          <w:rFonts w:ascii="Arial" w:hAnsi="Arial" w:cs="Arial"/>
        </w:rPr>
        <w:lastRenderedPageBreak/>
        <w:t>3. Detalhamento por Fonte</w:t>
      </w:r>
    </w:p>
    <w:p w14:paraId="47567650" w14:textId="77777777" w:rsidR="00D17C0A" w:rsidRPr="00DB4FC4" w:rsidRDefault="00000000">
      <w:pPr>
        <w:pStyle w:val="Ttulo2"/>
        <w:spacing w:before="250" w:after="120"/>
        <w:rPr>
          <w:rFonts w:ascii="Arial" w:hAnsi="Arial" w:cs="Arial"/>
        </w:rPr>
      </w:pPr>
      <w:r w:rsidRPr="00DB4FC4">
        <w:rPr>
          <w:rFonts w:ascii="Arial" w:hAnsi="Arial" w:cs="Arial"/>
        </w:rPr>
        <w:t xml:space="preserve">3.1 </w:t>
      </w:r>
      <w:proofErr w:type="spellStart"/>
      <w:r w:rsidRPr="00DB4FC4">
        <w:rPr>
          <w:rFonts w:ascii="Arial" w:hAnsi="Arial" w:cs="Arial"/>
        </w:rPr>
        <w:t>Climatiq</w:t>
      </w:r>
      <w:proofErr w:type="spellEnd"/>
      <w:r w:rsidRPr="00DB4FC4">
        <w:rPr>
          <w:rFonts w:ascii="Arial" w:hAnsi="Arial" w:cs="Arial"/>
        </w:rPr>
        <w:t xml:space="preserve"> API</w:t>
      </w:r>
    </w:p>
    <w:p w14:paraId="5B05C47C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Descrição: API especializada em fatores de emissão, cobrindo eletricidade, combustíveis, transporte e outras categorias de atividade.</w:t>
      </w:r>
    </w:p>
    <w:p w14:paraId="074FB8B2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Acesso: chave de API (</w:t>
      </w:r>
      <w:proofErr w:type="spellStart"/>
      <w:r w:rsidRPr="00DB4FC4">
        <w:rPr>
          <w:rFonts w:ascii="Arial" w:hAnsi="Arial" w:cs="Arial"/>
        </w:rPr>
        <w:t>free</w:t>
      </w:r>
      <w:proofErr w:type="spellEnd"/>
      <w:r w:rsidRPr="00DB4FC4">
        <w:rPr>
          <w:rFonts w:ascii="Arial" w:hAnsi="Arial" w:cs="Arial"/>
        </w:rPr>
        <w:t xml:space="preserve"> </w:t>
      </w:r>
      <w:proofErr w:type="spellStart"/>
      <w:r w:rsidRPr="00DB4FC4">
        <w:rPr>
          <w:rFonts w:ascii="Arial" w:hAnsi="Arial" w:cs="Arial"/>
        </w:rPr>
        <w:t>tier</w:t>
      </w:r>
      <w:proofErr w:type="spellEnd"/>
      <w:r w:rsidRPr="00DB4FC4">
        <w:rPr>
          <w:rFonts w:ascii="Arial" w:hAnsi="Arial" w:cs="Arial"/>
        </w:rPr>
        <w:t xml:space="preserve"> com limite de requisições); autenticação via header HTTP.</w:t>
      </w:r>
    </w:p>
    <w:p w14:paraId="186D2A81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Uso planejado: chamada programática a partir dos dados de consumo simulados, retornando o fator de emissão correspondente para cálculo de kg CO2e.</w:t>
      </w:r>
    </w:p>
    <w:p w14:paraId="2F04664A" w14:textId="77777777" w:rsidR="00D17C0A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 xml:space="preserve">Riscos: rate </w:t>
      </w:r>
      <w:proofErr w:type="spellStart"/>
      <w:r w:rsidRPr="00DB4FC4">
        <w:rPr>
          <w:rFonts w:ascii="Arial" w:hAnsi="Arial" w:cs="Arial"/>
        </w:rPr>
        <w:t>limiting</w:t>
      </w:r>
      <w:proofErr w:type="spellEnd"/>
      <w:r w:rsidRPr="00DB4FC4">
        <w:rPr>
          <w:rFonts w:ascii="Arial" w:hAnsi="Arial" w:cs="Arial"/>
        </w:rPr>
        <w:t>; necessidade de cache local para evitar chamadas repetidas.</w:t>
      </w:r>
    </w:p>
    <w:p w14:paraId="23FADA3C" w14:textId="77777777" w:rsidR="00DB4FC4" w:rsidRPr="00DB4FC4" w:rsidRDefault="00DB4FC4" w:rsidP="00DB4FC4">
      <w:pPr>
        <w:pStyle w:val="PargrafodaLista"/>
        <w:spacing w:after="60"/>
        <w:ind w:left="720"/>
        <w:rPr>
          <w:rFonts w:ascii="Arial" w:hAnsi="Arial" w:cs="Arial"/>
        </w:rPr>
      </w:pPr>
    </w:p>
    <w:p w14:paraId="56D4ED0A" w14:textId="77777777" w:rsidR="00D17C0A" w:rsidRPr="00DB4FC4" w:rsidRDefault="00000000">
      <w:pPr>
        <w:pStyle w:val="Ttulo2"/>
        <w:spacing w:before="250" w:after="120"/>
        <w:rPr>
          <w:rFonts w:ascii="Arial" w:hAnsi="Arial" w:cs="Arial"/>
        </w:rPr>
      </w:pPr>
      <w:r w:rsidRPr="00DB4FC4">
        <w:rPr>
          <w:rFonts w:ascii="Arial" w:hAnsi="Arial" w:cs="Arial"/>
        </w:rPr>
        <w:t>3.2 SEEG / Observatório do Clima</w:t>
      </w:r>
    </w:p>
    <w:p w14:paraId="41966F66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Descrição: iniciativa brasileira que disponibiliza estimativas de emissões de gases de efeito estufa por setor econômico.</w:t>
      </w:r>
    </w:p>
    <w:p w14:paraId="433C82EE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Acesso: dados abertos, download direto (sem necessidade de autenticação).</w:t>
      </w:r>
    </w:p>
    <w:p w14:paraId="0377CD5D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Uso planejado: comparação e validação de plausibilidade dos números simulados/calculados no projeto (benchmark externo).</w:t>
      </w:r>
    </w:p>
    <w:p w14:paraId="260E27A7" w14:textId="77777777" w:rsidR="00D17C0A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Riscos: granularidade setorial/nacional, não específica por empresa — uso limitado a contextualização.</w:t>
      </w:r>
    </w:p>
    <w:p w14:paraId="470B393A" w14:textId="77777777" w:rsidR="00DB4FC4" w:rsidRPr="00DB4FC4" w:rsidRDefault="00DB4FC4" w:rsidP="00DB4FC4">
      <w:pPr>
        <w:pStyle w:val="PargrafodaLista"/>
        <w:spacing w:after="60"/>
        <w:ind w:left="720"/>
        <w:rPr>
          <w:rFonts w:ascii="Arial" w:hAnsi="Arial" w:cs="Arial"/>
        </w:rPr>
      </w:pPr>
    </w:p>
    <w:p w14:paraId="0813F45C" w14:textId="77777777" w:rsidR="00D17C0A" w:rsidRPr="00DB4FC4" w:rsidRDefault="00000000">
      <w:pPr>
        <w:pStyle w:val="Ttulo2"/>
        <w:spacing w:before="250" w:after="120"/>
        <w:rPr>
          <w:rFonts w:ascii="Arial" w:hAnsi="Arial" w:cs="Arial"/>
        </w:rPr>
      </w:pPr>
      <w:r w:rsidRPr="00DB4FC4">
        <w:rPr>
          <w:rFonts w:ascii="Arial" w:hAnsi="Arial" w:cs="Arial"/>
        </w:rPr>
        <w:t>3.3 EPA / DEFRA</w:t>
      </w:r>
    </w:p>
    <w:p w14:paraId="009213DD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Descrição: bases de fatores de emissão publicadas por agências ambientais dos EUA e Reino Unido, amplamente utilizadas como padrão internacional.</w:t>
      </w:r>
    </w:p>
    <w:p w14:paraId="7F10BFBA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Acesso: planilhas públicas para download.</w:t>
      </w:r>
    </w:p>
    <w:p w14:paraId="4098367C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Uso planejado: fonte alternativa de fatores de emissão para checagem cruzada e para cenários que exijam padrão internacional (ex.: relatórios CDP).</w:t>
      </w:r>
    </w:p>
    <w:p w14:paraId="2A6F186D" w14:textId="77777777" w:rsidR="00D17C0A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 xml:space="preserve">Riscos: unidades e categorias podem divergir da </w:t>
      </w:r>
      <w:proofErr w:type="spellStart"/>
      <w:r w:rsidRPr="00DB4FC4">
        <w:rPr>
          <w:rFonts w:ascii="Arial" w:hAnsi="Arial" w:cs="Arial"/>
        </w:rPr>
        <w:t>Climatiq</w:t>
      </w:r>
      <w:proofErr w:type="spellEnd"/>
      <w:r w:rsidRPr="00DB4FC4">
        <w:rPr>
          <w:rFonts w:ascii="Arial" w:hAnsi="Arial" w:cs="Arial"/>
        </w:rPr>
        <w:t xml:space="preserve"> API, exigindo padronização antes do uso conjunto.</w:t>
      </w:r>
    </w:p>
    <w:p w14:paraId="3ABD1254" w14:textId="77777777" w:rsidR="00DB4FC4" w:rsidRPr="00DB4FC4" w:rsidRDefault="00DB4FC4" w:rsidP="00DB4FC4">
      <w:pPr>
        <w:pStyle w:val="PargrafodaLista"/>
        <w:spacing w:after="60"/>
        <w:ind w:left="720"/>
        <w:rPr>
          <w:rFonts w:ascii="Arial" w:hAnsi="Arial" w:cs="Arial"/>
        </w:rPr>
      </w:pPr>
    </w:p>
    <w:p w14:paraId="0308DE39" w14:textId="77777777" w:rsidR="00D17C0A" w:rsidRPr="00DB4FC4" w:rsidRDefault="00000000">
      <w:pPr>
        <w:pStyle w:val="Ttulo2"/>
        <w:spacing w:before="250" w:after="120"/>
        <w:rPr>
          <w:rFonts w:ascii="Arial" w:hAnsi="Arial" w:cs="Arial"/>
        </w:rPr>
      </w:pPr>
      <w:r w:rsidRPr="00DB4FC4">
        <w:rPr>
          <w:rFonts w:ascii="Arial" w:hAnsi="Arial" w:cs="Arial"/>
        </w:rPr>
        <w:t>3.4 Dados internos simulados</w:t>
      </w:r>
    </w:p>
    <w:p w14:paraId="0641F545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Descrição: como o projeto não tem acesso a dados reais de uma empresa, será construído um gerador sintético de dados operacionais (consumo de energia, frota, insumos) com sazonalidade e ruído realistas.</w:t>
      </w:r>
    </w:p>
    <w:p w14:paraId="2B6B1344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Acesso: gerado localmente em Python; sem dependência externa.</w:t>
      </w:r>
    </w:p>
    <w:p w14:paraId="45CECED7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Uso planejado: variável de 'atividade' que, multiplicada pelo fator de emissão, gera a série de emissões usada para modelagem e dashboard.</w:t>
      </w:r>
    </w:p>
    <w:p w14:paraId="7BDA8F88" w14:textId="055C1889" w:rsidR="00DB4FC4" w:rsidRPr="00DB4FC4" w:rsidRDefault="00000000" w:rsidP="00DB4FC4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Riscos: por ser simulado, não captura toda a complexidade de dados reais; será documentado claramente como limitação do protótipo (MVP)</w:t>
      </w:r>
      <w:r w:rsidR="00DB4FC4">
        <w:rPr>
          <w:rFonts w:ascii="Arial" w:hAnsi="Arial" w:cs="Arial"/>
        </w:rPr>
        <w:t>.</w:t>
      </w:r>
    </w:p>
    <w:p w14:paraId="5C36DD58" w14:textId="77777777" w:rsidR="00D17C0A" w:rsidRPr="00DB4FC4" w:rsidRDefault="00000000">
      <w:pPr>
        <w:pStyle w:val="Ttulo1"/>
        <w:spacing w:before="300" w:after="150"/>
        <w:rPr>
          <w:rFonts w:ascii="Arial" w:hAnsi="Arial" w:cs="Arial"/>
        </w:rPr>
      </w:pPr>
      <w:r w:rsidRPr="00DB4FC4">
        <w:rPr>
          <w:rFonts w:ascii="Arial" w:hAnsi="Arial" w:cs="Arial"/>
        </w:rPr>
        <w:t>4. Considerações Iniciais de Qualidade dos Dados</w:t>
      </w:r>
    </w:p>
    <w:p w14:paraId="3FD650B6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Completude: verificar ausência de lacunas superiores a 1 mês nas séries temporais.</w:t>
      </w:r>
    </w:p>
    <w:p w14:paraId="1BE3247F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Consistência de unidades: padronizar todas as unidades de consumo (kWh, litros, km) antes de aplicar os fatores de emissão.</w:t>
      </w:r>
    </w:p>
    <w:p w14:paraId="73FBCF76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Versionamento dos fatores de emissão: registrar o ano/versão do fator utilizado em cada cálculo, para rastreabilidade e auditoria.</w:t>
      </w:r>
    </w:p>
    <w:p w14:paraId="1E52CBF8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 xml:space="preserve">Consistência entre fontes: comparar fatores de emissão entre </w:t>
      </w:r>
      <w:proofErr w:type="spellStart"/>
      <w:r w:rsidRPr="00DB4FC4">
        <w:rPr>
          <w:rFonts w:ascii="Arial" w:hAnsi="Arial" w:cs="Arial"/>
        </w:rPr>
        <w:t>Climatiq</w:t>
      </w:r>
      <w:proofErr w:type="spellEnd"/>
      <w:r w:rsidRPr="00DB4FC4">
        <w:rPr>
          <w:rFonts w:ascii="Arial" w:hAnsi="Arial" w:cs="Arial"/>
        </w:rPr>
        <w:t xml:space="preserve"> e EPA/DEFRA para identificar divergências relevantes.</w:t>
      </w:r>
    </w:p>
    <w:p w14:paraId="6967A45C" w14:textId="77777777" w:rsidR="00D17C0A" w:rsidRPr="00DB4FC4" w:rsidRDefault="00000000">
      <w:pPr>
        <w:pStyle w:val="Ttulo1"/>
        <w:spacing w:before="300" w:after="150"/>
        <w:rPr>
          <w:rFonts w:ascii="Arial" w:hAnsi="Arial" w:cs="Arial"/>
        </w:rPr>
      </w:pPr>
      <w:r w:rsidRPr="00DB4FC4">
        <w:rPr>
          <w:rFonts w:ascii="Arial" w:hAnsi="Arial" w:cs="Arial"/>
        </w:rPr>
        <w:lastRenderedPageBreak/>
        <w:t>5. Próximos Passos</w:t>
      </w:r>
    </w:p>
    <w:p w14:paraId="48195143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Realizar chamadas de teste às APIs (</w:t>
      </w:r>
      <w:proofErr w:type="spellStart"/>
      <w:r w:rsidRPr="00DB4FC4">
        <w:rPr>
          <w:rFonts w:ascii="Arial" w:hAnsi="Arial" w:cs="Arial"/>
        </w:rPr>
        <w:t>Climatiq</w:t>
      </w:r>
      <w:proofErr w:type="spellEnd"/>
      <w:r w:rsidRPr="00DB4FC4">
        <w:rPr>
          <w:rFonts w:ascii="Arial" w:hAnsi="Arial" w:cs="Arial"/>
        </w:rPr>
        <w:t>, EPA/DEFRA) e documentar estrutura de resposta (</w:t>
      </w:r>
      <w:proofErr w:type="spellStart"/>
      <w:r w:rsidRPr="00DB4FC4">
        <w:rPr>
          <w:rFonts w:ascii="Arial" w:hAnsi="Arial" w:cs="Arial"/>
        </w:rPr>
        <w:t>schema</w:t>
      </w:r>
      <w:proofErr w:type="spellEnd"/>
      <w:r w:rsidRPr="00DB4FC4">
        <w:rPr>
          <w:rFonts w:ascii="Arial" w:hAnsi="Arial" w:cs="Arial"/>
        </w:rPr>
        <w:t>).</w:t>
      </w:r>
    </w:p>
    <w:p w14:paraId="0E4F4A24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Construir o gerador de dados simulados e validar sua plausibilidade estatística.</w:t>
      </w:r>
    </w:p>
    <w:p w14:paraId="12DBEF8B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 xml:space="preserve">Elaborar o Data </w:t>
      </w:r>
      <w:proofErr w:type="spellStart"/>
      <w:r w:rsidRPr="00DB4FC4">
        <w:rPr>
          <w:rFonts w:ascii="Arial" w:hAnsi="Arial" w:cs="Arial"/>
        </w:rPr>
        <w:t>Quality</w:t>
      </w:r>
      <w:proofErr w:type="spellEnd"/>
      <w:r w:rsidRPr="00DB4FC4">
        <w:rPr>
          <w:rFonts w:ascii="Arial" w:hAnsi="Arial" w:cs="Arial"/>
        </w:rPr>
        <w:t xml:space="preserve"> Report após a primeira análise exploratória (EDA).</w:t>
      </w:r>
    </w:p>
    <w:p w14:paraId="1A815E45" w14:textId="77777777" w:rsidR="00D17C0A" w:rsidRPr="00DB4FC4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DB4FC4">
        <w:rPr>
          <w:rFonts w:ascii="Arial" w:hAnsi="Arial" w:cs="Arial"/>
        </w:rPr>
        <w:t>Atualizar este documento conforme novas fontes forem incorporadas ou descartadas.</w:t>
      </w:r>
    </w:p>
    <w:sectPr w:rsidR="00D17C0A" w:rsidRPr="00DB4FC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BE7140"/>
    <w:multiLevelType w:val="hybridMultilevel"/>
    <w:tmpl w:val="04CEA41C"/>
    <w:lvl w:ilvl="0" w:tplc="447C9A20">
      <w:start w:val="1"/>
      <w:numFmt w:val="bullet"/>
      <w:lvlText w:val="●"/>
      <w:lvlJc w:val="left"/>
      <w:pPr>
        <w:ind w:left="720" w:hanging="360"/>
      </w:pPr>
    </w:lvl>
    <w:lvl w:ilvl="1" w:tplc="51685714">
      <w:start w:val="1"/>
      <w:numFmt w:val="bullet"/>
      <w:lvlText w:val="○"/>
      <w:lvlJc w:val="left"/>
      <w:pPr>
        <w:ind w:left="1440" w:hanging="360"/>
      </w:pPr>
    </w:lvl>
    <w:lvl w:ilvl="2" w:tplc="1550016C">
      <w:start w:val="1"/>
      <w:numFmt w:val="bullet"/>
      <w:lvlText w:val="■"/>
      <w:lvlJc w:val="left"/>
      <w:pPr>
        <w:ind w:left="2160" w:hanging="360"/>
      </w:pPr>
    </w:lvl>
    <w:lvl w:ilvl="3" w:tplc="008EB8EE">
      <w:start w:val="1"/>
      <w:numFmt w:val="bullet"/>
      <w:lvlText w:val="●"/>
      <w:lvlJc w:val="left"/>
      <w:pPr>
        <w:ind w:left="2880" w:hanging="360"/>
      </w:pPr>
    </w:lvl>
    <w:lvl w:ilvl="4" w:tplc="1E7A6F5E">
      <w:start w:val="1"/>
      <w:numFmt w:val="bullet"/>
      <w:lvlText w:val="○"/>
      <w:lvlJc w:val="left"/>
      <w:pPr>
        <w:ind w:left="3600" w:hanging="360"/>
      </w:pPr>
    </w:lvl>
    <w:lvl w:ilvl="5" w:tplc="CE8C6B06">
      <w:start w:val="1"/>
      <w:numFmt w:val="bullet"/>
      <w:lvlText w:val="■"/>
      <w:lvlJc w:val="left"/>
      <w:pPr>
        <w:ind w:left="4320" w:hanging="360"/>
      </w:pPr>
    </w:lvl>
    <w:lvl w:ilvl="6" w:tplc="56486F90">
      <w:start w:val="1"/>
      <w:numFmt w:val="bullet"/>
      <w:lvlText w:val="●"/>
      <w:lvlJc w:val="left"/>
      <w:pPr>
        <w:ind w:left="5040" w:hanging="360"/>
      </w:pPr>
    </w:lvl>
    <w:lvl w:ilvl="7" w:tplc="5F68882C">
      <w:start w:val="1"/>
      <w:numFmt w:val="bullet"/>
      <w:lvlText w:val="●"/>
      <w:lvlJc w:val="left"/>
      <w:pPr>
        <w:ind w:left="5760" w:hanging="360"/>
      </w:pPr>
    </w:lvl>
    <w:lvl w:ilvl="8" w:tplc="9D02C170">
      <w:start w:val="1"/>
      <w:numFmt w:val="bullet"/>
      <w:lvlText w:val="●"/>
      <w:lvlJc w:val="left"/>
      <w:pPr>
        <w:ind w:left="6480" w:hanging="360"/>
      </w:pPr>
    </w:lvl>
  </w:abstractNum>
  <w:num w:numId="1" w16cid:durableId="14336713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C0A"/>
    <w:rsid w:val="00D17C0A"/>
    <w:rsid w:val="00DB4FC4"/>
    <w:rsid w:val="00EB1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99190"/>
  <w15:docId w15:val="{3ADAFE5F-D353-4CB0-AA0F-789E91646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754</Words>
  <Characters>4076</Characters>
  <Application>Microsoft Office Word</Application>
  <DocSecurity>0</DocSecurity>
  <Lines>33</Lines>
  <Paragraphs>9</Paragraphs>
  <ScaleCrop>false</ScaleCrop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Santana</cp:lastModifiedBy>
  <cp:revision>2</cp:revision>
  <dcterms:created xsi:type="dcterms:W3CDTF">2026-08-20T13:00:00Z</dcterms:created>
  <dcterms:modified xsi:type="dcterms:W3CDTF">2026-08-21T18:53:00Z</dcterms:modified>
</cp:coreProperties>
</file>