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19E2" w14:textId="77777777" w:rsidR="00EE62DC" w:rsidRPr="00D21B75" w:rsidRDefault="00000000">
      <w:pPr>
        <w:spacing w:after="60"/>
        <w:rPr>
          <w:rFonts w:ascii="Arial" w:hAnsi="Arial" w:cs="Arial"/>
          <w:sz w:val="18"/>
          <w:szCs w:val="18"/>
        </w:rPr>
      </w:pPr>
      <w:r w:rsidRPr="00D21B75">
        <w:rPr>
          <w:rFonts w:ascii="Arial" w:hAnsi="Arial" w:cs="Arial"/>
          <w:b/>
          <w:bCs/>
          <w:color w:val="1F6F50"/>
          <w:sz w:val="36"/>
          <w:szCs w:val="36"/>
        </w:rPr>
        <w:t>PROJECT CHARTER</w:t>
      </w:r>
    </w:p>
    <w:p w14:paraId="170CBCC2" w14:textId="77777777" w:rsidR="00EE62DC" w:rsidRPr="00F250BC" w:rsidRDefault="00000000">
      <w:pPr>
        <w:spacing w:after="60"/>
        <w:rPr>
          <w:rFonts w:ascii="Arial" w:hAnsi="Arial" w:cs="Arial"/>
        </w:rPr>
      </w:pPr>
      <w:r w:rsidRPr="00F250BC">
        <w:rPr>
          <w:rFonts w:ascii="Arial" w:hAnsi="Arial" w:cs="Arial"/>
          <w:i/>
          <w:iCs/>
          <w:color w:val="555555"/>
          <w:sz w:val="24"/>
          <w:szCs w:val="24"/>
        </w:rPr>
        <w:t>Monitoramento e Previsão de Emissões de Carbono Corporativas com IA</w:t>
      </w:r>
    </w:p>
    <w:p w14:paraId="36998102" w14:textId="586B053A" w:rsidR="00F250BC" w:rsidRPr="00F250BC" w:rsidRDefault="00000000">
      <w:pPr>
        <w:spacing w:after="300"/>
        <w:rPr>
          <w:rFonts w:ascii="Arial" w:hAnsi="Arial" w:cs="Arial"/>
          <w:color w:val="777777"/>
        </w:rPr>
      </w:pPr>
      <w:r w:rsidRPr="00F250BC">
        <w:rPr>
          <w:rFonts w:ascii="Arial" w:hAnsi="Arial" w:cs="Arial"/>
          <w:color w:val="777777"/>
        </w:rPr>
        <w:t>Metodologia: CRISP-DM / TDSP  |  Pilar ESG: Ambiental  |  ODS: 12 e 13</w:t>
      </w:r>
    </w:p>
    <w:p w14:paraId="73950AB6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1. Contexto e Justificativa do Negócio</w:t>
      </w:r>
    </w:p>
    <w:p w14:paraId="37C8D883" w14:textId="77777777" w:rsidR="00EE62DC" w:rsidRPr="00F250BC" w:rsidRDefault="00000000">
      <w:pPr>
        <w:spacing w:after="120"/>
        <w:rPr>
          <w:rFonts w:ascii="Arial" w:hAnsi="Arial" w:cs="Arial"/>
        </w:rPr>
      </w:pPr>
      <w:r w:rsidRPr="00F250BC">
        <w:rPr>
          <w:rFonts w:ascii="Arial" w:hAnsi="Arial" w:cs="Arial"/>
        </w:rPr>
        <w:t>Grande parte das empresas — em especial pequenas e médias — não possui visibilidade contínua sobre sua pegada de carbono (Escopo 1, 2 e parcialmente 3). Os relatórios de emissões costumam ser produzidos anualmente, de forma manual, o que impede decisões tempestivas de redução e gera custo elevado de conformidade em frameworks como GRI e CDP.</w:t>
      </w:r>
    </w:p>
    <w:p w14:paraId="2F26DEC0" w14:textId="77777777" w:rsidR="00EE62DC" w:rsidRDefault="00000000">
      <w:pPr>
        <w:spacing w:after="120"/>
        <w:rPr>
          <w:rFonts w:ascii="Arial" w:hAnsi="Arial" w:cs="Arial"/>
        </w:rPr>
      </w:pPr>
      <w:r w:rsidRPr="00F250BC">
        <w:rPr>
          <w:rFonts w:ascii="Arial" w:hAnsi="Arial" w:cs="Arial"/>
        </w:rPr>
        <w:t>O avanço de modelos de aprendizado de máquina e de IA generativa permite automatizar a coleta, o cálculo, a previsão e a comunicação dessas informações, tornando a gestão de emissões um processo contínuo, orientado a dados e auditável.</w:t>
      </w:r>
    </w:p>
    <w:p w14:paraId="51FD9E1E" w14:textId="77777777" w:rsidR="00F250BC" w:rsidRPr="00F250BC" w:rsidRDefault="00F250BC">
      <w:pPr>
        <w:spacing w:after="120"/>
        <w:rPr>
          <w:rFonts w:ascii="Arial" w:hAnsi="Arial" w:cs="Arial"/>
        </w:rPr>
      </w:pPr>
    </w:p>
    <w:p w14:paraId="013C3855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2. Objetivo do Projeto</w:t>
      </w:r>
    </w:p>
    <w:p w14:paraId="7E49BA6A" w14:textId="77777777" w:rsidR="00EE62DC" w:rsidRDefault="00000000">
      <w:pPr>
        <w:spacing w:after="120"/>
        <w:rPr>
          <w:rFonts w:ascii="Arial" w:hAnsi="Arial" w:cs="Arial"/>
        </w:rPr>
      </w:pPr>
      <w:r w:rsidRPr="00F250BC">
        <w:rPr>
          <w:rFonts w:ascii="Arial" w:hAnsi="Arial" w:cs="Arial"/>
        </w:rPr>
        <w:t>Desenvolver uma aplicação em Python que colete dados de atividade e fatores de emissão via APIs públicas, calcule e preveja a trajetória de emissões de carbono da organização, e apresente os resultados em um dashboard interativo (Streamlit), incluindo simulação de cenários e geração automática de relatórios narrativos com apoio de IA generativa.</w:t>
      </w:r>
    </w:p>
    <w:p w14:paraId="0497BB77" w14:textId="77777777" w:rsidR="00F250BC" w:rsidRPr="00F250BC" w:rsidRDefault="00F250BC">
      <w:pPr>
        <w:spacing w:after="120"/>
        <w:rPr>
          <w:rFonts w:ascii="Arial" w:hAnsi="Arial" w:cs="Arial"/>
        </w:rPr>
      </w:pPr>
    </w:p>
    <w:p w14:paraId="6D8174C9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3. Escopo do Projeto</w:t>
      </w:r>
    </w:p>
    <w:p w14:paraId="1A6A2734" w14:textId="77777777" w:rsidR="00EE62DC" w:rsidRPr="00F250BC" w:rsidRDefault="00000000">
      <w:pPr>
        <w:pStyle w:val="Ttulo2"/>
        <w:spacing w:before="250" w:after="120"/>
        <w:rPr>
          <w:rFonts w:ascii="Arial" w:hAnsi="Arial" w:cs="Arial"/>
        </w:rPr>
      </w:pPr>
      <w:r w:rsidRPr="00F250BC">
        <w:rPr>
          <w:rFonts w:ascii="Arial" w:hAnsi="Arial" w:cs="Arial"/>
        </w:rPr>
        <w:t>3.1 Dentro do escopo</w:t>
      </w:r>
    </w:p>
    <w:p w14:paraId="756EA3D2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Coleta automatizada de dados de fatores de emissão via API (ex.: Climatiq, EPA, SEEG).</w:t>
      </w:r>
    </w:p>
    <w:p w14:paraId="308F9664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Cálculo de emissões de Escopo 1 e 2 (Escopo 3 de forma parcial/exploratória).</w:t>
      </w:r>
    </w:p>
    <w:p w14:paraId="0F8951C6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Modelo de previsão de emissões (série temporal) para horizonte de 3 a 12 meses.</w:t>
      </w:r>
    </w:p>
    <w:p w14:paraId="2212CB6F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Identificação das principais fontes de emissão (feature importance).</w:t>
      </w:r>
    </w:p>
    <w:p w14:paraId="46132522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Dashboard interativo em Streamlit com série histórica, previsão e simulação what-if.</w:t>
      </w:r>
    </w:p>
    <w:p w14:paraId="678471F3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Geração automática de relatório narrativo (estilo GRI/CDP) usando LLM com grounding nos dados do dashboard.</w:t>
      </w:r>
    </w:p>
    <w:p w14:paraId="5F1466FE" w14:textId="77777777" w:rsidR="00EE62D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Documentação do projeto segundo o template TDSP.</w:t>
      </w:r>
    </w:p>
    <w:p w14:paraId="6EE289A1" w14:textId="77777777" w:rsidR="00F250BC" w:rsidRPr="00F250BC" w:rsidRDefault="00F250BC" w:rsidP="00F250BC">
      <w:pPr>
        <w:pStyle w:val="PargrafodaLista"/>
        <w:spacing w:after="60"/>
        <w:ind w:left="720"/>
        <w:rPr>
          <w:rFonts w:ascii="Arial" w:hAnsi="Arial" w:cs="Arial"/>
        </w:rPr>
      </w:pPr>
    </w:p>
    <w:p w14:paraId="2CC017CF" w14:textId="77777777" w:rsidR="00EE62DC" w:rsidRPr="00F250BC" w:rsidRDefault="00000000">
      <w:pPr>
        <w:pStyle w:val="Ttulo2"/>
        <w:spacing w:before="250" w:after="120"/>
        <w:rPr>
          <w:rFonts w:ascii="Arial" w:hAnsi="Arial" w:cs="Arial"/>
        </w:rPr>
      </w:pPr>
      <w:r w:rsidRPr="00F250BC">
        <w:rPr>
          <w:rFonts w:ascii="Arial" w:hAnsi="Arial" w:cs="Arial"/>
        </w:rPr>
        <w:t>3.2 Fora do escopo</w:t>
      </w:r>
    </w:p>
    <w:p w14:paraId="605E2B80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Certificação oficial de inventário de emissões (auditoria externa).</w:t>
      </w:r>
    </w:p>
    <w:p w14:paraId="17B7BC66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Cobertura completa e granular do Escopo 3 (cadeia de suprimentos completa).</w:t>
      </w:r>
    </w:p>
    <w:p w14:paraId="7EC341EF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Integração com sistemas ERP reais da empresa (serão usados dados simulados/públicos).</w:t>
      </w:r>
    </w:p>
    <w:p w14:paraId="23C56676" w14:textId="77777777" w:rsidR="00EE62D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Deploy em produção corporativa; entrega será um protótipo funcional (MVP).</w:t>
      </w:r>
    </w:p>
    <w:p w14:paraId="7DCF192E" w14:textId="77777777" w:rsidR="00F250BC" w:rsidRDefault="00F250BC" w:rsidP="00F250BC">
      <w:pPr>
        <w:pStyle w:val="PargrafodaLista"/>
        <w:spacing w:after="60"/>
        <w:ind w:left="720"/>
        <w:rPr>
          <w:rFonts w:ascii="Arial" w:hAnsi="Arial" w:cs="Arial"/>
        </w:rPr>
      </w:pPr>
    </w:p>
    <w:p w14:paraId="382C24F2" w14:textId="77777777" w:rsidR="00F250BC" w:rsidRDefault="00F250BC" w:rsidP="00F250BC">
      <w:pPr>
        <w:pStyle w:val="PargrafodaLista"/>
        <w:spacing w:after="60"/>
        <w:ind w:left="720"/>
        <w:rPr>
          <w:rFonts w:ascii="Arial" w:hAnsi="Arial" w:cs="Arial"/>
        </w:rPr>
      </w:pPr>
    </w:p>
    <w:p w14:paraId="2086A49D" w14:textId="77777777" w:rsidR="00F250BC" w:rsidRPr="00F250BC" w:rsidRDefault="00F250BC" w:rsidP="00F250BC">
      <w:pPr>
        <w:pStyle w:val="PargrafodaLista"/>
        <w:spacing w:after="60"/>
        <w:ind w:left="720"/>
        <w:rPr>
          <w:rFonts w:ascii="Arial" w:hAnsi="Arial" w:cs="Arial"/>
        </w:rPr>
      </w:pPr>
    </w:p>
    <w:p w14:paraId="66F8816D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4. Objetivos Analíticos (Hipóteses do Projeto)</w:t>
      </w:r>
    </w:p>
    <w:p w14:paraId="668A1427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lastRenderedPageBreak/>
        <w:t>É possível prever as emissões mensais da organização com erro percentual médio (MAPE) inferior a 15%.</w:t>
      </w:r>
    </w:p>
    <w:p w14:paraId="5A34090A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É possível identificar corretamente as principais fontes/categorias de emissão a partir dos dados de atividade.</w:t>
      </w:r>
    </w:p>
    <w:p w14:paraId="25206438" w14:textId="21851C95" w:rsidR="00F250BC" w:rsidRDefault="00000000" w:rsidP="00F250BC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É possível gerar, via IA generativa, relatórios narrativos consistentes com os dados numéricos do período (sem alucinação).</w:t>
      </w:r>
    </w:p>
    <w:p w14:paraId="250553C2" w14:textId="77777777" w:rsidR="00F250BC" w:rsidRPr="00F250BC" w:rsidRDefault="00F250BC" w:rsidP="00F250BC">
      <w:pPr>
        <w:pStyle w:val="PargrafodaLista"/>
        <w:spacing w:after="60"/>
        <w:ind w:left="720"/>
        <w:rPr>
          <w:rFonts w:ascii="Arial" w:hAnsi="Arial" w:cs="Arial"/>
        </w:rPr>
      </w:pPr>
    </w:p>
    <w:p w14:paraId="049B3EAD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5. Critérios de Sucesso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EE62DC" w:rsidRPr="00F250BC" w14:paraId="14F28F18" w14:textId="77777777">
        <w:tc>
          <w:tcPr>
            <w:tcW w:w="40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02D24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Critério</w:t>
            </w:r>
          </w:p>
        </w:tc>
        <w:tc>
          <w:tcPr>
            <w:tcW w:w="53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0A40F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Meta</w:t>
            </w:r>
          </w:p>
        </w:tc>
      </w:tr>
      <w:tr w:rsidR="00EE62DC" w:rsidRPr="00F250BC" w14:paraId="71282C54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855AC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Redução do tempo de elaboração do relatório ESG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8C0B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Redução de ao menos 80% do tempo (de semanas para horas/minutos)</w:t>
            </w:r>
          </w:p>
        </w:tc>
      </w:tr>
      <w:tr w:rsidR="00EE62DC" w:rsidRPr="00F250BC" w14:paraId="2219963A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98468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Frequência de atualização dos dados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6738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De anual para mensal/trimestral</w:t>
            </w:r>
          </w:p>
        </w:tc>
      </w:tr>
      <w:tr w:rsidR="00EE62DC" w:rsidRPr="00F250BC" w14:paraId="702BFE37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027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Acurácia da previsão de emissões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C6F70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MAPE &lt; 15% em conjunto de teste (holdout temporal)</w:t>
            </w:r>
          </w:p>
        </w:tc>
      </w:tr>
      <w:tr w:rsidR="00EE62DC" w:rsidRPr="00F250BC" w14:paraId="0FB99681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47EB6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Explicabilidade do modelo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DFA5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As 3 principais fontes de emissão identificadas fazem sentido de negócio (validação qualitativa)</w:t>
            </w:r>
          </w:p>
        </w:tc>
      </w:tr>
      <w:tr w:rsidR="00EE62DC" w:rsidRPr="00F250BC" w14:paraId="4D677315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F7D7F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Qualidade do relatório gerado por IA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E588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Nenhuma divergência entre números citados no texto e a base de dados</w:t>
            </w:r>
          </w:p>
        </w:tc>
      </w:tr>
      <w:tr w:rsidR="00EE62DC" w:rsidRPr="00F250BC" w14:paraId="1268CA7B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6DB73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Usabilidade do dashboard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D970E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Tempo de carregamento das visualizações principais &lt; 5 segundos</w:t>
            </w:r>
          </w:p>
        </w:tc>
      </w:tr>
    </w:tbl>
    <w:p w14:paraId="4419D411" w14:textId="77777777" w:rsidR="00F250BC" w:rsidRDefault="00F250BC">
      <w:pPr>
        <w:pStyle w:val="Ttulo1"/>
        <w:spacing w:before="300" w:after="150"/>
        <w:rPr>
          <w:rFonts w:ascii="Arial" w:hAnsi="Arial" w:cs="Arial"/>
        </w:rPr>
      </w:pPr>
    </w:p>
    <w:p w14:paraId="1E522DFD" w14:textId="66B18A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6. Stakeholders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50"/>
      </w:tblGrid>
      <w:tr w:rsidR="00EE62DC" w:rsidRPr="00F250BC" w14:paraId="22C42263" w14:textId="77777777">
        <w:tc>
          <w:tcPr>
            <w:tcW w:w="24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FFE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Papel</w:t>
            </w:r>
          </w:p>
        </w:tc>
        <w:tc>
          <w:tcPr>
            <w:tcW w:w="24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8153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Responsabilidade</w:t>
            </w:r>
          </w:p>
        </w:tc>
        <w:tc>
          <w:tcPr>
            <w:tcW w:w="24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9FB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Interesse Principal</w:t>
            </w:r>
          </w:p>
        </w:tc>
        <w:tc>
          <w:tcPr>
            <w:tcW w:w="21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62D4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Nível de Influência</w:t>
            </w:r>
          </w:p>
        </w:tc>
      </w:tr>
      <w:tr w:rsidR="00EE62DC" w:rsidRPr="00F250BC" w14:paraId="445F92E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7FF3D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Patrocinador (Sponsor) / Diretoria ESG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7A7BF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Aprovar escopo, orçamento e priorização do projeto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B0308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Conformidade regulatória e reputação da empresa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0300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Alto</w:t>
            </w:r>
          </w:p>
        </w:tc>
      </w:tr>
      <w:tr w:rsidR="00EE62DC" w:rsidRPr="00F250BC" w14:paraId="486E122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56C8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Gestor de Sustentabilidade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1F17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Validar dados, metodologia de cálculo e relatório gerado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99F5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Precisão e credibilidade dos indicadores ESG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04DA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Alto</w:t>
            </w:r>
          </w:p>
        </w:tc>
      </w:tr>
      <w:tr w:rsidR="00EE62DC" w:rsidRPr="00F250BC" w14:paraId="78FDABF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A949E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Cientista de Dados (equipe do projeto)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44B50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Coleta, modelagem, avaliação e documentação técnica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A14B4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Qualidade técnica e reprodutibilidade do pipeline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912A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Alto</w:t>
            </w:r>
          </w:p>
        </w:tc>
      </w:tr>
      <w:tr w:rsidR="00EE62DC" w:rsidRPr="00F250BC" w14:paraId="0DAB739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1DDE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Equipe de TI / Infraestrutura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2AB62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Prover acesso a APIs, credenciais e ambiente de deploy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B15B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Segurança e estabilidade da solução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1D955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Médio</w:t>
            </w:r>
          </w:p>
        </w:tc>
      </w:tr>
      <w:tr w:rsidR="00EE62DC" w:rsidRPr="00F250BC" w14:paraId="092B3F8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E15F1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Usuários finais (gestores de unidades/setores)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C66DD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Utilizar o dashboard para tomada de decisão operacional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FB7C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Facilidade de uso e clareza das informações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69DAA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Médio</w:t>
            </w:r>
          </w:p>
        </w:tc>
      </w:tr>
      <w:tr w:rsidR="00EE62DC" w:rsidRPr="00F250BC" w14:paraId="4081A2F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0DD6E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Órgãos reguladores / Auditores externos (indireto)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B86C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Não participam diretamente, mas definem padrões de reporte (GRI, CDP)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F03EA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Conformidade com normas de reporte ambiental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0B70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Baixo (indireto)</w:t>
            </w:r>
          </w:p>
        </w:tc>
      </w:tr>
    </w:tbl>
    <w:p w14:paraId="48552742" w14:textId="77777777" w:rsidR="00EE62DC" w:rsidRPr="00F250BC" w:rsidRDefault="00EE62DC">
      <w:pPr>
        <w:spacing w:after="200"/>
        <w:rPr>
          <w:rFonts w:ascii="Arial" w:hAnsi="Arial" w:cs="Arial"/>
        </w:rPr>
      </w:pPr>
    </w:p>
    <w:p w14:paraId="05CFE6CC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7. Cronograma Macro (Marcos do Projeto)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50"/>
        <w:gridCol w:w="4000"/>
      </w:tblGrid>
      <w:tr w:rsidR="00EE62DC" w:rsidRPr="00F250BC" w14:paraId="6D66C15D" w14:textId="77777777">
        <w:tc>
          <w:tcPr>
            <w:tcW w:w="20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CF18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Fase (TDSP)</w:t>
            </w:r>
          </w:p>
        </w:tc>
        <w:tc>
          <w:tcPr>
            <w:tcW w:w="33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67AED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Entregável</w:t>
            </w:r>
          </w:p>
        </w:tc>
        <w:tc>
          <w:tcPr>
            <w:tcW w:w="40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9A35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b/>
                <w:bCs/>
                <w:color w:val="FFFFFF"/>
              </w:rPr>
              <w:t>Descrição</w:t>
            </w:r>
          </w:p>
        </w:tc>
      </w:tr>
      <w:tr w:rsidR="00EE62DC" w:rsidRPr="00F250BC" w14:paraId="1E5FB53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4EC06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Business Understanding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F5090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Project Charter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687F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Escopo, objetivos, stakeholders e critérios de sucesso definidos</w:t>
            </w:r>
          </w:p>
        </w:tc>
      </w:tr>
      <w:tr w:rsidR="00EE62DC" w:rsidRPr="00F250BC" w14:paraId="7B9C2B5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DA2B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Data Acquisition &amp; Understanding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97FA3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Data Summary Report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45CA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Levantamento das fontes de dados e primeiras análises exploratórias</w:t>
            </w:r>
          </w:p>
        </w:tc>
      </w:tr>
      <w:tr w:rsidR="00EE62DC" w:rsidRPr="00F250BC" w14:paraId="1D4E572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7F4C9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Modeling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69BCF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Model Report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4376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Modelo de previsão e explicabilidade das fontes de emissão</w:t>
            </w:r>
          </w:p>
        </w:tc>
      </w:tr>
      <w:tr w:rsidR="00EE62DC" w:rsidRPr="00F250BC" w14:paraId="6A44979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1C90E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Deployment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1B24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Dashboard Streamlit + Relatório automático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13FD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Aplicação final publicada com geração de relatório via IA generativa</w:t>
            </w:r>
          </w:p>
        </w:tc>
      </w:tr>
      <w:tr w:rsidR="00EE62DC" w:rsidRPr="00F250BC" w14:paraId="1A3F96F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77A87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Customer Acceptance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799D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Exit Report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A5D70" w14:textId="77777777" w:rsidR="00EE62DC" w:rsidRPr="00F250BC" w:rsidRDefault="00000000">
            <w:pPr>
              <w:rPr>
                <w:rFonts w:ascii="Arial" w:hAnsi="Arial" w:cs="Arial"/>
              </w:rPr>
            </w:pPr>
            <w:r w:rsidRPr="00F250BC">
              <w:rPr>
                <w:rFonts w:ascii="Arial" w:hAnsi="Arial" w:cs="Arial"/>
                <w:color w:val="000000"/>
              </w:rPr>
              <w:t>Validação final com stakeholders e encerramento do projeto</w:t>
            </w:r>
          </w:p>
        </w:tc>
      </w:tr>
    </w:tbl>
    <w:p w14:paraId="149020C9" w14:textId="77777777" w:rsidR="00EE62DC" w:rsidRPr="00F250BC" w:rsidRDefault="00EE62DC">
      <w:pPr>
        <w:spacing w:after="200"/>
        <w:rPr>
          <w:rFonts w:ascii="Arial" w:hAnsi="Arial" w:cs="Arial"/>
        </w:rPr>
      </w:pPr>
    </w:p>
    <w:p w14:paraId="78466D52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8. Riscos Preliminares</w:t>
      </w:r>
    </w:p>
    <w:p w14:paraId="40DCECBB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Indisponibilidade ou limitação de taxa (rate limit) das APIs públicas de fatores de emissão.</w:t>
      </w:r>
    </w:p>
    <w:p w14:paraId="7672AB34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Ausência de dados reais da empresa, exigindo uso de dados simulados (impacto na validação prática).</w:t>
      </w:r>
    </w:p>
    <w:p w14:paraId="281EF1F6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Risco de alucinação do LLM ao gerar o relatório narrativo, exigindo mecanismo de verificação (grounding).</w:t>
      </w:r>
    </w:p>
    <w:p w14:paraId="46353ED0" w14:textId="77777777" w:rsidR="00EE62DC" w:rsidRPr="00F250BC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F250BC">
        <w:rPr>
          <w:rFonts w:ascii="Arial" w:hAnsi="Arial" w:cs="Arial"/>
        </w:rPr>
        <w:t>Mudança de metodologia de fatores de emissão entre fontes distintas, afetando a consistência histórica.</w:t>
      </w:r>
    </w:p>
    <w:p w14:paraId="03B7803E" w14:textId="77777777" w:rsidR="00EE62DC" w:rsidRPr="00F250BC" w:rsidRDefault="00000000">
      <w:pPr>
        <w:pStyle w:val="Ttulo1"/>
        <w:spacing w:before="300" w:after="150"/>
        <w:rPr>
          <w:rFonts w:ascii="Arial" w:hAnsi="Arial" w:cs="Arial"/>
        </w:rPr>
      </w:pPr>
      <w:r w:rsidRPr="00F250BC">
        <w:rPr>
          <w:rFonts w:ascii="Arial" w:hAnsi="Arial" w:cs="Arial"/>
        </w:rPr>
        <w:t>9. Aprovação</w:t>
      </w:r>
    </w:p>
    <w:p w14:paraId="31BF735C" w14:textId="77777777" w:rsidR="00EE62DC" w:rsidRPr="00F250BC" w:rsidRDefault="00000000">
      <w:pPr>
        <w:spacing w:after="120"/>
        <w:rPr>
          <w:rFonts w:ascii="Arial" w:hAnsi="Arial" w:cs="Arial"/>
        </w:rPr>
      </w:pPr>
      <w:r w:rsidRPr="00F250BC">
        <w:rPr>
          <w:rFonts w:ascii="Arial" w:hAnsi="Arial" w:cs="Arial"/>
        </w:rPr>
        <w:t>Este documento representa o entendimento inicial do escopo e será revisado conforme o projeto avança pelas fases do CRISP-DM/TDSP.</w:t>
      </w:r>
    </w:p>
    <w:sectPr w:rsidR="00EE62DC" w:rsidRPr="00F250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6245E"/>
    <w:multiLevelType w:val="hybridMultilevel"/>
    <w:tmpl w:val="439ABF3A"/>
    <w:lvl w:ilvl="0" w:tplc="BFF0F572">
      <w:start w:val="1"/>
      <w:numFmt w:val="bullet"/>
      <w:lvlText w:val="●"/>
      <w:lvlJc w:val="left"/>
      <w:pPr>
        <w:ind w:left="720" w:hanging="360"/>
      </w:pPr>
    </w:lvl>
    <w:lvl w:ilvl="1" w:tplc="CDB066DA">
      <w:start w:val="1"/>
      <w:numFmt w:val="bullet"/>
      <w:lvlText w:val="○"/>
      <w:lvlJc w:val="left"/>
      <w:pPr>
        <w:ind w:left="1440" w:hanging="360"/>
      </w:pPr>
    </w:lvl>
    <w:lvl w:ilvl="2" w:tplc="2B3A9F48">
      <w:start w:val="1"/>
      <w:numFmt w:val="bullet"/>
      <w:lvlText w:val="■"/>
      <w:lvlJc w:val="left"/>
      <w:pPr>
        <w:ind w:left="2160" w:hanging="360"/>
      </w:pPr>
    </w:lvl>
    <w:lvl w:ilvl="3" w:tplc="019E828E">
      <w:start w:val="1"/>
      <w:numFmt w:val="bullet"/>
      <w:lvlText w:val="●"/>
      <w:lvlJc w:val="left"/>
      <w:pPr>
        <w:ind w:left="2880" w:hanging="360"/>
      </w:pPr>
    </w:lvl>
    <w:lvl w:ilvl="4" w:tplc="F9723ABC">
      <w:start w:val="1"/>
      <w:numFmt w:val="bullet"/>
      <w:lvlText w:val="○"/>
      <w:lvlJc w:val="left"/>
      <w:pPr>
        <w:ind w:left="3600" w:hanging="360"/>
      </w:pPr>
    </w:lvl>
    <w:lvl w:ilvl="5" w:tplc="A0F0C184">
      <w:start w:val="1"/>
      <w:numFmt w:val="bullet"/>
      <w:lvlText w:val="■"/>
      <w:lvlJc w:val="left"/>
      <w:pPr>
        <w:ind w:left="4320" w:hanging="360"/>
      </w:pPr>
    </w:lvl>
    <w:lvl w:ilvl="6" w:tplc="95B60480">
      <w:start w:val="1"/>
      <w:numFmt w:val="bullet"/>
      <w:lvlText w:val="●"/>
      <w:lvlJc w:val="left"/>
      <w:pPr>
        <w:ind w:left="5040" w:hanging="360"/>
      </w:pPr>
    </w:lvl>
    <w:lvl w:ilvl="7" w:tplc="F8486DF4">
      <w:start w:val="1"/>
      <w:numFmt w:val="bullet"/>
      <w:lvlText w:val="●"/>
      <w:lvlJc w:val="left"/>
      <w:pPr>
        <w:ind w:left="5760" w:hanging="360"/>
      </w:pPr>
    </w:lvl>
    <w:lvl w:ilvl="8" w:tplc="9B1E7AE2">
      <w:start w:val="1"/>
      <w:numFmt w:val="bullet"/>
      <w:lvlText w:val="●"/>
      <w:lvlJc w:val="left"/>
      <w:pPr>
        <w:ind w:left="6480" w:hanging="360"/>
      </w:pPr>
    </w:lvl>
  </w:abstractNum>
  <w:num w:numId="1" w16cid:durableId="653143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2DC"/>
    <w:rsid w:val="00735C83"/>
    <w:rsid w:val="00935E1F"/>
    <w:rsid w:val="00D21B75"/>
    <w:rsid w:val="00EE62DC"/>
    <w:rsid w:val="00F2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A02F"/>
  <w15:docId w15:val="{954FB0E1-D448-4090-B2C5-F2A28016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819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Santana</cp:lastModifiedBy>
  <cp:revision>3</cp:revision>
  <dcterms:created xsi:type="dcterms:W3CDTF">2026-08-20T13:00:00Z</dcterms:created>
  <dcterms:modified xsi:type="dcterms:W3CDTF">2026-08-21T18:53:00Z</dcterms:modified>
</cp:coreProperties>
</file>