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ltChunk00cd9030.html" ContentType="text/html"/>
  <Override PartName="/word/altChunk015fc960.html" ContentType="text/html"/>
  <Override PartName="/word/altChunk01760d81.html" ContentType="text/html"/>
  <Override PartName="/word/altChunk01a678a9.html" ContentType="text/html"/>
  <Override PartName="/word/altChunk01b1bdff.html" ContentType="text/html"/>
  <Override PartName="/word/altChunk065b065d.html" ContentType="text/html"/>
  <Override PartName="/word/altChunk075b5f5b.html" ContentType="text/html"/>
  <Override PartName="/word/altChunk096e0367.html" ContentType="text/html"/>
  <Override PartName="/word/altChunk0afb06a0.html" ContentType="text/html"/>
  <Override PartName="/word/altChunk0cdbb15e.html" ContentType="text/html"/>
  <Override PartName="/word/altChunk0e7f3736.html" ContentType="text/html"/>
  <Override PartName="/word/altChunk0f0096e2.html" ContentType="text/html"/>
  <Override PartName="/word/altChunk0f40fc8e.html" ContentType="text/html"/>
  <Override PartName="/word/altChunk0fa041f0.html" ContentType="text/html"/>
  <Override PartName="/word/altChunk0fd0b9a2.html" ContentType="text/html"/>
  <Override PartName="/word/altChunk102644e8.html" ContentType="text/html"/>
  <Override PartName="/word/altChunk1159264b.html" ContentType="text/html"/>
  <Override PartName="/word/altChunk1418c401.html" ContentType="text/html"/>
  <Override PartName="/word/altChunk14d8891c.html" ContentType="text/html"/>
  <Override PartName="/word/altChunk18003f7b.html" ContentType="text/html"/>
  <Override PartName="/word/altChunk1bda16d1.html" ContentType="text/html"/>
  <Override PartName="/word/altChunk1c1b7eed.html" ContentType="text/html"/>
  <Override PartName="/word/altChunk2041b329.html" ContentType="text/html"/>
  <Override PartName="/word/altChunk250fd095.html" ContentType="text/html"/>
  <Override PartName="/word/altChunk252553ad.html" ContentType="text/html"/>
  <Override PartName="/word/altChunk27079e59.html" ContentType="text/html"/>
  <Override PartName="/word/altChunk273350ad.html" ContentType="text/html"/>
  <Override PartName="/word/altChunk278f5b71.html" ContentType="text/html"/>
  <Override PartName="/word/altChunk28072576.html" ContentType="text/html"/>
  <Override PartName="/word/altChunk28152517.html" ContentType="text/html"/>
  <Override PartName="/word/altChunk29c1f30b.html" ContentType="text/html"/>
  <Override PartName="/word/altChunk2b802ac2.html" ContentType="text/html"/>
  <Override PartName="/word/altChunk2be6b4b5.html" ContentType="text/html"/>
  <Override PartName="/word/altChunk2c10af38.html" ContentType="text/html"/>
  <Override PartName="/word/altChunk2d88ebe8.html" ContentType="text/html"/>
  <Override PartName="/word/altChunk2e9ecb82.html" ContentType="text/html"/>
  <Override PartName="/word/altChunk3021084d.html" ContentType="text/html"/>
  <Override PartName="/word/altChunk30754d57.html" ContentType="text/html"/>
  <Override PartName="/word/altChunk3222067e.html" ContentType="text/html"/>
  <Override PartName="/word/altChunk34429659.html" ContentType="text/html"/>
  <Override PartName="/word/altChunk348b818f.html" ContentType="text/html"/>
  <Override PartName="/word/altChunk3700b270.html" ContentType="text/html"/>
  <Override PartName="/word/altChunk37e8f7f5.html" ContentType="text/html"/>
  <Override PartName="/word/altChunk39a7638d.html" ContentType="text/html"/>
  <Override PartName="/word/altChunk39fa6a76.html" ContentType="text/html"/>
  <Override PartName="/word/altChunk3ae343b1.html" ContentType="text/html"/>
  <Override PartName="/word/altChunk3c010c6c.html" ContentType="text/html"/>
  <Override PartName="/word/altChunk3c7c118e.html" ContentType="text/html"/>
  <Override PartName="/word/altChunk3d05b1d5.html" ContentType="text/html"/>
  <Override PartName="/word/altChunk3f2a05ed.html" ContentType="text/html"/>
  <Override PartName="/word/altChunk3fc9844c.html" ContentType="text/html"/>
  <Override PartName="/word/altChunk4184c9eb.html" ContentType="text/html"/>
  <Override PartName="/word/altChunk4257b570.html" ContentType="text/html"/>
  <Override PartName="/word/altChunk432379a0.html" ContentType="text/html"/>
  <Override PartName="/word/altChunk44722164.html" ContentType="text/html"/>
  <Override PartName="/word/altChunk45a9617e.html" ContentType="text/html"/>
  <Override PartName="/word/altChunk48c7baa2.html" ContentType="text/html"/>
  <Override PartName="/word/altChunk4a249070.html" ContentType="text/html"/>
  <Override PartName="/word/altChunk4a6da365.html" ContentType="text/html"/>
  <Override PartName="/word/altChunk4ff26893.html" ContentType="text/html"/>
  <Override PartName="/word/altChunk51cf99d2.html" ContentType="text/html"/>
  <Override PartName="/word/altChunk54522bee.html" ContentType="text/html"/>
  <Override PartName="/word/altChunk553c6d23.html" ContentType="text/html"/>
  <Override PartName="/word/altChunk55bbe78e.html" ContentType="text/html"/>
  <Override PartName="/word/altChunk5716adfc.html" ContentType="text/html"/>
  <Override PartName="/word/altChunk574cd48a.html" ContentType="text/html"/>
  <Override PartName="/word/altChunk579c5098.html" ContentType="text/html"/>
  <Override PartName="/word/altChunk58a51151.html" ContentType="text/html"/>
  <Override PartName="/word/altChunk5a81b7f8.html" ContentType="text/html"/>
  <Override PartName="/word/altChunk5aad253c.html" ContentType="text/html"/>
  <Override PartName="/word/altChunk5bd94561.html" ContentType="text/html"/>
  <Override PartName="/word/altChunk5d87c0e8.html" ContentType="text/html"/>
  <Override PartName="/word/altChunk5fb26afa.html" ContentType="text/html"/>
  <Override PartName="/word/altChunk6453ff17.html" ContentType="text/html"/>
  <Override PartName="/word/altChunk649bbbda.html" ContentType="text/html"/>
  <Override PartName="/word/altChunk675af4da.html" ContentType="text/html"/>
  <Override PartName="/word/altChunk68de5235.html" ContentType="text/html"/>
  <Override PartName="/word/altChunk695f9ae1.html" ContentType="text/html"/>
  <Override PartName="/word/altChunk6c472b6c.html" ContentType="text/html"/>
  <Override PartName="/word/altChunk6c6bcff7.html" ContentType="text/html"/>
  <Override PartName="/word/altChunk6e429a89.html" ContentType="text/html"/>
  <Override PartName="/word/altChunk7179cc18.html" ContentType="text/html"/>
  <Override PartName="/word/altChunk71c3a6c6.html" ContentType="text/html"/>
  <Override PartName="/word/altChunk71df87b0.html" ContentType="text/html"/>
  <Override PartName="/word/altChunk71f46458.html" ContentType="text/html"/>
  <Override PartName="/word/altChunk7705ccd4.html" ContentType="text/html"/>
  <Override PartName="/word/altChunk7791562f.html" ContentType="text/html"/>
  <Override PartName="/word/altChunk79ea335c.html" ContentType="text/html"/>
  <Override PartName="/word/altChunk7cdaefaa.html" ContentType="text/html"/>
  <Override PartName="/word/altChunk7e4a83f3.html" ContentType="text/html"/>
  <Override PartName="/word/altChunk7f68cbef.html" ContentType="text/html"/>
  <Override PartName="/word/altChunk80e8d8ad.html" ContentType="text/html"/>
  <Override PartName="/word/altChunk811988b9.html" ContentType="text/html"/>
  <Override PartName="/word/altChunk819e9d16.html" ContentType="text/html"/>
  <Override PartName="/word/altChunk81e8c74e.html" ContentType="text/html"/>
  <Override PartName="/word/altChunk81f27c34.html" ContentType="text/html"/>
  <Override PartName="/word/altChunk82253932.html" ContentType="text/html"/>
  <Override PartName="/word/altChunk824a4932.html" ContentType="text/html"/>
  <Override PartName="/word/altChunk881497ab.html" ContentType="text/html"/>
  <Override PartName="/word/altChunk887dc163.html" ContentType="text/html"/>
  <Override PartName="/word/altChunk88ea448c.html" ContentType="text/html"/>
  <Override PartName="/word/altChunk8ad517a6.html" ContentType="text/html"/>
  <Override PartName="/word/altChunk8b056452.html" ContentType="text/html"/>
  <Override PartName="/word/altChunk8e0b7dd7.html" ContentType="text/html"/>
  <Override PartName="/word/altChunk903cb4a4.html" ContentType="text/html"/>
  <Override PartName="/word/altChunk91471ab2.html" ContentType="text/html"/>
  <Override PartName="/word/altChunk9296de99.html" ContentType="text/html"/>
  <Override PartName="/word/altChunk9400b61e.html" ContentType="text/html"/>
  <Override PartName="/word/altChunk953ab8ae.html" ContentType="text/html"/>
  <Override PartName="/word/altChunk95715e43.html" ContentType="text/html"/>
  <Override PartName="/word/altChunk967feecf.html" ContentType="text/html"/>
  <Override PartName="/word/altChunk96882664.html" ContentType="text/html"/>
  <Override PartName="/word/altChunk97238ade.html" ContentType="text/html"/>
  <Override PartName="/word/altChunk99eb4003.html" ContentType="text/html"/>
  <Override PartName="/word/altChunk9b0ccfda.html" ContentType="text/html"/>
  <Override PartName="/word/altChunk9c44cc92.html" ContentType="text/html"/>
  <Override PartName="/word/altChunk9c46676d.html" ContentType="text/html"/>
  <Override PartName="/word/altChunka0a6d8bb.html" ContentType="text/html"/>
  <Override PartName="/word/altChunka20ac08c.html" ContentType="text/html"/>
  <Override PartName="/word/altChunka5331147.html" ContentType="text/html"/>
  <Override PartName="/word/altChunka672e2ff.html" ContentType="text/html"/>
  <Override PartName="/word/altChunka7ae9b82.html" ContentType="text/html"/>
  <Override PartName="/word/altChunka7c1055d.html" ContentType="text/html"/>
  <Override PartName="/word/altChunka7fd4930.html" ContentType="text/html"/>
  <Override PartName="/word/altChunkae14cb5e.html" ContentType="text/html"/>
  <Override PartName="/word/altChunkaee669b6.html" ContentType="text/html"/>
  <Override PartName="/word/altChunkb353a63b.html" ContentType="text/html"/>
  <Override PartName="/word/altChunkb4ff80e4.html" ContentType="text/html"/>
  <Override PartName="/word/altChunkb5102aae.html" ContentType="text/html"/>
  <Override PartName="/word/altChunkb6238020.html" ContentType="text/html"/>
  <Override PartName="/word/altChunkb90387f3.html" ContentType="text/html"/>
  <Override PartName="/word/altChunkbb3b74d8.html" ContentType="text/html"/>
  <Override PartName="/word/altChunkbc14b487.html" ContentType="text/html"/>
  <Override PartName="/word/altChunkbd7b33bb.html" ContentType="text/html"/>
  <Override PartName="/word/altChunkbf8278a9.html" ContentType="text/html"/>
  <Override PartName="/word/altChunkbffa75e2.html" ContentType="text/html"/>
  <Override PartName="/word/altChunkc089d063.html" ContentType="text/html"/>
  <Override PartName="/word/altChunkc14d09b2.html" ContentType="text/html"/>
  <Override PartName="/word/altChunkc1c6e3e2.html" ContentType="text/html"/>
  <Override PartName="/word/altChunkc2edf203.html" ContentType="text/html"/>
  <Override PartName="/word/altChunkc3415f18.html" ContentType="text/html"/>
  <Override PartName="/word/altChunkc360b090.html" ContentType="text/html"/>
  <Override PartName="/word/altChunkc4ee51f0.html" ContentType="text/html"/>
  <Override PartName="/word/altChunkc59a5c85.html" ContentType="text/html"/>
  <Override PartName="/word/altChunkc61905c5.html" ContentType="text/html"/>
  <Override PartName="/word/altChunkc680c5ef.html" ContentType="text/html"/>
  <Override PartName="/word/altChunkc70eff5d.html" ContentType="text/html"/>
  <Override PartName="/word/altChunkc76cbce3.html" ContentType="text/html"/>
  <Override PartName="/word/altChunkc8f3fe37.html" ContentType="text/html"/>
  <Override PartName="/word/altChunkc9d39dd8.html" ContentType="text/html"/>
  <Override PartName="/word/altChunkca539c51.html" ContentType="text/html"/>
  <Override PartName="/word/altChunkcb0e7d7c.html" ContentType="text/html"/>
  <Override PartName="/word/altChunkcb7b9671.html" ContentType="text/html"/>
  <Override PartName="/word/altChunkccf3ac61.html" ContentType="text/html"/>
  <Override PartName="/word/altChunkcf29b6d1.html" ContentType="text/html"/>
  <Override PartName="/word/altChunkcffba5e8.html" ContentType="text/html"/>
  <Override PartName="/word/altChunkd08ed10e.html" ContentType="text/html"/>
  <Override PartName="/word/altChunkd101c892.html" ContentType="text/html"/>
  <Override PartName="/word/altChunkd2bfd721.html" ContentType="text/html"/>
  <Override PartName="/word/altChunkd3226cee.html" ContentType="text/html"/>
  <Override PartName="/word/altChunkd76596cc.html" ContentType="text/html"/>
  <Override PartName="/word/altChunkd79c4e15.html" ContentType="text/html"/>
  <Override PartName="/word/altChunkd8874326.html" ContentType="text/html"/>
  <Override PartName="/word/altChunkdaae59fd.html" ContentType="text/html"/>
  <Override PartName="/word/altChunkdb274f53.html" ContentType="text/html"/>
  <Override PartName="/word/altChunkdc0cf5b4.html" ContentType="text/html"/>
  <Override PartName="/word/altChunkddf056c5.html" ContentType="text/html"/>
  <Override PartName="/word/altChunke03b8a8e.html" ContentType="text/html"/>
  <Override PartName="/word/altChunke1db1763.html" ContentType="text/html"/>
  <Override PartName="/word/altChunke45af876.html" ContentType="text/html"/>
  <Override PartName="/word/altChunke4d1b925.html" ContentType="text/html"/>
  <Override PartName="/word/altChunke611656c.html" ContentType="text/html"/>
  <Override PartName="/word/altChunke7218847.html" ContentType="text/html"/>
  <Override PartName="/word/altChunke78e6d53.html" ContentType="text/html"/>
  <Override PartName="/word/altChunke8c253bb.html" ContentType="text/html"/>
  <Override PartName="/word/altChunkea18df26.html" ContentType="text/html"/>
  <Override PartName="/word/altChunkea66861f.html" ContentType="text/html"/>
  <Override PartName="/word/altChunkeaa2b035.html" ContentType="text/html"/>
  <Override PartName="/word/altChunkebe4d2eb.html" ContentType="text/html"/>
  <Override PartName="/word/altChunkec07379a.html" ContentType="text/html"/>
  <Override PartName="/word/altChunkec0e7fcc.html" ContentType="text/html"/>
  <Override PartName="/word/altChunkef26f205.html" ContentType="text/html"/>
  <Override PartName="/word/altChunkefa3d041.html" ContentType="text/html"/>
  <Override PartName="/word/altChunkf23cb155.html" ContentType="text/html"/>
  <Override PartName="/word/altChunkf24bdc36.html" ContentType="text/html"/>
  <Override PartName="/word/altChunkf2fb01a5.html" ContentType="text/html"/>
  <Override PartName="/word/altChunkf3d4cd12.html" ContentType="text/html"/>
  <Override PartName="/word/altChunkf540ab64.html" ContentType="text/html"/>
  <Override PartName="/word/altChunkf55710d9.html" ContentType="text/html"/>
  <Override PartName="/word/altChunkf858832c.html" ContentType="text/html"/>
  <Override PartName="/word/altChunkfb7aba14.html" ContentType="text/html"/>
  <Override PartName="/word/altChunkfbdb7d2e.html" ContentType="text/html"/>
  <Override PartName="/word/altChunkfd3c8185.html" ContentType="text/html"/>
  <Override PartName="/word/altChunkfd948abd.html" ContentType="text/html"/>
  <Override PartName="/word/altChunkff387ab8.html" ContentType="text/html"/>
  <Override PartName="/word/altChunkff496911.html" ContentType="text/ht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Arial" w:hAnsi="Arial"/>
          <w:b/>
          <w:color w:val="1B365D"/>
          <w:sz w:val="28"/>
        </w:rPr>
        <w:t>TRIBUNAL DE CONTAS DO ESTADO DE GOIÁS — TCE-GO</w:t>
      </w:r>
    </w:p>
    <w:p>
      <w:pPr>
        <w:spacing w:after="1800"/>
        <w:jc w:val="center"/>
      </w:pPr>
      <w:r>
        <w:rPr>
          <w:rFonts w:ascii="Arial" w:hAnsi="Arial"/>
          <w:b/>
          <w:color w:val="4B5563"/>
          <w:sz w:val="22"/>
        </w:rPr>
        <w:t>CONCURSO PÚBLICO 2027 • BANCA FUNDAÇÃO CARLOS CHAGAS (FCC)</w:t>
      </w:r>
    </w:p>
    <w:p>
      <w:pPr>
        <w:spacing w:after="360"/>
        <w:jc w:val="center"/>
      </w:pPr>
      <w:r>
        <w:rPr>
          <w:rFonts w:ascii="Arial" w:hAnsi="Arial"/>
          <w:b/>
          <w:color w:val="1B365D"/>
          <w:sz w:val="48"/>
        </w:rPr>
        <w:t>LIVRO DIGITAL — CONHECIMENTOS ESPECÍFICOS: TÉCNICO ADMINISTRATIVO</w:t>
      </w:r>
    </w:p>
    <w:p>
      <w:pPr>
        <w:spacing w:after="560"/>
        <w:jc w:val="center"/>
      </w:pPr>
      <w:r>
        <w:rPr>
          <w:rFonts w:ascii="Arial" w:hAnsi="Arial"/>
          <w:i/>
          <w:color w:val="4B5563"/>
          <w:sz w:val="28"/>
        </w:rPr>
        <w:t>Especialidade A01: Direito Administrativo • Lei 14.133 • Constitucional • AFO • CASP • Gestão de Pessoas</w:t>
      </w:r>
    </w:p>
    <w:p>
      <w:pPr>
        <w:spacing w:after="2400"/>
        <w:jc w:val="center"/>
      </w:pPr>
      <w:r>
        <w:rPr>
          <w:rFonts w:ascii="Arial" w:hAnsi="Arial"/>
          <w:b/>
          <w:color w:val="2C5282"/>
          <w:sz w:val="24"/>
        </w:rPr>
        <w:t>EIXO TEMÁTICO: ESPECIALIDADE A01 — TÉCNICO ADMINISTRATIVO</w:t>
      </w:r>
    </w:p>
    <w:p>
      <w:pPr>
        <w:spacing w:after="80"/>
        <w:jc w:val="center"/>
      </w:pPr>
      <w:r>
        <w:rPr>
          <w:rFonts w:ascii="Arial" w:hAnsi="Arial"/>
          <w:b/>
          <w:color w:val="4B5563"/>
          <w:sz w:val="20"/>
        </w:rPr>
        <w:t>GUIA DIDÁTICO CONSOLIDADO — TEORIA COMPLETA E QUESTÕES COMENTADAS</w:t>
        <w:br/>
      </w:r>
      <w:r>
        <w:rPr>
          <w:rFonts w:ascii="Arial" w:hAnsi="Arial"/>
          <w:color w:val="4B5563"/>
          <w:sz w:val="20"/>
        </w:rPr>
        <w:t>GOIÂNIA - GO • EDIÇÃO DE REFERÊNCIA 2027</w:t>
      </w:r>
    </w:p>
    <w:p>
      <w:r>
        <w:br w:type="page"/>
      </w:r>
    </w:p>
    <w:p>
      <w:pPr>
        <w:keepNext/>
        <w:spacing w:before="360" w:after="160"/>
      </w:pPr>
      <w:r>
        <w:rPr>
          <w:rFonts w:ascii="Arial" w:hAnsi="Arial"/>
          <w:b/>
          <w:i w:val="0"/>
          <w:color w:val="1B365D"/>
          <w:sz w:val="36"/>
        </w:rPr>
        <w:t>01 - Regime Jurídico Administrativo, Princípios e LINDB</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Direito Administrativo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01_regime_juridico_principios_e_lindb.md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Administração Pública: conceito, sentidos subjetivo/orgânico e objetivo/material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Regime jurídico-administrativo: supremacia e indisponibilidade do interesse público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Princípios constitucionais expressos: Legalidade, Impessoalidade, Moralidade, Publicidade e Eficiência (LIMPE - CF/88, art. 37, </w:t>
      </w:r>
      <w:r>
        <w:rPr>
          <w:rFonts w:ascii="Arial" w:hAnsi="Arial"/>
          <w:b w:val="0"/>
          <w:i/>
          <w:color w:val="111827"/>
          <w:sz w:val="22"/>
        </w:rPr>
        <w:t>caput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Princípios administrativos implícitos/reconhecidos: Razoabilidade, Proporcionalidade, Segurança Jurídica, Continuidade dos Serviços Públicos, Autotutela (Súmulas 346 e 473 do STF) e Motivação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Lei de Introdução às normas do Direito Brasileiro (LINDB - Decreto-Lei nº 4.657/1942 com redação dada pela Lei nº 12.376/2010 e alterações da Lei nº 13.655/2018, artigos 20 a 30) e sua aplicação na Administração Pública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Responsabilização do agente público segundo o Decreto Federal nº 9.830/2019 e a LINDB (erro grosseiro e dolo)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Conceito e Sentidos de Administração Pública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Sentido Subjetivo, Formal ou Orgânico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Sentido Objetivo, Material ou Funcional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Critérios Distintivos Adotados pela FCC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 Regime Jurídico-Administrativo e sua Bipolaridade Fundamental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Princípio da Supremacia do Interesse Público sobre o Privado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Princípio da Indisponibilidade do Interesse Público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Interesse Público Primário vs. Secundário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Princípios Constitucionais Expressos (Art. 37, caput, CF/88 - LIMPE)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Princípio da Legalidade Estrita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Princípio da Impessoalidade e a Vedação à Promoção Pessoal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Princípio da Moralidade e a Súmula Vinculante nº 13 (Antinepotismo)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Princípio da Publicidade e suas Exceções Constitucionais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3.5 Princípio da Eficiência (Emenda Constitucional nº 19/1998)</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Princípios Administrativos Implícitos e Regime Sumular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Razoabilidade e Proporcionalidade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Segurança Jurídica e Proteção à Confiança Legítima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Princípio da Autotutela (Súmulas 346 e 473 do STF): Anulação vs. Revogação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Princípio da Motivação e a Teoria dos Motivos Determinantes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4.5 Princípio da Continuidade dos Serviços Públicos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O Direito Público Positivo da LINDB (Arts. 20 a 30) e o Controle Externo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Consequencialismo Jurídico e Vedação de Valores Abstratos (Art. 20)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Obstáculos Reais e Circunstâncias Práticas do Gestor (Art. 22)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Responsabilização por Dolo ou Erro Grosseiro (Art. 28 da LINDB c/c Dec. 9.830/2019)</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5.4 Segurança Jurídica, Transição e Vedação à Retroatividade (Arts. 23 e 24)</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&amp; Exemplos (Padrão FCC)</w:t>
      </w:r>
    </w:p>
    <w:p>
      <w:pPr>
        <w:keepNext/>
        <w:spacing w:before="280" w:after="120"/>
      </w:pPr>
      <w:r>
        <w:rPr>
          <w:rFonts w:ascii="Arial" w:hAnsi="Arial"/>
          <w:b/>
          <w:i w:val="0"/>
          <w:color w:val="2C5282"/>
          <w:sz w:val="28"/>
        </w:rPr>
        <w:t>1. Conceito e Sentidos de Administração Pública</w:t>
      </w:r>
    </w:p>
    <w:p>
      <w:pPr>
        <w:spacing w:line="360" w:lineRule="auto" w:before="0" w:after="80"/>
        <w:jc w:val="both"/>
      </w:pPr>
      <w:r>
        <w:rPr>
          <w:rFonts w:ascii="Arial" w:hAnsi="Arial"/>
          <w:b w:val="0"/>
          <w:i w:val="0"/>
          <w:color w:val="111827"/>
          <w:sz w:val="24"/>
        </w:rPr>
        <w:t xml:space="preserve">O Direito Administrativo brasileiro não se encontra codificado em um único diploma legal, fundando-se na Constituição da República de 1988, em leis esparsas e em construções doutrinárias e pretorianas consolidadas. O conceito de </w:t>
      </w:r>
      <w:r>
        <w:rPr>
          <w:rFonts w:ascii="Arial" w:hAnsi="Arial"/>
          <w:b/>
          <w:i w:val="0"/>
          <w:color w:val="111827"/>
          <w:sz w:val="24"/>
        </w:rPr>
        <w:t>Administração Pública</w:t>
      </w:r>
      <w:r>
        <w:rPr>
          <w:rFonts w:ascii="Arial" w:hAnsi="Arial"/>
          <w:b w:val="0"/>
          <w:i w:val="0"/>
          <w:color w:val="111827"/>
          <w:sz w:val="24"/>
        </w:rPr>
        <w:t xml:space="preserve"> desdobra-se em dois sentidos complementares de fundamental relevância para as provas da Fundação Carlos Chagas (FCC):</w:t>
      </w:r>
    </w:p>
    <w:p>
      <w:pPr>
        <w:spacing w:after="120"/>
      </w:pPr>
    </w:p>
    <w:p>
      <w:pPr>
        <w:keepNext/>
        <w:spacing w:before="200" w:after="80"/>
      </w:pPr>
      <w:r>
        <w:rPr>
          <w:rFonts w:ascii="Arial" w:hAnsi="Arial"/>
          <w:b/>
          <w:i w:val="0"/>
          <w:color w:val="2B6CB0"/>
          <w:sz w:val="24"/>
        </w:rPr>
        <w:t>1.1 Sentido Subjetivo, Formal ou Orgânico</w:t>
      </w:r>
    </w:p>
    <w:p>
      <w:pPr>
        <w:spacing w:line="360" w:lineRule="auto" w:before="0" w:after="80"/>
        <w:jc w:val="both"/>
      </w:pPr>
      <w:r>
        <w:rPr>
          <w:rFonts w:ascii="Arial" w:hAnsi="Arial"/>
          <w:b w:val="0"/>
          <w:i w:val="0"/>
          <w:color w:val="111827"/>
          <w:sz w:val="24"/>
        </w:rPr>
        <w:t xml:space="preserve">Sob o enfoque </w:t>
      </w:r>
      <w:r>
        <w:rPr>
          <w:rFonts w:ascii="Arial" w:hAnsi="Arial"/>
          <w:b/>
          <w:i w:val="0"/>
          <w:color w:val="111827"/>
          <w:sz w:val="24"/>
        </w:rPr>
        <w:t>subjetivo, formal ou orgânico</w:t>
      </w:r>
      <w:r>
        <w:rPr>
          <w:rFonts w:ascii="Arial" w:hAnsi="Arial"/>
          <w:b w:val="0"/>
          <w:i w:val="0"/>
          <w:color w:val="111827"/>
          <w:sz w:val="24"/>
        </w:rPr>
        <w:t xml:space="preserve">, a Administração Pública define o complexo estrutural de </w:t>
      </w:r>
      <w:r>
        <w:rPr>
          <w:rFonts w:ascii="Arial" w:hAnsi="Arial"/>
          <w:b/>
          <w:i w:val="0"/>
          <w:color w:val="111827"/>
          <w:sz w:val="24"/>
        </w:rPr>
        <w:t>sujeitos de direito, órgãos e agentes</w:t>
      </w:r>
      <w:r>
        <w:rPr>
          <w:rFonts w:ascii="Arial" w:hAnsi="Arial"/>
          <w:b w:val="0"/>
          <w:i w:val="0"/>
          <w:color w:val="111827"/>
          <w:sz w:val="24"/>
        </w:rPr>
        <w:t xml:space="preserve"> encarregados pelo ordenamento de exercer a função administrativa.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Responde à indagação: </w:t>
      </w:r>
      <w:r>
        <w:rPr>
          <w:rFonts w:ascii="Arial" w:hAnsi="Arial"/>
          <w:b/>
          <w:i w:val="0"/>
          <w:color w:val="111827"/>
          <w:sz w:val="22"/>
        </w:rPr>
        <w:t>"QUEM exerce a função administrativa?"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No ordenamento brasileiro, adota-se o critério estritamente formal: integram a Administração Pública em sentido subjetivo </w:t>
      </w:r>
      <w:r>
        <w:rPr>
          <w:rFonts w:ascii="Arial" w:hAnsi="Arial"/>
          <w:b/>
          <w:i w:val="0"/>
          <w:color w:val="111827"/>
          <w:sz w:val="22"/>
        </w:rPr>
        <w:t>exclusivamente os órgãos e entidades aos quais a lei confere tal condição</w:t>
      </w:r>
      <w:r>
        <w:rPr>
          <w:rFonts w:ascii="Arial" w:hAnsi="Arial"/>
          <w:b w:val="0"/>
          <w:i w:val="0"/>
          <w:color w:val="111827"/>
          <w:sz w:val="22"/>
        </w:rPr>
        <w:t xml:space="preserve"> (União, Estados, DF, Municípios, suas autarquias, fundações públicas, empresas públicas e sociedades de economia mista). Particulares em colaboração com o poder público (concessionárias, permissionárias e organizações sociais) exercem atividade administrativa, mas </w:t>
      </w:r>
      <w:r>
        <w:rPr>
          <w:rFonts w:ascii="Arial" w:hAnsi="Arial"/>
          <w:b/>
          <w:i w:val="0"/>
          <w:color w:val="111827"/>
          <w:sz w:val="22"/>
        </w:rPr>
        <w:t>não integram a Administração Pública em sentido formal</w:t>
      </w:r>
      <w:r>
        <w:rPr>
          <w:rFonts w:ascii="Arial" w:hAnsi="Arial"/>
          <w:b w:val="0"/>
          <w:i w:val="0"/>
          <w:color w:val="111827"/>
          <w:sz w:val="22"/>
        </w:rPr>
        <w:t>.</w:t>
      </w:r>
    </w:p>
    <w:p>
      <w:pPr>
        <w:keepNext/>
        <w:spacing w:before="200" w:after="80"/>
      </w:pPr>
      <w:r>
        <w:rPr>
          <w:rFonts w:ascii="Arial" w:hAnsi="Arial"/>
          <w:b/>
          <w:i w:val="0"/>
          <w:color w:val="2B6CB0"/>
          <w:sz w:val="24"/>
        </w:rPr>
        <w:t>1.2 Sentido Objetivo, Material ou Funcional</w:t>
      </w:r>
    </w:p>
    <w:p>
      <w:pPr>
        <w:spacing w:line="360" w:lineRule="auto" w:before="0" w:after="80"/>
        <w:jc w:val="both"/>
      </w:pPr>
      <w:r>
        <w:rPr>
          <w:rFonts w:ascii="Arial" w:hAnsi="Arial"/>
          <w:b w:val="0"/>
          <w:i w:val="0"/>
          <w:color w:val="111827"/>
          <w:sz w:val="24"/>
        </w:rPr>
        <w:t xml:space="preserve">Sob o prisma </w:t>
      </w:r>
      <w:r>
        <w:rPr>
          <w:rFonts w:ascii="Arial" w:hAnsi="Arial"/>
          <w:b/>
          <w:i w:val="0"/>
          <w:color w:val="111827"/>
          <w:sz w:val="24"/>
        </w:rPr>
        <w:t>objetivo, material ou funcional</w:t>
      </w:r>
      <w:r>
        <w:rPr>
          <w:rFonts w:ascii="Arial" w:hAnsi="Arial"/>
          <w:b w:val="0"/>
          <w:i w:val="0"/>
          <w:color w:val="111827"/>
          <w:sz w:val="24"/>
        </w:rPr>
        <w:t xml:space="preserve">, a Administração Pública corresponde ao conjunto das </w:t>
      </w:r>
      <w:r>
        <w:rPr>
          <w:rFonts w:ascii="Arial" w:hAnsi="Arial"/>
          <w:b/>
          <w:i w:val="0"/>
          <w:color w:val="111827"/>
          <w:sz w:val="24"/>
        </w:rPr>
        <w:t>atividades e funções substantivas</w:t>
      </w:r>
      <w:r>
        <w:rPr>
          <w:rFonts w:ascii="Arial" w:hAnsi="Arial"/>
          <w:b w:val="0"/>
          <w:i w:val="0"/>
          <w:color w:val="111827"/>
          <w:sz w:val="24"/>
        </w:rPr>
        <w:t xml:space="preserve"> tipicamente administrativas executadas pelo Estado.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Responde à indagação: </w:t>
      </w:r>
      <w:r>
        <w:rPr>
          <w:rFonts w:ascii="Arial" w:hAnsi="Arial"/>
          <w:b/>
          <w:i w:val="0"/>
          <w:color w:val="111827"/>
          <w:sz w:val="22"/>
        </w:rPr>
        <w:t>"O QUE é executado pela máquina pública?"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Abrange classicamente quatro atividades administrativas basilares:</w:t>
      </w:r>
    </w:p>
    <w:p>
      <w:pPr>
        <w:spacing w:line="276" w:lineRule="auto" w:before="20" w:after="40"/>
        <w:ind w:left="992"/>
      </w:pPr>
      <w:r>
        <w:rPr>
          <w:rFonts w:ascii="Arial" w:hAnsi="Arial"/>
          <w:b/>
          <w:color w:val="1B365D"/>
          <w:sz w:val="22"/>
        </w:rPr>
        <w:t xml:space="preserve">1. </w:t>
      </w:r>
      <w:r>
        <w:rPr>
          <w:rFonts w:ascii="Arial" w:hAnsi="Arial"/>
          <w:b/>
          <w:i w:val="0"/>
          <w:color w:val="111827"/>
          <w:sz w:val="22"/>
        </w:rPr>
        <w:t>Serviço Público:</w:t>
      </w:r>
      <w:r>
        <w:rPr>
          <w:rFonts w:ascii="Arial" w:hAnsi="Arial"/>
          <w:b w:val="0"/>
          <w:i w:val="0"/>
          <w:color w:val="111827"/>
          <w:sz w:val="22"/>
        </w:rPr>
        <w:t xml:space="preserve"> Prestação direta ou indireta de utilidades e comodidades materiais fruíveis individualmente pelos cidadãos (ex.: transporte coletivo, fornecimento de energia, saúde, saneamento básico).</w:t>
      </w:r>
    </w:p>
    <w:p>
      <w:pPr>
        <w:spacing w:line="276" w:lineRule="auto" w:before="20" w:after="40"/>
        <w:ind w:left="992"/>
      </w:pPr>
      <w:r>
        <w:rPr>
          <w:rFonts w:ascii="Arial" w:hAnsi="Arial"/>
          <w:b/>
          <w:color w:val="1B365D"/>
          <w:sz w:val="22"/>
        </w:rPr>
        <w:t xml:space="preserve">2. </w:t>
      </w:r>
      <w:r>
        <w:rPr>
          <w:rFonts w:ascii="Arial" w:hAnsi="Arial"/>
          <w:b/>
          <w:i w:val="0"/>
          <w:color w:val="111827"/>
          <w:sz w:val="22"/>
        </w:rPr>
        <w:t>Polícia Administrativa:</w:t>
      </w:r>
      <w:r>
        <w:rPr>
          <w:rFonts w:ascii="Arial" w:hAnsi="Arial"/>
          <w:b w:val="0"/>
          <w:i w:val="0"/>
          <w:color w:val="111827"/>
          <w:sz w:val="22"/>
        </w:rPr>
        <w:t xml:space="preserve"> Restrições e condicionamentos impostos a direitos e liberdades individuais e ao uso da propriedade privada em prol do bem-estar coletivo (ex.: fiscalização sanitária, ambiental, trânsito e posturas urbanas).</w:t>
      </w:r>
    </w:p>
    <w:p>
      <w:pPr>
        <w:spacing w:line="276" w:lineRule="auto" w:before="20" w:after="40"/>
        <w:ind w:left="992"/>
      </w:pPr>
      <w:r>
        <w:rPr>
          <w:rFonts w:ascii="Arial" w:hAnsi="Arial"/>
          <w:b/>
          <w:color w:val="1B365D"/>
          <w:sz w:val="22"/>
        </w:rPr>
        <w:t xml:space="preserve">3. </w:t>
      </w:r>
      <w:r>
        <w:rPr>
          <w:rFonts w:ascii="Arial" w:hAnsi="Arial"/>
          <w:b/>
          <w:i w:val="0"/>
          <w:color w:val="111827"/>
          <w:sz w:val="22"/>
        </w:rPr>
        <w:t>Fomento Público:</w:t>
      </w:r>
      <w:r>
        <w:rPr>
          <w:rFonts w:ascii="Arial" w:hAnsi="Arial"/>
          <w:b w:val="0"/>
          <w:i w:val="0"/>
          <w:color w:val="111827"/>
          <w:sz w:val="22"/>
        </w:rPr>
        <w:t xml:space="preserve"> Estímulo estatal protetivo à iniciativa privada de interesse social sem assunção direta da atividade (concessão de incentivos fiscais, subvenções econômicas e convênios com o terceiro setor).</w:t>
      </w:r>
    </w:p>
    <w:p>
      <w:pPr>
        <w:spacing w:line="276" w:lineRule="auto" w:before="20" w:after="40"/>
        <w:ind w:left="992"/>
      </w:pPr>
      <w:r>
        <w:rPr>
          <w:rFonts w:ascii="Arial" w:hAnsi="Arial"/>
          <w:b/>
          <w:color w:val="1B365D"/>
          <w:sz w:val="22"/>
        </w:rPr>
        <w:t xml:space="preserve">4. </w:t>
      </w:r>
      <w:r>
        <w:rPr>
          <w:rFonts w:ascii="Arial" w:hAnsi="Arial"/>
          <w:b/>
          <w:i w:val="0"/>
          <w:color w:val="111827"/>
          <w:sz w:val="22"/>
        </w:rPr>
        <w:t>Intervenção:</w:t>
      </w:r>
      <w:r>
        <w:rPr>
          <w:rFonts w:ascii="Arial" w:hAnsi="Arial"/>
          <w:b w:val="0"/>
          <w:i w:val="0"/>
          <w:color w:val="111827"/>
          <w:sz w:val="22"/>
        </w:rPr>
        <w:t xml:space="preserve"> Atuação regulatória no domínio econômico ou sobre a propriedade privada (desapropriações, tombamentos, servidões administrativas).</w:t>
      </w:r>
    </w:p>
    <w:p>
      <w:pPr>
        <w:keepNext/>
        <w:spacing w:before="200" w:after="80"/>
      </w:pPr>
      <w:r>
        <w:rPr>
          <w:rFonts w:ascii="Arial" w:hAnsi="Arial"/>
          <w:b/>
          <w:i w:val="0"/>
          <w:color w:val="2B6CB0"/>
          <w:sz w:val="24"/>
        </w:rPr>
        <w:t>1.3 Critérios Distintivos Adotados pela FCC</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Distintivo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Sentido Subjetivo / Orgânico / Formal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Sentido Objetivo / Material / Funcional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Pergunta-Guia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Quem realiza a atividade?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Qual atividade é realizada?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Composição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Pessoas jurídicas, órgãos e agentes públicos da Administração Direta e Indireta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Serviços públicos, polícia administrativa, fomento e intervenção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Grafia Típica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Grafado com iniciais maiúsculas (</w:t>
            </w:r>
            <w:r>
              <w:rPr>
                <w:rFonts w:ascii="Arial" w:hAnsi="Arial"/>
                <w:b/>
                <w:i w:val="0"/>
                <w:color w:val="111827"/>
                <w:sz w:val="19"/>
              </w:rPr>
              <w:t>A</w:t>
            </w:r>
            <w:r>
              <w:rPr>
                <w:rFonts w:ascii="Arial" w:hAnsi="Arial"/>
                <w:b w:val="0"/>
                <w:i w:val="0"/>
                <w:color w:val="111827"/>
                <w:sz w:val="19"/>
              </w:rPr>
              <w:t xml:space="preserve">dministração </w:t>
            </w:r>
            <w:r>
              <w:rPr>
                <w:rFonts w:ascii="Arial" w:hAnsi="Arial"/>
                <w:b/>
                <w:i w:val="0"/>
                <w:color w:val="111827"/>
                <w:sz w:val="19"/>
              </w:rPr>
              <w:t>P</w:t>
            </w:r>
            <w:r>
              <w:rPr>
                <w:rFonts w:ascii="Arial" w:hAnsi="Arial"/>
                <w:b w:val="0"/>
                <w:i w:val="0"/>
                <w:color w:val="111827"/>
                <w:sz w:val="19"/>
              </w:rPr>
              <w:t>ública)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Grafado frequentemente com iniciais minúsculas (</w:t>
            </w:r>
            <w:r>
              <w:rPr>
                <w:rFonts w:ascii="Arial" w:hAnsi="Arial"/>
                <w:b/>
                <w:i w:val="0"/>
                <w:color w:val="111827"/>
                <w:sz w:val="19"/>
              </w:rPr>
              <w:t>a</w:t>
            </w:r>
            <w:r>
              <w:rPr>
                <w:rFonts w:ascii="Arial" w:hAnsi="Arial"/>
                <w:b w:val="0"/>
                <w:i w:val="0"/>
                <w:color w:val="111827"/>
                <w:sz w:val="19"/>
              </w:rPr>
              <w:t>dministração pública)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Delegação a Particulares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se transfere a entes delegatários privados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É transferido a concessionários e permissionários</w:t>
            </w:r>
          </w:p>
        </w:tc>
      </w:tr>
    </w:tbl>
    <w:p>
      <w:pPr>
        <w:spacing w:after="120"/>
      </w:pPr>
    </w:p>
    <w:p>
      <w:pPr>
        <w:keepNext/>
        <w:spacing w:before="280" w:after="120"/>
      </w:pPr>
      <w:r>
        <w:rPr>
          <w:rFonts w:ascii="Arial" w:hAnsi="Arial"/>
          <w:b/>
          <w:i w:val="0"/>
          <w:color w:val="2C5282"/>
          <w:sz w:val="28"/>
        </w:rPr>
        <w:t>2. O Regime Jurídico-Administrativo e sua Bipolaridade Fundamental</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Regime Jurídico-Administrativo</w:t>
      </w:r>
      <w:r>
        <w:rPr>
          <w:rFonts w:ascii="Arial" w:hAnsi="Arial"/>
          <w:b w:val="0"/>
          <w:i w:val="0"/>
          <w:color w:val="111827"/>
          <w:sz w:val="24"/>
        </w:rPr>
        <w:t xml:space="preserve"> é o conjunto harmônico de princípios e regras de Direito Público que colocam a Administração Pública em posição especial perante os administrados, conferindo-lhe prerrogativas extraordinárias, ao mesmo tempo em que lhe impõe severas restrições.</w:t>
      </w:r>
    </w:p>
    <w:p>
      <w:pPr>
        <w:spacing w:line="360" w:lineRule="auto" w:before="0" w:after="80"/>
        <w:jc w:val="both"/>
      </w:pPr>
      <w:r>
        <w:rPr>
          <w:rFonts w:ascii="Arial" w:hAnsi="Arial"/>
          <w:b w:val="0"/>
          <w:i w:val="0"/>
          <w:color w:val="111827"/>
          <w:sz w:val="24"/>
        </w:rPr>
        <w:t>Conforme consagrado pela doutrina de Celso Antônio Bandeira de Mello, o regime administrativo estrutura-se sobre dois pilares axiológicos fundamentais (bipolaridade do direito administrativo):</w:t>
      </w:r>
    </w:p>
    <w:p>
      <w:pPr>
        <w:spacing w:after="120"/>
      </w:pPr>
    </w:p>
    <w:p>
      <w:pPr>
        <w:keepNext/>
        <w:spacing w:before="200" w:after="80"/>
      </w:pPr>
      <w:r>
        <w:rPr>
          <w:rFonts w:ascii="Arial" w:hAnsi="Arial"/>
          <w:b/>
          <w:i w:val="0"/>
          <w:color w:val="2B6CB0"/>
          <w:sz w:val="24"/>
        </w:rPr>
        <w:t>2.1 Princípio da Supremacia do Interesse Público sobre o Privado</w:t>
      </w:r>
    </w:p>
    <w:p>
      <w:pPr>
        <w:spacing w:line="360" w:lineRule="auto" w:before="0" w:after="80"/>
        <w:jc w:val="both"/>
      </w:pPr>
      <w:r>
        <w:rPr>
          <w:rFonts w:ascii="Arial" w:hAnsi="Arial"/>
          <w:b w:val="0"/>
          <w:i w:val="0"/>
          <w:color w:val="111827"/>
          <w:sz w:val="24"/>
        </w:rPr>
        <w:t xml:space="preserve">Fundamenta a concessão de </w:t>
      </w:r>
      <w:r>
        <w:rPr>
          <w:rFonts w:ascii="Arial" w:hAnsi="Arial"/>
          <w:b/>
          <w:i w:val="0"/>
          <w:color w:val="111827"/>
          <w:sz w:val="24"/>
        </w:rPr>
        <w:t>prerrogativas e privilégios estatais</w:t>
      </w:r>
      <w:r>
        <w:rPr>
          <w:rFonts w:ascii="Arial" w:hAnsi="Arial"/>
          <w:b w:val="0"/>
          <w:i w:val="0"/>
          <w:color w:val="111827"/>
          <w:sz w:val="24"/>
        </w:rPr>
        <w:t xml:space="preserve"> (</w:t>
      </w:r>
      <w:r>
        <w:rPr>
          <w:rFonts w:ascii="Arial" w:hAnsi="Arial"/>
          <w:b w:val="0"/>
          <w:i/>
          <w:color w:val="111827"/>
          <w:sz w:val="24"/>
        </w:rPr>
        <w:t>poderes de império</w:t>
      </w:r>
      <w:r>
        <w:rPr>
          <w:rFonts w:ascii="Arial" w:hAnsi="Arial"/>
          <w:b w:val="0"/>
          <w:i w:val="0"/>
          <w:color w:val="111827"/>
          <w:sz w:val="24"/>
        </w:rPr>
        <w:t>). Em situações de conflito genuíno entre o interesse particular e o interesse coletivo, este último deve prevalecer:</w:t>
      </w:r>
    </w:p>
    <w:p>
      <w:pPr>
        <w:spacing w:line="276" w:lineRule="auto" w:before="20" w:after="40"/>
        <w:ind w:left="425"/>
      </w:pPr>
      <w:r>
        <w:rPr>
          <w:rFonts w:ascii="Arial" w:hAnsi="Arial"/>
          <w:b/>
          <w:color w:val="2B6CB0"/>
          <w:sz w:val="22"/>
        </w:rPr>
        <w:t xml:space="preserve">• </w:t>
      </w:r>
      <w:r>
        <w:rPr>
          <w:rFonts w:ascii="Arial" w:hAnsi="Arial"/>
          <w:b w:val="0"/>
          <w:i/>
          <w:color w:val="111827"/>
          <w:sz w:val="22"/>
        </w:rPr>
        <w:t>Manifestações Práticas:</w:t>
      </w:r>
      <w:r>
        <w:rPr>
          <w:rFonts w:ascii="Arial" w:hAnsi="Arial"/>
          <w:b w:val="0"/>
          <w:i w:val="0"/>
          <w:color w:val="111827"/>
          <w:sz w:val="22"/>
        </w:rPr>
        <w:t xml:space="preserve"> Presunção de legitimidade e veracidade dos atos administrativos; autoexecutoriedade das decisões do poder de polícia; cláusulas exorbitantes nos contratos administrativos (como rescisão unilateral e alteração unilateral do objeto); e intervenção do Estado na propriedade particular mediante desapropriação e requisição administrativa.</w:t>
      </w:r>
    </w:p>
    <w:p>
      <w:pPr>
        <w:keepNext/>
        <w:spacing w:before="200" w:after="80"/>
      </w:pPr>
      <w:r>
        <w:rPr>
          <w:rFonts w:ascii="Arial" w:hAnsi="Arial"/>
          <w:b/>
          <w:i w:val="0"/>
          <w:color w:val="2B6CB0"/>
          <w:sz w:val="24"/>
        </w:rPr>
        <w:t>2.2 Princípio da Indisponibilidade do Interesse Público</w:t>
      </w:r>
    </w:p>
    <w:p>
      <w:pPr>
        <w:spacing w:line="360" w:lineRule="auto" w:before="0" w:after="80"/>
        <w:jc w:val="both"/>
      </w:pPr>
      <w:r>
        <w:rPr>
          <w:rFonts w:ascii="Arial" w:hAnsi="Arial"/>
          <w:b w:val="0"/>
          <w:i w:val="0"/>
          <w:color w:val="111827"/>
          <w:sz w:val="24"/>
        </w:rPr>
        <w:t xml:space="preserve">Representa o contrapeso democrático às prerrogativas estatais, corporificando as </w:t>
      </w:r>
      <w:r>
        <w:rPr>
          <w:rFonts w:ascii="Arial" w:hAnsi="Arial"/>
          <w:b/>
          <w:i w:val="0"/>
          <w:color w:val="111827"/>
          <w:sz w:val="24"/>
        </w:rPr>
        <w:t>sujeições e limitações administrativas</w:t>
      </w:r>
      <w:r>
        <w:rPr>
          <w:rFonts w:ascii="Arial" w:hAnsi="Arial"/>
          <w:b w:val="0"/>
          <w:i w:val="0"/>
          <w:color w:val="111827"/>
          <w:sz w:val="24"/>
        </w:rPr>
        <w:t>. O administrador público não é o proprietário dos bens e interesses que gere; atua como mero curador e gestor fiduciário do patrimônio do povo.</w:t>
      </w:r>
    </w:p>
    <w:p>
      <w:pPr>
        <w:spacing w:line="276" w:lineRule="auto" w:before="20" w:after="40"/>
        <w:ind w:left="425"/>
      </w:pPr>
      <w:r>
        <w:rPr>
          <w:rFonts w:ascii="Arial" w:hAnsi="Arial"/>
          <w:b/>
          <w:color w:val="2B6CB0"/>
          <w:sz w:val="22"/>
        </w:rPr>
        <w:t xml:space="preserve">• </w:t>
      </w:r>
      <w:r>
        <w:rPr>
          <w:rFonts w:ascii="Arial" w:hAnsi="Arial"/>
          <w:b w:val="0"/>
          <w:i/>
          <w:color w:val="111827"/>
          <w:sz w:val="22"/>
        </w:rPr>
        <w:t>Manifestações Práticas:</w:t>
      </w:r>
      <w:r>
        <w:rPr>
          <w:rFonts w:ascii="Arial" w:hAnsi="Arial"/>
          <w:b w:val="0"/>
          <w:i w:val="0"/>
          <w:color w:val="111827"/>
          <w:sz w:val="22"/>
        </w:rPr>
        <w:t xml:space="preserve"> Submissão inafastável ao princípio da legalidade estrita; obrigatoriedade de realização de concurso público para provimento de cargos efetivos (art. 37, II, CF); dever inegociável de licitar para obras, compras e serviços (art. 37, XXI, CF); dever de prestar contas aos Tribunais de Contas; e impossibilidade de renúncia graciosa a receitas tributárias ou concessão arbitrária de privilégios a particulares.</w:t>
      </w:r>
    </w:p>
    <w:p>
      <w:pPr>
        <w:keepNext/>
        <w:spacing w:before="200" w:after="80"/>
      </w:pPr>
      <w:r>
        <w:rPr>
          <w:rFonts w:ascii="Arial" w:hAnsi="Arial"/>
          <w:b/>
          <w:i w:val="0"/>
          <w:color w:val="2B6CB0"/>
          <w:sz w:val="24"/>
        </w:rPr>
        <w:t>2.3 Interesse Público Primário vs. Secundário</w:t>
      </w:r>
    </w:p>
    <w:p>
      <w:pPr>
        <w:spacing w:line="360" w:lineRule="auto" w:before="0" w:after="80"/>
        <w:jc w:val="both"/>
      </w:pPr>
      <w:r>
        <w:rPr>
          <w:rFonts w:ascii="Arial" w:hAnsi="Arial"/>
          <w:b w:val="0"/>
          <w:i w:val="0"/>
          <w:color w:val="111827"/>
          <w:sz w:val="24"/>
        </w:rPr>
        <w:t>A jurisprudência do STF e do STJ acolhe expressamente a distinção doutrinária entre:</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Interesse Público Primário:</w:t>
      </w:r>
      <w:r>
        <w:rPr>
          <w:rFonts w:ascii="Arial" w:hAnsi="Arial"/>
          <w:b w:val="0"/>
          <w:i w:val="0"/>
          <w:color w:val="111827"/>
          <w:sz w:val="22"/>
        </w:rPr>
        <w:t xml:space="preserve"> É o interesse real da coletividade como um todo (justiça social, saúde pública, educação, segurança). É o único verdadeiramente supremo e indisponível.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Interesse Público Secundário:</w:t>
      </w:r>
      <w:r>
        <w:rPr>
          <w:rFonts w:ascii="Arial" w:hAnsi="Arial"/>
          <w:b w:val="0"/>
          <w:i w:val="0"/>
          <w:color w:val="111827"/>
          <w:sz w:val="22"/>
        </w:rPr>
        <w:t xml:space="preserve"> É o interesse patrimonial e fazendário do próprio aparelho estatal como pessoa jurídica (arrecadar mais tributos, evitar condenações judiciais pecuniárias, economizar recursos a qualquer custo). </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Alerta FCC:</w:t>
      </w:r>
      <w:r>
        <w:rPr>
          <w:rFonts w:ascii="Arial" w:hAnsi="Arial"/>
          <w:b w:val="0"/>
          <w:i w:val="0"/>
          <w:color w:val="111827"/>
          <w:sz w:val="20"/>
        </w:rPr>
        <w:t xml:space="preserve"> O interesse público secundário só é legítimo quando coincide plenamente com o interesse primário da sociedade. Caso o Estado viole direitos fundamentais de cidadãos apenas para auferir vantagem financeira aos cofres públicos, tal ato configura ilicitude e desvio de finalidade.</w:t>
      </w:r>
    </w:p>
    <w:p>
      <w:pPr>
        <w:spacing w:after="80"/>
      </w:pPr>
    </w:p>
    <w:p>
      <w:pPr>
        <w:keepNext/>
        <w:spacing w:before="280" w:after="120"/>
      </w:pPr>
      <w:r>
        <w:rPr>
          <w:rFonts w:ascii="Arial" w:hAnsi="Arial"/>
          <w:b/>
          <w:i w:val="0"/>
          <w:color w:val="2C5282"/>
          <w:sz w:val="28"/>
        </w:rPr>
        <w:t>3. Princípios Constitucionais Expressos (Art. 37, caput, CF/88 - LIMPE)</w:t>
      </w:r>
    </w:p>
    <w:p>
      <w:pPr>
        <w:spacing w:line="360" w:lineRule="auto" w:before="0" w:after="80"/>
        <w:jc w:val="both"/>
      </w:pPr>
      <w:r>
        <w:rPr>
          <w:rFonts w:ascii="Arial" w:hAnsi="Arial"/>
          <w:b w:val="0"/>
          <w:i w:val="0"/>
          <w:color w:val="111827"/>
          <w:sz w:val="24"/>
        </w:rPr>
        <w:t xml:space="preserve">O art. 37, </w:t>
      </w:r>
      <w:r>
        <w:rPr>
          <w:rFonts w:ascii="Arial" w:hAnsi="Arial"/>
          <w:b w:val="0"/>
          <w:i/>
          <w:color w:val="111827"/>
          <w:sz w:val="24"/>
        </w:rPr>
        <w:t>caput</w:t>
      </w:r>
      <w:r>
        <w:rPr>
          <w:rFonts w:ascii="Arial" w:hAnsi="Arial"/>
          <w:b w:val="0"/>
          <w:i w:val="0"/>
          <w:color w:val="111827"/>
          <w:sz w:val="24"/>
        </w:rPr>
        <w:t>, da Constituição Federal estabelece os cinco princípios expressos de observância obrigatória pela Administração Pública direta e indireta de qualquer dos Poderes da União, dos Estados, do Distrito Federal e dos Municípios:</w:t>
      </w:r>
    </w:p>
    <w:p>
      <w:pPr>
        <w:keepNext/>
        <w:spacing w:before="200" w:after="80"/>
      </w:pPr>
      <w:r>
        <w:rPr>
          <w:rFonts w:ascii="Arial" w:hAnsi="Arial"/>
          <w:b/>
          <w:i w:val="0"/>
          <w:color w:val="2B6CB0"/>
          <w:sz w:val="24"/>
        </w:rPr>
        <w:t>3.1 Princípio da Legalidade Estrita</w:t>
      </w:r>
    </w:p>
    <w:p>
      <w:pPr>
        <w:spacing w:line="360" w:lineRule="auto" w:before="0" w:after="80"/>
        <w:jc w:val="both"/>
      </w:pPr>
      <w:r>
        <w:rPr>
          <w:rFonts w:ascii="Arial" w:hAnsi="Arial"/>
          <w:b w:val="0"/>
          <w:i w:val="0"/>
          <w:color w:val="111827"/>
          <w:sz w:val="24"/>
        </w:rPr>
        <w:t xml:space="preserve">Enquanto o particular goza da </w:t>
      </w:r>
      <w:r>
        <w:rPr>
          <w:rFonts w:ascii="Arial" w:hAnsi="Arial"/>
          <w:b/>
          <w:i w:val="0"/>
          <w:color w:val="111827"/>
          <w:sz w:val="24"/>
        </w:rPr>
        <w:t>autonomia da vontade</w:t>
      </w:r>
      <w:r>
        <w:rPr>
          <w:rFonts w:ascii="Arial" w:hAnsi="Arial"/>
          <w:b w:val="0"/>
          <w:i w:val="0"/>
          <w:color w:val="111827"/>
          <w:sz w:val="24"/>
        </w:rPr>
        <w:t xml:space="preserve"> e da legalidade ampla, podendo fazer tudo o que a lei não proíba (art. 5º, II, CF/88), o administrador público rege-se pela </w:t>
      </w:r>
      <w:r>
        <w:rPr>
          <w:rFonts w:ascii="Arial" w:hAnsi="Arial"/>
          <w:b/>
          <w:i w:val="0"/>
          <w:color w:val="111827"/>
          <w:sz w:val="24"/>
        </w:rPr>
        <w:t>legalidade estrita</w:t>
      </w:r>
      <w:r>
        <w:rPr>
          <w:rFonts w:ascii="Arial" w:hAnsi="Arial"/>
          <w:b w:val="0"/>
          <w:i w:val="0"/>
          <w:color w:val="111827"/>
          <w:sz w:val="24"/>
        </w:rPr>
        <w:t>: só pode agir e praticar atos quando houver prévia e expressa autorização ou determinação em lei (</w:t>
      </w:r>
      <w:r>
        <w:rPr>
          <w:rFonts w:ascii="Arial" w:hAnsi="Arial"/>
          <w:b w:val="0"/>
          <w:i/>
          <w:color w:val="111827"/>
          <w:sz w:val="24"/>
        </w:rPr>
        <w:t>subordinação estrita à lei</w:t>
      </w:r>
      <w:r>
        <w:rPr>
          <w:rFonts w:ascii="Arial" w:hAnsi="Arial"/>
          <w:b w:val="0"/>
          <w:i w:val="0"/>
          <w:color w:val="111827"/>
          <w:sz w:val="24"/>
        </w:rPr>
        <w:t>). O ato administrativo sem amparo legal é nulo de pleno direito.</w:t>
      </w:r>
    </w:p>
    <w:p>
      <w:pPr>
        <w:keepNext/>
        <w:spacing w:before="200" w:after="80"/>
      </w:pPr>
      <w:r>
        <w:rPr>
          <w:rFonts w:ascii="Arial" w:hAnsi="Arial"/>
          <w:b/>
          <w:i w:val="0"/>
          <w:color w:val="2B6CB0"/>
          <w:sz w:val="24"/>
        </w:rPr>
        <w:t>3.2 Princípio da Impessoalidade e a Vedação à Promoção Pessoal</w:t>
      </w:r>
    </w:p>
    <w:p>
      <w:pPr>
        <w:spacing w:line="360" w:lineRule="auto" w:before="0" w:after="80"/>
        <w:jc w:val="both"/>
      </w:pPr>
      <w:r>
        <w:rPr>
          <w:rFonts w:ascii="Arial" w:hAnsi="Arial"/>
          <w:b w:val="0"/>
          <w:i w:val="0"/>
          <w:color w:val="111827"/>
          <w:sz w:val="24"/>
        </w:rPr>
        <w:t>O princípio da impessoalidade possui triplo desdobramento no âmbito dos concursos: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Finalidade Pública:</w:t>
      </w:r>
      <w:r>
        <w:rPr>
          <w:rFonts w:ascii="Arial" w:hAnsi="Arial"/>
          <w:b w:val="0"/>
          <w:i w:val="0"/>
          <w:color w:val="111827"/>
          <w:sz w:val="22"/>
        </w:rPr>
        <w:t xml:space="preserve"> Todo ato administrativo deve visar ao atendimento do interesse público genérico e à finalidade específica prevista na lei para a respectiva competência. A busca de vingança pessoal ou favorecimento a correligionários gera nulidade por </w:t>
      </w:r>
      <w:r>
        <w:rPr>
          <w:rFonts w:ascii="Arial" w:hAnsi="Arial"/>
          <w:b w:val="0"/>
          <w:i/>
          <w:color w:val="111827"/>
          <w:sz w:val="22"/>
        </w:rPr>
        <w:t>desvio de finalidade</w:t>
      </w:r>
      <w:r>
        <w:rPr>
          <w:rFonts w:ascii="Arial" w:hAnsi="Arial"/>
          <w:b w:val="0"/>
          <w:i w:val="0"/>
          <w:color w:val="111827"/>
          <w:sz w:val="22"/>
        </w:rPr>
        <w:t xml:space="preserve"> (ou desvio de poder).</w:t>
      </w:r>
    </w:p>
    <w:p>
      <w:pPr>
        <w:spacing w:line="276" w:lineRule="auto" w:before="20" w:after="40"/>
        <w:ind w:left="425"/>
      </w:pPr>
      <w:r>
        <w:rPr>
          <w:rFonts w:ascii="Arial" w:hAnsi="Arial"/>
          <w:b/>
          <w:color w:val="1B365D"/>
          <w:sz w:val="22"/>
        </w:rPr>
        <w:t xml:space="preserve">2. </w:t>
      </w:r>
      <w:r>
        <w:rPr>
          <w:rFonts w:ascii="Arial" w:hAnsi="Arial"/>
          <w:b/>
          <w:i w:val="0"/>
          <w:color w:val="111827"/>
          <w:sz w:val="22"/>
        </w:rPr>
        <w:t>Isonomia e Tratamento Neutro:</w:t>
      </w:r>
      <w:r>
        <w:rPr>
          <w:rFonts w:ascii="Arial" w:hAnsi="Arial"/>
          <w:b w:val="0"/>
          <w:i w:val="0"/>
          <w:color w:val="111827"/>
          <w:sz w:val="22"/>
        </w:rPr>
        <w:t xml:space="preserve"> Proibição de concessão de privilégios ou perseguições arbitrárias. É a base axiológica do concurso público e da licitação.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Vedação à Promoção Pessoal (Art. 37, § 1º, CF/88):</w:t>
      </w:r>
      <w:r>
        <w:rPr>
          <w:rFonts w:ascii="Arial" w:hAnsi="Arial"/>
          <w:b w:val="0"/>
          <w:i w:val="0"/>
          <w:color w:val="111827"/>
          <w:sz w:val="22"/>
        </w:rPr>
        <w:t xml:space="preserve"> A publicidade dos atos, programas, obras, serviços e campanhas dos órgãos públicos deve possuir caráter estritamente educativo, informativo ou de orientação social, </w:t>
      </w:r>
      <w:r>
        <w:rPr>
          <w:rFonts w:ascii="Arial" w:hAnsi="Arial"/>
          <w:b/>
          <w:i w:val="0"/>
          <w:color w:val="111827"/>
          <w:sz w:val="22"/>
        </w:rPr>
        <w:t>dela não podendo constar nomes, símbolos, slogans ou imagens que caracterizem promoção pessoal de autoridades ou servidores públicos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Teoria do Órgão (Imputação Volitiva):</w:t>
      </w:r>
      <w:r>
        <w:rPr>
          <w:rFonts w:ascii="Arial" w:hAnsi="Arial"/>
          <w:b w:val="0"/>
          <w:i w:val="0"/>
          <w:color w:val="111827"/>
          <w:sz w:val="22"/>
        </w:rPr>
        <w:t xml:space="preserve"> Os atos praticados pelos agentes públicos são juridicamente imputados ao órgão ou pessoa jurídica estatal a que pertencem, e não à pessoa física do agente. Logo, quem realiza a obra é a "Secretaria de Saúde do Estado de Goiás", e não o "Secretário Fulano".</w:t>
      </w:r>
    </w:p>
    <w:p>
      <w:pPr>
        <w:keepNext/>
        <w:spacing w:before="200" w:after="80"/>
      </w:pPr>
      <w:r>
        <w:rPr>
          <w:rFonts w:ascii="Arial" w:hAnsi="Arial"/>
          <w:b/>
          <w:i w:val="0"/>
          <w:color w:val="2B6CB0"/>
          <w:sz w:val="24"/>
        </w:rPr>
        <w:t>3.3 Princípio da Moralidade e a Súmula Vinculante nº 13 (Antinepotismo)</w:t>
      </w:r>
    </w:p>
    <w:p>
      <w:pPr>
        <w:spacing w:line="360" w:lineRule="auto" w:before="0" w:after="80"/>
        <w:jc w:val="both"/>
      </w:pPr>
      <w:r>
        <w:rPr>
          <w:rFonts w:ascii="Arial" w:hAnsi="Arial"/>
          <w:b w:val="0"/>
          <w:i w:val="0"/>
          <w:color w:val="111827"/>
          <w:sz w:val="24"/>
        </w:rPr>
        <w:t>Exige conduta pautada pela boa-fé objetiva, honestidade, lealdade, decência e probidade. O ato administrativo pode atender rigorosamente à literalidade da lei, mas ser manifestamente nulo se contaminado por torpeza, favorecimento antiético ou imoralidade administrativa.</w:t>
      </w:r>
    </w:p>
    <w:p>
      <w:pPr>
        <w:keepNext/>
        <w:spacing w:before="120" w:after="40"/>
      </w:pPr>
      <w:r>
        <w:rPr>
          <w:rFonts w:ascii="Arial" w:hAnsi="Arial"/>
          <w:b/>
          <w:i/>
          <w:color w:val="334155"/>
          <w:sz w:val="22"/>
        </w:rPr>
        <w:t>A Súmula Vinculante nº 13 do Supremo Tribunal Federal:</w:t>
      </w:r>
    </w:p>
    <w:p>
      <w:pPr>
        <w:spacing w:line="360" w:lineRule="auto" w:before="0" w:after="80"/>
        <w:jc w:val="both"/>
      </w:pPr>
      <w:r>
        <w:rPr>
          <w:rFonts w:ascii="Arial" w:hAnsi="Arial"/>
          <w:b w:val="0"/>
          <w:i w:val="0"/>
          <w:color w:val="111827"/>
          <w:sz w:val="24"/>
        </w:rPr>
        <w:t xml:space="preserve">A moralidade e a impessoalidade fundamentam o teor da </w:t>
      </w:r>
      <w:r>
        <w:rPr>
          <w:rFonts w:ascii="Arial" w:hAnsi="Arial"/>
          <w:b/>
          <w:i w:val="0"/>
          <w:color w:val="111827"/>
          <w:sz w:val="24"/>
        </w:rPr>
        <w:t>Súmula Vinculante nº 13</w:t>
      </w:r>
      <w:r>
        <w:rPr>
          <w:rFonts w:ascii="Arial" w:hAnsi="Arial"/>
          <w:b w:val="0"/>
          <w:i w:val="0"/>
          <w:color w:val="111827"/>
          <w:sz w:val="24"/>
        </w:rPr>
        <w:t>, que proíbe o nepotismo no serviço público brasileiro:</w:t>
      </w:r>
    </w:p>
    <w:p>
      <w:pPr>
        <w:spacing w:line="240" w:lineRule="auto" w:before="40" w:after="40"/>
        <w:ind w:left="2268"/>
      </w:pPr>
      <w:r>
        <w:rPr>
          <w:rFonts w:ascii="Arial" w:hAnsi="Arial"/>
          <w:b w:val="0"/>
          <w:i/>
          <w:color w:val="111827"/>
          <w:sz w:val="20"/>
        </w:rPr>
        <w:t>"A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(nepotismo cruzado), viola a Constituição Federal."</w:t>
      </w:r>
    </w:p>
    <w:p>
      <w:pPr>
        <w:spacing w:after="80"/>
      </w:pPr>
    </w:p>
    <w:p>
      <w:pPr>
        <w:spacing w:line="276" w:lineRule="auto" w:before="20" w:after="40"/>
        <w:ind w:left="425"/>
      </w:pPr>
      <w:r>
        <w:rPr>
          <w:rFonts w:ascii="Arial" w:hAnsi="Arial"/>
          <w:b/>
          <w:color w:val="2B6CB0"/>
          <w:sz w:val="22"/>
        </w:rPr>
        <w:t xml:space="preserve">• </w:t>
      </w:r>
      <w:r>
        <w:rPr>
          <w:rFonts w:ascii="Arial" w:hAnsi="Arial"/>
          <w:b/>
          <w:i w:val="0"/>
          <w:color w:val="111827"/>
          <w:sz w:val="22"/>
        </w:rPr>
        <w:t>Graus de Parentesco Atingidos: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1º Grau:</w:t>
      </w:r>
      <w:r>
        <w:rPr>
          <w:rFonts w:ascii="Arial" w:hAnsi="Arial"/>
          <w:b w:val="0"/>
          <w:i w:val="0"/>
          <w:color w:val="111827"/>
          <w:sz w:val="22"/>
        </w:rPr>
        <w:t xml:space="preserve"> Pais, mães, filhos, filhas (consanguíneos); sogro, sogra, genro, nora (afins).</w:t>
      </w:r>
    </w:p>
    <w:p>
      <w:pPr>
        <w:spacing w:line="276" w:lineRule="auto" w:before="20" w:after="40"/>
        <w:ind w:left="992"/>
      </w:pPr>
      <w:r>
        <w:rPr>
          <w:rFonts w:ascii="Arial" w:hAnsi="Arial"/>
          <w:b/>
          <w:color w:val="2B6CB0"/>
          <w:sz w:val="22"/>
        </w:rPr>
        <w:t xml:space="preserve">• </w:t>
      </w:r>
      <w:r>
        <w:rPr>
          <w:rFonts w:ascii="Arial" w:hAnsi="Arial"/>
          <w:b w:val="0"/>
          <w:i/>
          <w:color w:val="111827"/>
          <w:sz w:val="22"/>
        </w:rPr>
        <w:t>2º Grau:</w:t>
      </w:r>
      <w:r>
        <w:rPr>
          <w:rFonts w:ascii="Arial" w:hAnsi="Arial"/>
          <w:b w:val="0"/>
          <w:i w:val="0"/>
          <w:color w:val="111827"/>
          <w:sz w:val="22"/>
        </w:rPr>
        <w:t xml:space="preserve"> Avós, netos, </w:t>
      </w:r>
      <w:r>
        <w:rPr>
          <w:rFonts w:ascii="Arial" w:hAnsi="Arial"/>
          <w:b/>
          <w:i w:val="0"/>
          <w:color w:val="111827"/>
          <w:sz w:val="22"/>
        </w:rPr>
        <w:t>irmãos</w:t>
      </w:r>
      <w:r>
        <w:rPr>
          <w:rFonts w:ascii="Arial" w:hAnsi="Arial"/>
          <w:b w:val="0"/>
          <w:i w:val="0"/>
          <w:color w:val="111827"/>
          <w:sz w:val="22"/>
        </w:rPr>
        <w:t xml:space="preserve"> (consanguíneos); cunhados (afins).</w:t>
      </w:r>
    </w:p>
    <w:p>
      <w:pPr>
        <w:spacing w:line="276" w:lineRule="auto" w:before="20" w:after="40"/>
        <w:ind w:left="992"/>
      </w:pPr>
      <w:r>
        <w:rPr>
          <w:rFonts w:ascii="Arial" w:hAnsi="Arial"/>
          <w:b/>
          <w:color w:val="2B6CB0"/>
          <w:sz w:val="22"/>
        </w:rPr>
        <w:t xml:space="preserve">• </w:t>
      </w:r>
      <w:r>
        <w:rPr>
          <w:rFonts w:ascii="Arial" w:hAnsi="Arial"/>
          <w:b w:val="0"/>
          <w:i/>
          <w:color w:val="111827"/>
          <w:sz w:val="22"/>
        </w:rPr>
        <w:t>3º Grau:</w:t>
      </w:r>
      <w:r>
        <w:rPr>
          <w:rFonts w:ascii="Arial" w:hAnsi="Arial"/>
          <w:b w:val="0"/>
          <w:i w:val="0"/>
          <w:color w:val="111827"/>
          <w:sz w:val="22"/>
        </w:rPr>
        <w:t xml:space="preserve"> Tios, sobrinhos (consanguíneos).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Ressalva Jurisprudencial Consolidada (Cargos Políticos):</w:t>
      </w:r>
      <w:r>
        <w:rPr>
          <w:rFonts w:ascii="Arial" w:hAnsi="Arial"/>
          <w:b w:val="0"/>
          <w:i w:val="0"/>
          <w:color w:val="111827"/>
          <w:sz w:val="22"/>
        </w:rPr>
        <w:t xml:space="preserve"> O STF firmou tese de que a SV nº 13 </w:t>
      </w:r>
      <w:r>
        <w:rPr>
          <w:rFonts w:ascii="Arial" w:hAnsi="Arial"/>
          <w:b/>
          <w:i w:val="0"/>
          <w:color w:val="111827"/>
          <w:sz w:val="22"/>
        </w:rPr>
        <w:t>não incide de forma automática e absoluta sobre cargos de natureza política</w:t>
      </w:r>
      <w:r>
        <w:rPr>
          <w:rFonts w:ascii="Arial" w:hAnsi="Arial"/>
          <w:b w:val="0"/>
          <w:i w:val="0"/>
          <w:color w:val="111827"/>
          <w:sz w:val="22"/>
        </w:rPr>
        <w:t xml:space="preserve"> (ex.: Ministros de Estado, Secretários Estaduais e Secretários Municipais). Contudo, a nomeação de parente para cargo político será considerada inválida pelo Judiciário/Tribunal de Contas se comprovada a manifesta ausência de qualificação técnica para a função ou caracterizado patente desvio de finalidade (fraude à lei).</w:t>
      </w:r>
    </w:p>
    <w:p>
      <w:pPr>
        <w:keepNext/>
        <w:spacing w:before="200" w:after="80"/>
      </w:pPr>
      <w:r>
        <w:rPr>
          <w:rFonts w:ascii="Arial" w:hAnsi="Arial"/>
          <w:b/>
          <w:i w:val="0"/>
          <w:color w:val="2B6CB0"/>
          <w:sz w:val="24"/>
        </w:rPr>
        <w:t>3.4 Princípio da Publicidade e suas Exceções Constitucionais</w:t>
      </w:r>
    </w:p>
    <w:p>
      <w:pPr>
        <w:spacing w:line="360" w:lineRule="auto" w:before="0" w:after="80"/>
        <w:jc w:val="both"/>
      </w:pPr>
      <w:r>
        <w:rPr>
          <w:rFonts w:ascii="Arial" w:hAnsi="Arial"/>
          <w:b w:val="0"/>
          <w:i w:val="0"/>
          <w:color w:val="111827"/>
          <w:sz w:val="24"/>
        </w:rPr>
        <w:t>A publicidade exige que a atuação estatal seja transparente, acessível e cognoscível aos cidadãos e órgãos de controle externo.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publicação oficial é </w:t>
      </w:r>
      <w:r>
        <w:rPr>
          <w:rFonts w:ascii="Arial" w:hAnsi="Arial"/>
          <w:b/>
          <w:i w:val="0"/>
          <w:color w:val="111827"/>
          <w:sz w:val="22"/>
        </w:rPr>
        <w:t>requisito de eficácia</w:t>
      </w:r>
      <w:r>
        <w:rPr>
          <w:rFonts w:ascii="Arial" w:hAnsi="Arial"/>
          <w:b w:val="0"/>
          <w:i w:val="0"/>
          <w:color w:val="111827"/>
          <w:sz w:val="22"/>
        </w:rPr>
        <w:t xml:space="preserve"> (aptidão para produzir efeitos jurídicos) e de </w:t>
      </w:r>
      <w:r>
        <w:rPr>
          <w:rFonts w:ascii="Arial" w:hAnsi="Arial"/>
          <w:b/>
          <w:i w:val="0"/>
          <w:color w:val="111827"/>
          <w:sz w:val="22"/>
        </w:rPr>
        <w:t>exigibilidade</w:t>
      </w:r>
      <w:r>
        <w:rPr>
          <w:rFonts w:ascii="Arial" w:hAnsi="Arial"/>
          <w:b w:val="0"/>
          <w:i w:val="0"/>
          <w:color w:val="111827"/>
          <w:sz w:val="22"/>
        </w:rPr>
        <w:t xml:space="preserve"> dos atos administrativos que criam obrigações para terceiros ou geram despesas públicas; não é requisito de validade intrínseca do ato.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Exceções Constitucionais Estritas:</w:t>
      </w:r>
      <w:r>
        <w:rPr>
          <w:rFonts w:ascii="Arial" w:hAnsi="Arial"/>
          <w:b w:val="0"/>
          <w:i w:val="0"/>
          <w:color w:val="111827"/>
          <w:sz w:val="22"/>
        </w:rPr>
        <w:t xml:space="preserve"> A própria CF/88 ressalva o sigilo apenas nas hipóteses de </w:t>
      </w:r>
      <w:r>
        <w:rPr>
          <w:rFonts w:ascii="Arial" w:hAnsi="Arial"/>
          <w:b/>
          <w:i w:val="0"/>
          <w:color w:val="111827"/>
          <w:sz w:val="22"/>
        </w:rPr>
        <w:t>segurança do Estado e da sociedade</w:t>
      </w:r>
      <w:r>
        <w:rPr>
          <w:rFonts w:ascii="Arial" w:hAnsi="Arial"/>
          <w:b w:val="0"/>
          <w:i w:val="0"/>
          <w:color w:val="111827"/>
          <w:sz w:val="22"/>
        </w:rPr>
        <w:t xml:space="preserve"> e de proteção inafastável à </w:t>
      </w:r>
      <w:r>
        <w:rPr>
          <w:rFonts w:ascii="Arial" w:hAnsi="Arial"/>
          <w:b/>
          <w:i w:val="0"/>
          <w:color w:val="111827"/>
          <w:sz w:val="22"/>
        </w:rPr>
        <w:t>intimidade, honra e vida privada</w:t>
      </w:r>
      <w:r>
        <w:rPr>
          <w:rFonts w:ascii="Arial" w:hAnsi="Arial"/>
          <w:b w:val="0"/>
          <w:i w:val="0"/>
          <w:color w:val="111827"/>
          <w:sz w:val="22"/>
        </w:rPr>
        <w:t xml:space="preserve"> das pessoas (art. 5º, incisos X, XXXIII e LX).</w:t>
      </w:r>
    </w:p>
    <w:p>
      <w:pPr>
        <w:keepNext/>
        <w:spacing w:before="200" w:after="80"/>
      </w:pPr>
      <w:r>
        <w:rPr>
          <w:rFonts w:ascii="Arial" w:hAnsi="Arial"/>
          <w:b/>
          <w:i w:val="0"/>
          <w:color w:val="2B6CB0"/>
          <w:sz w:val="24"/>
        </w:rPr>
        <w:t>3.5 Princípio da Eficiência (Emenda Constitucional nº 19/1998)</w:t>
      </w:r>
    </w:p>
    <w:p>
      <w:pPr>
        <w:spacing w:line="360" w:lineRule="auto" w:before="0" w:after="80"/>
        <w:jc w:val="both"/>
      </w:pPr>
      <w:r>
        <w:rPr>
          <w:rFonts w:ascii="Arial" w:hAnsi="Arial"/>
          <w:b w:val="0"/>
          <w:i w:val="0"/>
          <w:color w:val="111827"/>
          <w:sz w:val="24"/>
        </w:rPr>
        <w:t>Inserido formalmente no rol do art. 37 pela Reforma Administrativa (EC nº 19/1998), impõe à Administração o dever de obter o melhor rendimento funcional, presteza, perfeição técnica, celeridade na tramitação e economicidade, maximizando os resultados com o menor dispêndio possível de recursos públicos.</w:t>
      </w:r>
    </w:p>
    <w:p>
      <w:pPr>
        <w:spacing w:line="276" w:lineRule="auto" w:before="20" w:after="40"/>
        <w:ind w:left="425"/>
      </w:pPr>
      <w:r>
        <w:rPr>
          <w:rFonts w:ascii="Arial" w:hAnsi="Arial"/>
          <w:b/>
          <w:color w:val="2B6CB0"/>
          <w:sz w:val="22"/>
        </w:rPr>
        <w:t xml:space="preserve">• </w:t>
      </w:r>
      <w:r>
        <w:rPr>
          <w:rFonts w:ascii="Arial" w:hAnsi="Arial"/>
          <w:b w:val="0"/>
          <w:i/>
          <w:color w:val="111827"/>
          <w:sz w:val="22"/>
        </w:rPr>
        <w:t>Desdobramentos Constitucionais Práticos:</w:t>
      </w:r>
      <w:r>
        <w:rPr>
          <w:rFonts w:ascii="Arial" w:hAnsi="Arial"/>
          <w:b w:val="0"/>
          <w:i w:val="0"/>
          <w:color w:val="111827"/>
          <w:sz w:val="22"/>
        </w:rPr>
        <w:t xml:space="preserve"> Avaliação especial de desempenho para aquisição da estabilidade do servidor (art. 41, § 4º, CF); perda do cargo público por avaliação periódica de desempenho (art. 41, § 1º, III, CF); e fixação de metas de desempenho institucional mediante contratos de gestão (art. 37, § 8º, CF).</w:t>
      </w:r>
    </w:p>
    <w:p>
      <w:pPr>
        <w:keepNext/>
        <w:spacing w:before="280" w:after="120"/>
      </w:pPr>
      <w:r>
        <w:rPr>
          <w:rFonts w:ascii="Arial" w:hAnsi="Arial"/>
          <w:b/>
          <w:i w:val="0"/>
          <w:color w:val="2C5282"/>
          <w:sz w:val="28"/>
        </w:rPr>
        <w:t>4. Princípios Administrativos Implícitos e Regime Sumular</w:t>
      </w:r>
    </w:p>
    <w:p>
      <w:pPr>
        <w:spacing w:line="360" w:lineRule="auto" w:before="0" w:after="80"/>
        <w:jc w:val="both"/>
      </w:pPr>
      <w:r>
        <w:rPr>
          <w:rFonts w:ascii="Arial" w:hAnsi="Arial"/>
          <w:b w:val="0"/>
          <w:i w:val="0"/>
          <w:color w:val="111827"/>
          <w:sz w:val="24"/>
        </w:rPr>
        <w:t>Além dos cinco princípios expressos no art. 37 da CF, o ordenamento constitucional e a legislação infraconstitucional (como a Lei do Processo Administrativo Federal nº 9.784/1999 e a Lei Estadual de Goiás nº 13.800/2001) consagram princípios implícitos de aplicação cogente:</w:t>
      </w:r>
    </w:p>
    <w:p>
      <w:pPr>
        <w:keepNext/>
        <w:spacing w:before="200" w:after="80"/>
      </w:pPr>
      <w:r>
        <w:rPr>
          <w:rFonts w:ascii="Arial" w:hAnsi="Arial"/>
          <w:b/>
          <w:i w:val="0"/>
          <w:color w:val="2B6CB0"/>
          <w:sz w:val="24"/>
        </w:rPr>
        <w:t>4.1 Razoabilidade e Proporcionalidade</w:t>
      </w:r>
    </w:p>
    <w:p>
      <w:pPr>
        <w:spacing w:line="360" w:lineRule="auto" w:before="0" w:after="80"/>
        <w:jc w:val="both"/>
      </w:pPr>
      <w:r>
        <w:rPr>
          <w:rFonts w:ascii="Arial" w:hAnsi="Arial"/>
          <w:b w:val="0"/>
          <w:i w:val="0"/>
          <w:color w:val="111827"/>
          <w:sz w:val="24"/>
        </w:rPr>
        <w:t>Exigem equilíbrio, bom senso, coerência e adequação entre os meios empregados pelo Estado e os fins pretendidos pela lei, vedando restrições desmedidas ou sacrifícios inúteis impostos aos administrados.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Tripé da Proporcionalidade:</w:t>
      </w:r>
    </w:p>
    <w:p>
      <w:pPr>
        <w:spacing w:line="276" w:lineRule="auto" w:before="20" w:after="40"/>
        <w:ind w:left="992"/>
      </w:pPr>
      <w:r>
        <w:rPr>
          <w:rFonts w:ascii="Arial" w:hAnsi="Arial"/>
          <w:b/>
          <w:color w:val="1B365D"/>
          <w:sz w:val="22"/>
        </w:rPr>
        <w:t xml:space="preserve">1. </w:t>
      </w:r>
      <w:r>
        <w:rPr>
          <w:rFonts w:ascii="Arial" w:hAnsi="Arial"/>
          <w:b w:val="0"/>
          <w:i/>
          <w:color w:val="111827"/>
          <w:sz w:val="22"/>
        </w:rPr>
        <w:t>Adequação:</w:t>
      </w:r>
      <w:r>
        <w:rPr>
          <w:rFonts w:ascii="Arial" w:hAnsi="Arial"/>
          <w:b w:val="0"/>
          <w:i w:val="0"/>
          <w:color w:val="111827"/>
          <w:sz w:val="22"/>
        </w:rPr>
        <w:t xml:space="preserve"> O meio escolhido deve ser apto a alcançar o objetivo público.</w:t>
      </w:r>
    </w:p>
    <w:p>
      <w:pPr>
        <w:spacing w:line="276" w:lineRule="auto" w:before="20" w:after="40"/>
        <w:ind w:left="992"/>
      </w:pPr>
      <w:r>
        <w:rPr>
          <w:rFonts w:ascii="Arial" w:hAnsi="Arial"/>
          <w:b/>
          <w:color w:val="1B365D"/>
          <w:sz w:val="22"/>
        </w:rPr>
        <w:t xml:space="preserve">2. </w:t>
      </w:r>
      <w:r>
        <w:rPr>
          <w:rFonts w:ascii="Arial" w:hAnsi="Arial"/>
          <w:b w:val="0"/>
          <w:i/>
          <w:color w:val="111827"/>
          <w:sz w:val="22"/>
        </w:rPr>
        <w:t>Necessidade (Exigibilidade):</w:t>
      </w:r>
      <w:r>
        <w:rPr>
          <w:rFonts w:ascii="Arial" w:hAnsi="Arial"/>
          <w:b w:val="0"/>
          <w:i w:val="0"/>
          <w:color w:val="111827"/>
          <w:sz w:val="22"/>
        </w:rPr>
        <w:t xml:space="preserve"> Entre os meios aptos, deve-se eleger o que cause menor gravame ao cidadão (</w:t>
      </w:r>
      <w:r>
        <w:rPr>
          <w:rFonts w:ascii="Arial" w:hAnsi="Arial"/>
          <w:b w:val="0"/>
          <w:i/>
          <w:color w:val="111827"/>
          <w:sz w:val="22"/>
        </w:rPr>
        <w:t>vedação de excesso</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3. </w:t>
      </w:r>
      <w:r>
        <w:rPr>
          <w:rFonts w:ascii="Arial" w:hAnsi="Arial"/>
          <w:b w:val="0"/>
          <w:i/>
          <w:color w:val="111827"/>
          <w:sz w:val="22"/>
        </w:rPr>
        <w:t>Proporcionalidade em Sentido Estrito:</w:t>
      </w:r>
      <w:r>
        <w:rPr>
          <w:rFonts w:ascii="Arial" w:hAnsi="Arial"/>
          <w:b w:val="0"/>
          <w:i w:val="0"/>
          <w:color w:val="111827"/>
          <w:sz w:val="22"/>
        </w:rPr>
        <w:t xml:space="preserve"> Os benefícios auferidos pela medida devem superar os ônus decorrentes da intervenção estatal.</w:t>
      </w:r>
    </w:p>
    <w:p>
      <w:pPr>
        <w:keepNext/>
        <w:spacing w:before="200" w:after="80"/>
      </w:pPr>
      <w:r>
        <w:rPr>
          <w:rFonts w:ascii="Arial" w:hAnsi="Arial"/>
          <w:b/>
          <w:i w:val="0"/>
          <w:color w:val="2B6CB0"/>
          <w:sz w:val="24"/>
        </w:rPr>
        <w:t>4.2 Segurança Jurídica e Proteção à Confiança Legítima</w:t>
      </w:r>
    </w:p>
    <w:p>
      <w:pPr>
        <w:spacing w:line="360" w:lineRule="auto" w:before="0" w:after="80"/>
        <w:jc w:val="both"/>
      </w:pPr>
      <w:r>
        <w:rPr>
          <w:rFonts w:ascii="Arial" w:hAnsi="Arial"/>
          <w:b w:val="0"/>
          <w:i w:val="0"/>
          <w:color w:val="111827"/>
          <w:sz w:val="24"/>
        </w:rPr>
        <w:t>Visa garantir a estabilidade das relações jurídicas constituídas e proteger a confiança dos administrados perante as condutas e orientações da Administração.</w:t>
      </w:r>
    </w:p>
    <w:p>
      <w:pPr>
        <w:spacing w:line="276" w:lineRule="auto" w:before="20" w:after="40"/>
        <w:ind w:left="425"/>
      </w:pPr>
      <w:r>
        <w:rPr>
          <w:rFonts w:ascii="Arial" w:hAnsi="Arial"/>
          <w:b/>
          <w:color w:val="2B6CB0"/>
          <w:sz w:val="22"/>
        </w:rPr>
        <w:t xml:space="preserve">• </w:t>
      </w:r>
      <w:r>
        <w:rPr>
          <w:rFonts w:ascii="Arial" w:hAnsi="Arial"/>
          <w:b w:val="0"/>
          <w:i/>
          <w:color w:val="111827"/>
          <w:sz w:val="22"/>
        </w:rPr>
        <w:t>Vedação à Aplicação Retroativa:</w:t>
      </w:r>
      <w:r>
        <w:rPr>
          <w:rFonts w:ascii="Arial" w:hAnsi="Arial"/>
          <w:b w:val="0"/>
          <w:i w:val="0"/>
          <w:color w:val="111827"/>
          <w:sz w:val="22"/>
        </w:rPr>
        <w:t xml:space="preserve"> O art. 2º, parágrafo único, inciso XIII, da Lei nº 9.784/1999 veda peremptoriamente a aplicação retroativa de nova interpretação jurídica para alcançar atos pretéritos já consolidados sob a orientação anterior.</w:t>
      </w:r>
    </w:p>
    <w:p>
      <w:pPr>
        <w:spacing w:line="276" w:lineRule="auto" w:before="20" w:after="40"/>
        <w:ind w:left="425"/>
      </w:pPr>
      <w:r>
        <w:rPr>
          <w:rFonts w:ascii="Arial" w:hAnsi="Arial"/>
          <w:b/>
          <w:color w:val="2B6CB0"/>
          <w:sz w:val="22"/>
        </w:rPr>
        <w:t xml:space="preserve">• </w:t>
      </w:r>
      <w:r>
        <w:rPr>
          <w:rFonts w:ascii="Arial" w:hAnsi="Arial"/>
          <w:b w:val="0"/>
          <w:i/>
          <w:color w:val="111827"/>
          <w:sz w:val="22"/>
        </w:rPr>
        <w:t>Prazo Decadencial da Autotutela:</w:t>
      </w:r>
      <w:r>
        <w:rPr>
          <w:rFonts w:ascii="Arial" w:hAnsi="Arial"/>
          <w:b w:val="0"/>
          <w:i w:val="0"/>
          <w:color w:val="111827"/>
          <w:sz w:val="22"/>
        </w:rPr>
        <w:t xml:space="preserve"> Fixação do prazo decadencial de </w:t>
      </w:r>
      <w:r>
        <w:rPr>
          <w:rFonts w:ascii="Arial" w:hAnsi="Arial"/>
          <w:b/>
          <w:i w:val="0"/>
          <w:color w:val="111827"/>
          <w:sz w:val="22"/>
        </w:rPr>
        <w:t>5 anos</w:t>
      </w:r>
      <w:r>
        <w:rPr>
          <w:rFonts w:ascii="Arial" w:hAnsi="Arial"/>
          <w:b w:val="0"/>
          <w:i w:val="0"/>
          <w:color w:val="111827"/>
          <w:sz w:val="22"/>
        </w:rPr>
        <w:t xml:space="preserve"> para que a Administração anule atos administrativos favoráveis aos administrados praticados de boa-fé (art. 54 da Lei 9.784/99 e art. 54 da Lei Estadual/GO 13.800/2001).</w:t>
      </w:r>
    </w:p>
    <w:p>
      <w:pPr>
        <w:keepNext/>
        <w:spacing w:before="200" w:after="80"/>
      </w:pPr>
      <w:r>
        <w:rPr>
          <w:rFonts w:ascii="Arial" w:hAnsi="Arial"/>
          <w:b/>
          <w:i w:val="0"/>
          <w:color w:val="2B6CB0"/>
          <w:sz w:val="24"/>
        </w:rPr>
        <w:t>4.3 Princípio da Autotutela (Súmulas 346 e 473 do STF): Anulação vs. Revogação</w:t>
      </w:r>
    </w:p>
    <w:p>
      <w:pPr>
        <w:spacing w:line="360" w:lineRule="auto" w:before="0" w:after="80"/>
        <w:jc w:val="both"/>
      </w:pPr>
      <w:r>
        <w:rPr>
          <w:rFonts w:ascii="Arial" w:hAnsi="Arial"/>
          <w:b w:val="0"/>
          <w:i w:val="0"/>
          <w:color w:val="111827"/>
          <w:sz w:val="24"/>
        </w:rPr>
        <w:t>O princípio da autotutela assegura à Administração Pública o poder-dever de controlar diretamente seus próprios atos, revendo-os quanto à legalidade ou ao mérito, sem necessidade de autorização judicial prévia.</w:t>
      </w:r>
    </w:p>
    <w:p>
      <w:pPr>
        <w:keepNext/>
        <w:spacing w:before="120" w:after="40"/>
      </w:pPr>
      <w:r>
        <w:rPr>
          <w:rFonts w:ascii="Arial" w:hAnsi="Arial"/>
          <w:b/>
          <w:i/>
          <w:color w:val="334155"/>
          <w:sz w:val="22"/>
        </w:rPr>
        <w:t>Enunciado da Súmula 473 do STF:</w:t>
      </w:r>
    </w:p>
    <w:p>
      <w:pPr>
        <w:spacing w:line="240" w:lineRule="auto" w:before="40" w:after="40"/>
        <w:ind w:left="2268"/>
      </w:pPr>
      <w:r>
        <w:rPr>
          <w:rFonts w:ascii="Arial" w:hAnsi="Arial"/>
          <w:b w:val="0"/>
          <w:i/>
          <w:color w:val="111827"/>
          <w:sz w:val="20"/>
        </w:rPr>
        <w:t>"A administração pode anular seus próprios atos, quando eivados de vícios que os tornam ilegais, porque deles não se originam direitos; ou revogá-los, por motivo de conveniência ou oportunidade, respeitados os direitos adquiridos, e ressalvada, em todos os casos, a apreciação judicial."</w:t>
      </w:r>
    </w:p>
    <w:p>
      <w:pPr>
        <w:spacing w:after="80"/>
      </w:pP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Anulação de Ato Administrativo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Revogação de Ato Administrativo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Fundamento Central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Ilegalidade / Ilegitimidade</w:t>
            </w:r>
            <w:r>
              <w:rPr>
                <w:rFonts w:ascii="Arial" w:hAnsi="Arial"/>
                <w:b w:val="0"/>
                <w:i w:val="0"/>
                <w:color w:val="111827"/>
                <w:sz w:val="19"/>
              </w:rPr>
              <w:t xml:space="preserve"> (vício formal ou material de validade)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Inconveniência ou Inoportunidade</w:t>
            </w:r>
            <w:r>
              <w:rPr>
                <w:rFonts w:ascii="Arial" w:hAnsi="Arial"/>
                <w:b w:val="0"/>
                <w:i w:val="0"/>
                <w:color w:val="111827"/>
                <w:sz w:val="19"/>
              </w:rPr>
              <w:t xml:space="preserve"> (razões de mérito)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Autoridade Competente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Administração Pública</w:t>
            </w:r>
            <w:r>
              <w:rPr>
                <w:rFonts w:ascii="Arial" w:hAnsi="Arial"/>
                <w:b w:val="0"/>
                <w:i w:val="0"/>
                <w:color w:val="111827"/>
                <w:sz w:val="19"/>
              </w:rPr>
              <w:t xml:space="preserve"> (autotutela) ou </w:t>
            </w:r>
            <w:r>
              <w:rPr>
                <w:rFonts w:ascii="Arial" w:hAnsi="Arial"/>
                <w:b/>
                <w:i w:val="0"/>
                <w:color w:val="111827"/>
                <w:sz w:val="19"/>
              </w:rPr>
              <w:t>Poder Judiciário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Exclusiva da própria Administração</w:t>
            </w:r>
            <w:r>
              <w:rPr>
                <w:rFonts w:ascii="Arial" w:hAnsi="Arial"/>
                <w:b w:val="0"/>
                <w:i w:val="0"/>
                <w:color w:val="111827"/>
                <w:sz w:val="19"/>
              </w:rPr>
              <w:t xml:space="preserve"> (Judiciário não revoga ato do Executivo)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Efeitos no Tempo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**Retroativos (</w:t>
            </w:r>
            <w:r>
              <w:rPr>
                <w:rFonts w:ascii="Arial" w:hAnsi="Arial"/>
                <w:b w:val="0"/>
                <w:i/>
                <w:color w:val="111827"/>
                <w:sz w:val="19"/>
              </w:rPr>
              <w:t>ex tunc</w:t>
            </w:r>
            <w:r>
              <w:rPr>
                <w:rFonts w:ascii="Arial" w:hAnsi="Arial"/>
                <w:b w:val="0"/>
                <w:i w:val="0"/>
                <w:color w:val="111827"/>
                <w:sz w:val="19"/>
              </w:rPr>
              <w:t>)**, apagando os efeitos desde a origem</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**Prospectivos (</w:t>
            </w:r>
            <w:r>
              <w:rPr>
                <w:rFonts w:ascii="Arial" w:hAnsi="Arial"/>
                <w:b w:val="0"/>
                <w:i/>
                <w:color w:val="111827"/>
                <w:sz w:val="19"/>
              </w:rPr>
              <w:t>ex nunc</w:t>
            </w:r>
            <w:r>
              <w:rPr>
                <w:rFonts w:ascii="Arial" w:hAnsi="Arial"/>
                <w:b w:val="0"/>
                <w:i w:val="0"/>
                <w:color w:val="111827"/>
                <w:sz w:val="19"/>
              </w:rPr>
              <w:t>)**, preservando os efeitos já produzidos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Limites Temporais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Prazo decadencial de </w:t>
            </w:r>
            <w:r>
              <w:rPr>
                <w:rFonts w:ascii="Arial" w:hAnsi="Arial"/>
                <w:b/>
                <w:i w:val="0"/>
                <w:color w:val="111827"/>
                <w:sz w:val="19"/>
              </w:rPr>
              <w:t>5 anos</w:t>
            </w:r>
            <w:r>
              <w:rPr>
                <w:rFonts w:ascii="Arial" w:hAnsi="Arial"/>
                <w:b w:val="0"/>
                <w:i w:val="0"/>
                <w:color w:val="111827"/>
                <w:sz w:val="19"/>
              </w:rPr>
              <w:t xml:space="preserve"> para atos benéficos ao cidadão de boa-fé</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há prazo pré-fixado, respeitados atos consumados e direito adquirido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Garantia Processual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Exige contraditório e ampla defesa prévios se atingir direito de terceiros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Exige contraditório e ampla defesa se atingir direito constituído</w:t>
            </w:r>
          </w:p>
        </w:tc>
      </w:tr>
    </w:tbl>
    <w:p>
      <w:pPr>
        <w:spacing w:after="120"/>
      </w:pPr>
    </w:p>
    <w:p>
      <w:pPr>
        <w:keepNext/>
        <w:spacing w:before="200" w:after="80"/>
      </w:pPr>
      <w:r>
        <w:rPr>
          <w:rFonts w:ascii="Arial" w:hAnsi="Arial"/>
          <w:b/>
          <w:i w:val="0"/>
          <w:color w:val="2B6CB0"/>
          <w:sz w:val="24"/>
        </w:rPr>
        <w:t>4.4 Princípio da Motivação e a Teoria dos Motivos Determinantes</w:t>
      </w:r>
    </w:p>
    <w:p>
      <w:pPr>
        <w:spacing w:line="360" w:lineRule="auto" w:before="0" w:after="80"/>
        <w:jc w:val="both"/>
      </w:pPr>
      <w:r>
        <w:rPr>
          <w:rFonts w:ascii="Arial" w:hAnsi="Arial"/>
          <w:b w:val="0"/>
          <w:i w:val="0"/>
          <w:color w:val="111827"/>
          <w:sz w:val="24"/>
        </w:rPr>
        <w:t>A motivação consiste na exposição explícita, por escrito, das razões de fato e dos fundamentos de direito que justificam a prática do ato administrativo.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Teoria dos Motivos Determinantes:</w:t>
      </w:r>
      <w:r>
        <w:rPr>
          <w:rFonts w:ascii="Arial" w:hAnsi="Arial"/>
          <w:b w:val="0"/>
          <w:i w:val="0"/>
          <w:color w:val="111827"/>
          <w:sz w:val="22"/>
        </w:rPr>
        <w:t xml:space="preserve"> A validade do ato administrativo fica estritamente vinculada à veracidade e pertinência dos motivos fáticos declarados pela autoridade competente. Se a Administração fundamentar a exoneração de um servidor comissionado aduzindo escassez orçamentária, e restar documentalmente comprovado que havia saldo orçamentário excedente, o ato de desligamento será declarado nulo por falsidade do motivo, mesmo que a lei não exigisse motivação obrigatória para a referida exoneração.</w:t>
      </w:r>
    </w:p>
    <w:p>
      <w:pPr>
        <w:keepNext/>
        <w:spacing w:before="200" w:after="80"/>
      </w:pPr>
      <w:r>
        <w:rPr>
          <w:rFonts w:ascii="Arial" w:hAnsi="Arial"/>
          <w:b/>
          <w:i w:val="0"/>
          <w:color w:val="2B6CB0"/>
          <w:sz w:val="24"/>
        </w:rPr>
        <w:t>4.5 Princípio da Continuidade dos Serviços Públicos</w:t>
      </w:r>
    </w:p>
    <w:p>
      <w:pPr>
        <w:spacing w:line="360" w:lineRule="auto" w:before="0" w:after="80"/>
        <w:jc w:val="both"/>
      </w:pPr>
      <w:r>
        <w:rPr>
          <w:rFonts w:ascii="Arial" w:hAnsi="Arial"/>
          <w:b w:val="0"/>
          <w:i w:val="0"/>
          <w:color w:val="111827"/>
          <w:sz w:val="24"/>
        </w:rPr>
        <w:t>Os serviços públicos representam a prestação material de necessidades indeclináveis da sociedade, não podendo sofrer interrupções imotivadas ou abruptas.</w:t>
      </w:r>
    </w:p>
    <w:p>
      <w:pPr>
        <w:spacing w:line="276" w:lineRule="auto" w:before="20" w:after="40"/>
        <w:ind w:left="425"/>
      </w:pPr>
      <w:r>
        <w:rPr>
          <w:rFonts w:ascii="Arial" w:hAnsi="Arial"/>
          <w:b/>
          <w:color w:val="2B6CB0"/>
          <w:sz w:val="22"/>
        </w:rPr>
        <w:t xml:space="preserve">• </w:t>
      </w:r>
      <w:r>
        <w:rPr>
          <w:rFonts w:ascii="Arial" w:hAnsi="Arial"/>
          <w:b w:val="0"/>
          <w:i/>
          <w:color w:val="111827"/>
          <w:sz w:val="22"/>
        </w:rPr>
        <w:t>Limites Legítimos de Suspensão (Lei nº 8.987/1995, art. 6º, § 3º):</w:t>
      </w:r>
      <w:r>
        <w:rPr>
          <w:rFonts w:ascii="Arial" w:hAnsi="Arial"/>
          <w:b w:val="0"/>
          <w:i w:val="0"/>
          <w:color w:val="111827"/>
          <w:sz w:val="22"/>
        </w:rPr>
        <w:t xml:space="preserve"> O serviço pode ser suspenso após aviso prévio formal ao usuário por:</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Razões de ordem técnica ou de segurança das instalações;</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Inadimplemento contratual do usuário, ressalvadas unidades públicas essenciais (hospitais e postos de saúde não podem ter o fornecimento de energia desligado por falta de pagamento).</w:t>
      </w:r>
    </w:p>
    <w:p>
      <w:pPr>
        <w:keepNext/>
        <w:spacing w:before="280" w:after="120"/>
      </w:pPr>
      <w:r>
        <w:rPr>
          <w:rFonts w:ascii="Arial" w:hAnsi="Arial"/>
          <w:b/>
          <w:i w:val="0"/>
          <w:color w:val="2C5282"/>
          <w:sz w:val="28"/>
        </w:rPr>
        <w:t>5. O Direito Público Positivo da LINDB (Arts. 20 a 30) e o Controle Externo</w:t>
      </w:r>
    </w:p>
    <w:p>
      <w:pPr>
        <w:spacing w:line="360" w:lineRule="auto" w:before="0" w:after="80"/>
        <w:jc w:val="both"/>
      </w:pPr>
      <w:r>
        <w:rPr>
          <w:rFonts w:ascii="Arial" w:hAnsi="Arial"/>
          <w:b w:val="0"/>
          <w:i w:val="0"/>
          <w:color w:val="111827"/>
          <w:sz w:val="24"/>
        </w:rPr>
        <w:t>A Lei de Introdução às Normas do Direito Brasileiro (LINDB - Decreto-Lei nº 4.657/1942), com as alterações introduzidas pela Lei nº 13.655/2018 e regulamentadas pelo Decreto Federal nº 9.830/2019, inaugurou uma nova fase de pragmatismo, segurança jurídica e racionalidade no Direito Administrativo sancionador e nas decisões dos Tribunais de Contas.</w:t>
      </w:r>
    </w:p>
    <w:p>
      <w:pPr>
        <w:keepNext/>
        <w:spacing w:before="200" w:after="80"/>
      </w:pPr>
      <w:r>
        <w:rPr>
          <w:rFonts w:ascii="Arial" w:hAnsi="Arial"/>
          <w:b/>
          <w:i w:val="0"/>
          <w:color w:val="2B6CB0"/>
          <w:sz w:val="24"/>
        </w:rPr>
        <w:t>5.1 Consequencialismo Jurídico e Vedação de Valores Abstratos (Art. 20)</w:t>
      </w:r>
    </w:p>
    <w:p>
      <w:pPr>
        <w:spacing w:line="240" w:lineRule="auto" w:before="40" w:after="40"/>
        <w:ind w:left="2268"/>
      </w:pPr>
      <w:r>
        <w:rPr>
          <w:rFonts w:ascii="Arial" w:hAnsi="Arial"/>
          <w:b w:val="0"/>
          <w:i/>
          <w:color w:val="111827"/>
          <w:sz w:val="20"/>
        </w:rPr>
        <w:t>"Art. 20. Nas esferas administrativa, controladora e judicial, não se decidirá com base em valores jurídicos abstratos sem que sejam consideradas as consequências práticas da decisão."</w:t>
      </w:r>
    </w:p>
    <w:p>
      <w:pPr>
        <w:spacing w:after="8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É vedado ao auditor ou julgador do Tribunal de Contas anular um contrato ou paralisar uma obra pública invocando fórmulas genéricas como "ofensa ao interesse público" ou "afronta à moralidade" sem motivar analiticamente os impactos socioeconômicos, os prejuízos à população e a viabilidade de alternativas de regularização.</w:t>
      </w:r>
    </w:p>
    <w:p>
      <w:pPr>
        <w:keepNext/>
        <w:spacing w:before="200" w:after="80"/>
      </w:pPr>
      <w:r>
        <w:rPr>
          <w:rFonts w:ascii="Arial" w:hAnsi="Arial"/>
          <w:b/>
          <w:i w:val="0"/>
          <w:color w:val="2B6CB0"/>
          <w:sz w:val="24"/>
        </w:rPr>
        <w:t>5.2 Obstáculos Reais e Circunstâncias Práticas do Gestor (Art. 22)</w:t>
      </w:r>
    </w:p>
    <w:p>
      <w:pPr>
        <w:spacing w:line="240" w:lineRule="auto" w:before="40" w:after="40"/>
        <w:ind w:left="2268"/>
      </w:pPr>
      <w:r>
        <w:rPr>
          <w:rFonts w:ascii="Arial" w:hAnsi="Arial"/>
          <w:b w:val="0"/>
          <w:i/>
          <w:color w:val="111827"/>
          <w:sz w:val="20"/>
        </w:rPr>
        <w:t>"Art. 22. Na interpretação de normas sobre gestão pública, serão considerados os obstáculos e as dificuldades reais do gestor e as exigências das políticas públicas a seu cargo, sem prejuízo dos direitos dos administrados."</w:t>
      </w:r>
    </w:p>
    <w:p>
      <w:pPr>
        <w:spacing w:after="8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Na fiscalização de conformidade, os órgãos de controle externo devem contextualizar a conjuntura histórica e fática da tomada de decisão. Devem sopesar a escassez de recursos orçamentários, as falhas de infraestrutura, a urgência imposta por calamidades e o quadro pessoal deficiente do órgão no momento da prática do ato.</w:t>
      </w:r>
    </w:p>
    <w:p>
      <w:pPr>
        <w:keepNext/>
        <w:spacing w:before="200" w:after="80"/>
      </w:pPr>
      <w:r>
        <w:rPr>
          <w:rFonts w:ascii="Arial" w:hAnsi="Arial"/>
          <w:b/>
          <w:i w:val="0"/>
          <w:color w:val="2B6CB0"/>
          <w:sz w:val="24"/>
        </w:rPr>
        <w:t>5.3 Responsabilização por Dolo ou Erro Grosseiro (Art. 28 da LINDB c/c Dec. 9.830/2019)</w:t>
      </w:r>
    </w:p>
    <w:p>
      <w:pPr>
        <w:spacing w:line="240" w:lineRule="auto" w:before="40" w:after="40"/>
        <w:ind w:left="2268"/>
      </w:pPr>
      <w:r>
        <w:rPr>
          <w:rFonts w:ascii="Arial" w:hAnsi="Arial"/>
          <w:b w:val="0"/>
          <w:i/>
          <w:color w:val="111827"/>
          <w:sz w:val="20"/>
        </w:rPr>
        <w:t>"Art. 28. O agente público responderá pessoalmente por suas decisões ou opiniões técnicas em caso de dolo ou erro grosseiro."</w:t>
      </w:r>
    </w:p>
    <w:p>
      <w:pPr>
        <w:spacing w:after="80"/>
      </w:pPr>
    </w:p>
    <w:p>
      <w:pPr>
        <w:spacing w:line="276" w:lineRule="auto" w:before="20" w:after="40"/>
        <w:ind w:left="425"/>
      </w:pPr>
      <w:r>
        <w:rPr>
          <w:rFonts w:ascii="Arial" w:hAnsi="Arial"/>
          <w:b/>
          <w:color w:val="2B6CB0"/>
          <w:sz w:val="22"/>
        </w:rPr>
        <w:t xml:space="preserve">• </w:t>
      </w:r>
      <w:r>
        <w:rPr>
          <w:rFonts w:ascii="Arial" w:hAnsi="Arial"/>
          <w:b/>
          <w:i w:val="0"/>
          <w:color w:val="111827"/>
          <w:sz w:val="22"/>
        </w:rPr>
        <w:t>Responsabilidade Subjetiva:</w:t>
      </w:r>
      <w:r>
        <w:rPr>
          <w:rFonts w:ascii="Arial" w:hAnsi="Arial"/>
          <w:b w:val="0"/>
          <w:i w:val="0"/>
          <w:color w:val="111827"/>
          <w:sz w:val="22"/>
        </w:rPr>
        <w:t xml:space="preserve"> O servidor público ou parecerista técnico somente pode ser punido pessoalmente (com multas, sanções funcionais ou obrigação de ressarcir o erário) caso tenha atuado com </w:t>
      </w:r>
      <w:r>
        <w:rPr>
          <w:rFonts w:ascii="Arial" w:hAnsi="Arial"/>
          <w:b/>
          <w:i w:val="0"/>
          <w:color w:val="111827"/>
          <w:sz w:val="22"/>
        </w:rPr>
        <w:t>dolo</w:t>
      </w:r>
      <w:r>
        <w:rPr>
          <w:rFonts w:ascii="Arial" w:hAnsi="Arial"/>
          <w:b w:val="0"/>
          <w:i w:val="0"/>
          <w:color w:val="111827"/>
          <w:sz w:val="22"/>
        </w:rPr>
        <w:t xml:space="preserve"> (intenção deliberada de descumprir a lei ou lesar o patrimônio) ou </w:t>
      </w:r>
      <w:r>
        <w:rPr>
          <w:rFonts w:ascii="Arial" w:hAnsi="Arial"/>
          <w:b/>
          <w:i w:val="0"/>
          <w:color w:val="111827"/>
          <w:sz w:val="22"/>
        </w:rPr>
        <w:t>erro grosseiro</w:t>
      </w:r>
      <w:r>
        <w:rPr>
          <w:rFonts w:ascii="Arial" w:hAnsi="Arial"/>
          <w:b w:val="0"/>
          <w:i w:val="0"/>
          <w:color w:val="111827"/>
          <w:sz w:val="22"/>
        </w:rPr>
        <w:t xml:space="preserve"> (culpa grave inescusável).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Conceito de Erro Grosseiro (Decreto nº 9.830/2019, art. 12):</w:t>
      </w:r>
      <w:r>
        <w:rPr>
          <w:rFonts w:ascii="Arial" w:hAnsi="Arial"/>
          <w:b w:val="0"/>
          <w:i w:val="0"/>
          <w:color w:val="111827"/>
          <w:sz w:val="22"/>
        </w:rPr>
        <w:t xml:space="preserve"> Considera-se erro grosseiro aquele manifesto, evidente e inescusável praticado com culpa grave, caracterizado por ação ou omissão com elevado grau de negligência, imprudência ou imperícia, demonstrando desprezo ostensivo às regras elementares de cautela que um profissional com diligência média adotaria nas mesmas circunstâncias fáticas.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CRÍTICO DE PROVA FCC:</w:t>
            </w:r>
          </w:p>
          <w:p>
            <w:pPr>
              <w:spacing w:line="288" w:lineRule="auto" w:before="40" w:after="40"/>
            </w:pPr>
            <w:r>
              <w:rPr>
                <w:rFonts w:ascii="Arial" w:hAnsi="Arial"/>
                <w:b w:val="0"/>
                <w:i w:val="0"/>
                <w:color w:val="111827"/>
                <w:sz w:val="21"/>
              </w:rPr>
              <w:t xml:space="preserve">A divergência interpretativa razoável de lei, jurisprudência ou norma técnica entre o corpo técnico do Tribunal de Contas e o gestor </w:t>
            </w:r>
            <w:r>
              <w:rPr>
                <w:rFonts w:ascii="Arial" w:hAnsi="Arial"/>
                <w:b/>
                <w:i w:val="0"/>
                <w:color w:val="111827"/>
                <w:sz w:val="21"/>
              </w:rPr>
              <w:t>JAMAIS configura erro grosseiro</w:t>
            </w:r>
            <w:r>
              <w:rPr>
                <w:rFonts w:ascii="Arial" w:hAnsi="Arial"/>
                <w:b w:val="0"/>
                <w:i w:val="0"/>
                <w:color w:val="111827"/>
                <w:sz w:val="21"/>
              </w:rPr>
              <w:t>. Para impor sanção ao administrador, é indispensável que a acusação comprove desídia grave, negligência crassa ou dolo!</w:t>
            </w:r>
          </w:p>
        </w:tc>
      </w:tr>
    </w:tbl>
    <w:p>
      <w:pPr>
        <w:spacing w:before="0" w:after="120"/>
      </w:pPr>
    </w:p>
    <w:p>
      <w:pPr>
        <w:keepNext/>
        <w:spacing w:before="200" w:after="80"/>
      </w:pPr>
      <w:r>
        <w:rPr>
          <w:rFonts w:ascii="Arial" w:hAnsi="Arial"/>
          <w:b/>
          <w:i w:val="0"/>
          <w:color w:val="2B6CB0"/>
          <w:sz w:val="24"/>
        </w:rPr>
        <w:t>5.4 Segurança Jurídica, Transição e Vedação à Retroatividade (Arts. 23 e 24)</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Regime de Transição (Art. 23):</w:t>
      </w:r>
      <w:r>
        <w:rPr>
          <w:rFonts w:ascii="Arial" w:hAnsi="Arial"/>
          <w:b w:val="0"/>
          <w:i w:val="0"/>
          <w:color w:val="111827"/>
          <w:sz w:val="22"/>
        </w:rPr>
        <w:t xml:space="preserve"> Decisão que estabelece nova interpretação ou novo dever deve prever período de transição quando indispensável para que o novo dever seja cumprido de modo proporcional e sem caos operacional.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Vedação à Retroatividade de Nova Orientação Geral (Art. 24):</w:t>
      </w:r>
      <w:r>
        <w:rPr>
          <w:rFonts w:ascii="Arial" w:hAnsi="Arial"/>
          <w:b w:val="0"/>
          <w:i w:val="0"/>
          <w:color w:val="111827"/>
          <w:sz w:val="22"/>
        </w:rPr>
        <w:t xml:space="preserve"> A revisão judicial, administrativa ou controladora sobre a validade de atos, contratos ou processos já consumados levará em conta as </w:t>
      </w:r>
      <w:r>
        <w:rPr>
          <w:rFonts w:ascii="Arial" w:hAnsi="Arial"/>
          <w:b/>
          <w:i w:val="0"/>
          <w:color w:val="111827"/>
          <w:sz w:val="22"/>
        </w:rPr>
        <w:t>orientações gerais vigentes à época</w:t>
      </w:r>
      <w:r>
        <w:rPr>
          <w:rFonts w:ascii="Arial" w:hAnsi="Arial"/>
          <w:b w:val="0"/>
          <w:i w:val="0"/>
          <w:color w:val="111827"/>
          <w:sz w:val="22"/>
        </w:rPr>
        <w:t>. É expressamente proibido declarar inválidas situações consolidadas com amparo na orientação pretérita com base em mudança jurisprudencial posterior.</w:t>
      </w:r>
    </w:p>
    <w:p>
      <w:pPr>
        <w:keepNext/>
        <w:spacing w:before="280" w:after="120"/>
      </w:pPr>
      <w:r>
        <w:rPr>
          <w:rFonts w:ascii="Arial" w:hAnsi="Arial"/>
          <w:b/>
          <w:i w:val="0"/>
          <w:color w:val="2C5282"/>
          <w:sz w:val="28"/>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Federal de 1988 - Art. 37 (LIMPE)</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Texto constitucional oficial com as regras basilares da Administração Pública, concurso, publicidade e teto remuneratório.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de Introdução às Normas do Direito Brasileiro (LINDB) - Arts. 20 a 30</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Dispositivos introduzidos pela Lei nº 13.655/2018 disciplinando o consequencialismo, segurança jurídica e responsabilização por erro grosseiro.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Decreto Federal nº 9.830/2019 (Regulamento da LINDB)</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Regulamentação que conceitua formalmente erro grosseiro, dolo, compromisso processual e regime de transição.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Súmula Vinculante nº 13 do STF (Antinepotismo)</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Precedentes e teor oficial da vedação de nepotismo na administração direta e indireta.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Súmula 473 do STF - Autotutela Administrativa</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Enunciado consolidado sobre anulação de atos ilegais e revogação por conveniência e oportunidade.</w:t>
      </w:r>
    </w:p>
    <w:p>
      <w:pPr>
        <w:keepNext/>
        <w:spacing w:before="280" w:after="120"/>
      </w:pPr>
      <w:r>
        <w:rPr>
          <w:rFonts w:ascii="Arial" w:hAnsi="Arial"/>
          <w:b/>
          <w:i w:val="0"/>
          <w:color w:val="2C5282"/>
          <w:sz w:val="28"/>
        </w:rPr>
        <w:t>7. Questões Comentadas &amp; Exemplos (Padrão FCC)</w:t>
      </w:r>
    </w:p>
    <w:p>
      <w:pPr>
        <w:keepNext/>
        <w:spacing w:before="200" w:after="80"/>
      </w:pPr>
      <w:r>
        <w:rPr>
          <w:rFonts w:ascii="Arial" w:hAnsi="Arial"/>
          <w:b/>
          <w:i w:val="0"/>
          <w:color w:val="2B6CB0"/>
          <w:sz w:val="24"/>
        </w:rPr>
        <w:t>Questão 1 (FCC - Analista de Controle Externo / TCE-GO)</w:t>
      </w:r>
    </w:p>
    <w:p>
      <w:pPr>
        <w:spacing w:line="360" w:lineRule="auto" w:before="0" w:after="80"/>
        <w:jc w:val="both"/>
      </w:pPr>
      <w:r>
        <w:rPr>
          <w:rFonts w:ascii="Arial" w:hAnsi="Arial"/>
          <w:b w:val="0"/>
          <w:i w:val="0"/>
          <w:color w:val="111827"/>
          <w:sz w:val="24"/>
        </w:rPr>
        <w:t>O Prefeito de determinado município goiano autorizou a realização de ampla campanha institucional informando a entrega de um novo hospital municipal. Na publicidade veiculada em emissoras de televisão e painéis digitais, foram inseridas a fotografia oficial do Chefe do Executivo, o slogan utilizado em sua campanha partidária e mensagens conclamando a população a reconhecer seu esforço pessoal na entrega da obra.</w:t>
      </w:r>
    </w:p>
    <w:p>
      <w:pPr>
        <w:spacing w:line="360" w:lineRule="auto" w:before="0" w:after="80"/>
        <w:jc w:val="both"/>
      </w:pPr>
      <w:r>
        <w:rPr>
          <w:rFonts w:ascii="Arial" w:hAnsi="Arial"/>
          <w:b w:val="0"/>
          <w:i w:val="0"/>
          <w:color w:val="111827"/>
          <w:sz w:val="24"/>
        </w:rPr>
        <w:t>Diante do regramento constitucional aplicável à Administração Pública, a conduta descrita vulnerou diretamente o princípio 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Publicidade, tendo em vista que é vedada a divulgação aos administrados de obras e serviços já concluídos pelo Poder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Impessoalidade, por caracterizar evidente promoção pessoal de agente político em informe institucional custeado com recursos públicos.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Eficiência, unicamente em virtude de o gestor não ter anexado na peça publicitária a planilha detalhada com a economicidade da obra.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Legalidade estrita, por inexistir autorização legislativa genérica permitindo a veiculação de qualquer informe por municípios.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Autotutela, pois a publicidade de atos municipais depende de chancela prévia obrigatória do Tribunal de Contas competente.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publicidade institucional de realizações do Poder Público é permitida e salutar para o controle social, desde que preserve rigoroso caráter educativo, informativo ou de orientação social. O erro não está em divulgar a obra concluída, mas em promover a figura pessoal do administrador.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37, § 1º, da Constituição Federal estabelece que a publicidade dos órgãos públicos não pode conter nomes, símbolos ou imagens que caracterizem promoção pessoal de autoridades ou servidores públicos. A aposição de fotografias e slogans eleitorais do Prefeito com dinheiro público fere frontalmente o princípio da impessoalidade e a Teoria do Órgão (segundo a qual as realizações pertencem ao Município e não à pessoa física do gestor), configurando ainda ato de improbidade administrativa.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vício primordial e autônomo é a promoção pessoal ilícita, e não a ausência de demonstrativos contábeis na mídia veiculada.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Os entes federados gozam de autonomia constitucional para veicular campanhas informativas e de utilidade pública no interesse de seus munícipes.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controle exercido pelo Tribunal de Contas não é prévio de censura publicitária; opera-se a posteriori ou de forma concomitante no exame das despesas orçamentárias.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Auditor de Controle Externo / Adaptada)</w:t>
      </w:r>
    </w:p>
    <w:p>
      <w:pPr>
        <w:spacing w:line="360" w:lineRule="auto" w:before="0" w:after="80"/>
        <w:jc w:val="both"/>
      </w:pPr>
      <w:r>
        <w:rPr>
          <w:rFonts w:ascii="Arial" w:hAnsi="Arial"/>
          <w:b w:val="0"/>
          <w:i w:val="0"/>
          <w:color w:val="111827"/>
          <w:sz w:val="24"/>
        </w:rPr>
        <w:t>Em processo de auditoria de conformidade instaurado no Tribunal de Contas, a equipe técnica propôs a aplicação de multa pecuniária e a imputação de débito pessoal a um Secretário de Estado em razão da contratação de serviços mediante interpretação jurídica que gerou dispêndio financeiro. Ficou demonstrado nos autos que, à época da decisão, a interpretação adotada pelo gestor era amplamente respaldada por respeitada doutrina e decisões de outros tribunais, inexistindo jurisprudência vinculante em sentido contrário, má-fé ou qualquer benefício pessoal auferido pelo agente.</w:t>
      </w:r>
    </w:p>
    <w:p>
      <w:pPr>
        <w:spacing w:line="360" w:lineRule="auto" w:before="0" w:after="80"/>
        <w:jc w:val="both"/>
      </w:pPr>
      <w:r>
        <w:rPr>
          <w:rFonts w:ascii="Arial" w:hAnsi="Arial"/>
          <w:b w:val="0"/>
          <w:i w:val="0"/>
          <w:color w:val="111827"/>
          <w:sz w:val="24"/>
        </w:rPr>
        <w:t>À luz da Lei de Introdução às Normas do Direito Brasileiro (LINDB, art. 28) e do Decreto nº 9.830/2019:</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agente público responde de forma estritamente objetiva na esfera do controle externo, bastando a constatação de dano orçamentário.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gestor responde pessoalmente apenas em caso de dolo ou erro grosseiro, não caracterizando erro grosseiro a decisão balizada em interpretação plausível da lei em contexto de controvérsia jurisprudencial.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divergência interpretativa em relação à posição da unidade técnica de auditoria do Tribunal de Contas qualifica-se ipso facto como erro grosseiro.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Os Tribunais de Contas estão isentos de considerar os obstáculos e as dificuldades reais do gestor previstos no art. 22 da LINDB.</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responsabilidade do agente público somente pode ser afastada caso haja prévia consulta formal respondida pelo Tribunal com efeito vinculante.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responsabilidade pessoal e sancionatória do agente público perante o Tribunal de Contas é de índole subjetiva, demandando a demonstração inequívoca de dolo ou de erro grosseiro (culpa grave), nos termos do art. 28 da LINDB.</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28 da LINDB prescreve que o agente público somente responderá pessoalmente por suas decisões ou pareceres técnicos em caso de dolo ou erro grosseiro. O art. 12 do Decreto Federal nº 9.830/2019 e a jurisprudência do STF consolidam que não se considera erro grosseiro a decisão sustentada em interpretação jurídica plausível, razoável e fundamentada em abalizada doutrina ou jurisprudência, ainda que não seja a tese acolhida pela corte de contas.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Mera discordância hermenêutica entre o administrador e a unidade de fiscalização do Tribunal de Contas não corporifica erro grosseiro ou conduta reprovável.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art. 22 da LINDB impõe mandamento expresso direcionado aos órgãos de controle (como o TCE), determinando que ponderem os obstáculos, as carências estruturais e as dificuldades fáticas reais vivenciadas pelo gestor à época da decisão.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consulta formal perante o Tribunal (prevista no art. 30 da LINDB) gera segurança jurídica vinculante, mas sua ausência não cria presunção de dolo ou culpa contra o administrador.</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Técnico de Controle Externo / Administrativa)</w:t>
      </w:r>
    </w:p>
    <w:p>
      <w:pPr>
        <w:spacing w:line="360" w:lineRule="auto" w:before="0" w:after="80"/>
        <w:jc w:val="both"/>
      </w:pPr>
      <w:r>
        <w:rPr>
          <w:rFonts w:ascii="Arial" w:hAnsi="Arial"/>
          <w:b w:val="0"/>
          <w:i w:val="0"/>
          <w:color w:val="111827"/>
          <w:sz w:val="24"/>
        </w:rPr>
        <w:t>Determinada autoridade administrativa do Poder Executivo estadual constatou que um ato de concessão de gratificação funcional a um grupo de servidores, praticado há dois anos, padecia de vício insanável de legalidade, por contrariar dispositivo expresso do regime jurídico único. Os servidores beneficiados não concorreram para o vício e agiram de boa-fé.</w:t>
      </w:r>
    </w:p>
    <w:p>
      <w:pPr>
        <w:spacing w:line="360" w:lineRule="auto" w:before="0" w:after="80"/>
        <w:jc w:val="both"/>
      </w:pPr>
      <w:r>
        <w:rPr>
          <w:rFonts w:ascii="Arial" w:hAnsi="Arial"/>
          <w:b w:val="0"/>
          <w:i w:val="0"/>
          <w:color w:val="111827"/>
          <w:sz w:val="24"/>
        </w:rPr>
        <w:t>Considerando o princípio da autotutela e os enunciados das Súmulas 346 e 473 do Supremo Tribunal Federal: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autoridade deve revogar o ato administrativo, produzindo efeitos a partir da decisão (efeitos </w:t>
      </w:r>
      <w:r>
        <w:rPr>
          <w:rFonts w:ascii="Arial" w:hAnsi="Arial"/>
          <w:b w:val="0"/>
          <w:i/>
          <w:color w:val="111827"/>
          <w:sz w:val="22"/>
        </w:rPr>
        <w:t>ex nunc</w:t>
      </w:r>
      <w:r>
        <w:rPr>
          <w:rFonts w:ascii="Arial" w:hAnsi="Arial"/>
          <w:b w:val="0"/>
          <w:i w:val="0"/>
          <w:color w:val="111827"/>
          <w:sz w:val="22"/>
        </w:rPr>
        <w:t>), sem necessidade de contraditório prévio.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ato é nulo e deve ser anulado pela própria Administração, produzindo a anulação efeitos retroativos (</w:t>
      </w:r>
      <w:r>
        <w:rPr>
          <w:rFonts w:ascii="Arial" w:hAnsi="Arial"/>
          <w:b w:val="0"/>
          <w:i/>
          <w:color w:val="111827"/>
          <w:sz w:val="22"/>
        </w:rPr>
        <w:t>ex tunc</w:t>
      </w:r>
      <w:r>
        <w:rPr>
          <w:rFonts w:ascii="Arial" w:hAnsi="Arial"/>
          <w:b w:val="0"/>
          <w:i w:val="0"/>
          <w:color w:val="111827"/>
          <w:sz w:val="22"/>
        </w:rPr>
        <w:t>), assegurados o contraditório e a ampla defesa.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Somente o Poder Judiciário dispõe de competência constitucional para anular atos praticados pela Administração Pública estadual.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Administração decaiu do direito de anular o ato, haja vista ter decorrido o prazo bienal de prescrição administrativa geral.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ato tornou-se imutável por força do princípio da segurança jurídica, não podendo mais ser anulado nem mesmo pelo Poder Judiciário.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Vício de ilegalidade insanável enseja a </w:t>
            </w:r>
            <w:r>
              <w:rPr>
                <w:rFonts w:ascii="Arial" w:hAnsi="Arial"/>
                <w:b/>
                <w:i w:val="0"/>
                <w:color w:val="111827"/>
                <w:sz w:val="21"/>
              </w:rPr>
              <w:t>anulação</w:t>
            </w:r>
            <w:r>
              <w:rPr>
                <w:rFonts w:ascii="Arial" w:hAnsi="Arial"/>
                <w:b w:val="0"/>
                <w:i w:val="0"/>
                <w:color w:val="111827"/>
                <w:sz w:val="21"/>
              </w:rPr>
              <w:t xml:space="preserve"> do ato, e não revogação. A revogação recai exclusivamente sobre atos válidos e perfeitos que se tornaram inconvenientes ou inoportunos, gerando efeitos prospectivos (</w:t>
            </w:r>
            <w:r>
              <w:rPr>
                <w:rFonts w:ascii="Arial" w:hAnsi="Arial"/>
                <w:b w:val="0"/>
                <w:i/>
                <w:color w:val="111827"/>
                <w:sz w:val="21"/>
              </w:rPr>
              <w:t>ex nunc</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Conforme as Súmulas 346 e 473 do STF, a Administração tem o poder-dever de anular seus próprios atos ilegais, operando a anulação efeitos retroativos (</w:t>
            </w:r>
            <w:r>
              <w:rPr>
                <w:rFonts w:ascii="Arial" w:hAnsi="Arial"/>
                <w:b w:val="0"/>
                <w:i/>
                <w:color w:val="111827"/>
                <w:sz w:val="21"/>
              </w:rPr>
              <w:t>ex tunc</w:t>
            </w:r>
            <w:r>
              <w:rPr>
                <w:rFonts w:ascii="Arial" w:hAnsi="Arial"/>
                <w:b w:val="0"/>
                <w:i w:val="0"/>
                <w:color w:val="111827"/>
                <w:sz w:val="21"/>
              </w:rPr>
              <w:t>). Todavia, como o ato produziu efeitos concretos favoráveis na esfera de direitos dos servidores beneficiados de boa-fé, é mandatório instaurar processo administrativo prévio assegurando-lhes o contraditório e a ampla defesa (Súmula Vinculante nº 3). Como transcorreram apenas dois anos, o direito da Administração de anular está plenamente preservado (o prazo decadencial é de 5 anos).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Pelo princípio da autotutela, a Administração Pública não necessita provocar o Judiciário para extirpar atos ilegais praticados em seus quadros.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prazo decadencial da Administração Pública para anular atos favoráveis praticados de boa-fé é de </w:t>
            </w:r>
            <w:r>
              <w:rPr>
                <w:rFonts w:ascii="Arial" w:hAnsi="Arial"/>
                <w:b/>
                <w:i w:val="0"/>
                <w:color w:val="111827"/>
                <w:sz w:val="21"/>
              </w:rPr>
              <w:t>cinco anos</w:t>
            </w:r>
            <w:r>
              <w:rPr>
                <w:rFonts w:ascii="Arial" w:hAnsi="Arial"/>
                <w:b w:val="0"/>
                <w:i w:val="0"/>
                <w:color w:val="111827"/>
                <w:sz w:val="21"/>
              </w:rPr>
              <w:t xml:space="preserve"> (art. 54 da Lei 9.784/99 e art. 54 da Lei Estadual/GO 13.800/2001), inexistindo prazo decadencial bienal no regime geral.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Como o quinquênio decadencial de cinco anos não se consumou, a segurança jurídica não convalidou o vício insanável.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Analista Judiciário)</w:t>
      </w:r>
    </w:p>
    <w:p>
      <w:pPr>
        <w:spacing w:line="360" w:lineRule="auto" w:before="0" w:after="80"/>
        <w:jc w:val="both"/>
      </w:pPr>
      <w:r>
        <w:rPr>
          <w:rFonts w:ascii="Arial" w:hAnsi="Arial"/>
          <w:b w:val="0"/>
          <w:i w:val="0"/>
          <w:color w:val="111827"/>
          <w:sz w:val="24"/>
        </w:rPr>
        <w:t>O Presidente de determinado órgão público estadual nomeou sua irmã para exercer o cargo em comissão de Diretora de Recursos Humanos do referido órgão. Instada a se manifestar sobre a legalidade da nomeação, a assessoria jurídica emitiu parecer favorável, sustentando que a vedação ao nepotismo atinge apenas parentes em linha reta (pais e filhos).</w:t>
      </w:r>
    </w:p>
    <w:p>
      <w:pPr>
        <w:spacing w:line="360" w:lineRule="auto" w:before="0" w:after="80"/>
        <w:jc w:val="both"/>
      </w:pPr>
      <w:r>
        <w:rPr>
          <w:rFonts w:ascii="Arial" w:hAnsi="Arial"/>
          <w:b w:val="0"/>
          <w:i w:val="0"/>
          <w:color w:val="111827"/>
          <w:sz w:val="24"/>
        </w:rPr>
        <w:t xml:space="preserve">Conforme a jurisprudência pacificada do Supremo Tribunal Federal consolidada na </w:t>
      </w:r>
      <w:r>
        <w:rPr>
          <w:rFonts w:ascii="Arial" w:hAnsi="Arial"/>
          <w:b/>
          <w:i w:val="0"/>
          <w:color w:val="111827"/>
          <w:sz w:val="24"/>
        </w:rPr>
        <w:t>Súmula Vinculante nº 13</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parecer está correto, pois o parentesco colateral de segundo grau (irmãos) não se submete à vedação sumular do nepotismo.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nomeação é válida, contanto que a irmã possua formação superior em área correlata à gestão de pessoas.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nomeação é nula por violar a Súmula Vinculante nº 13, que veda expressamente a nomeação de parentes em linha reta, colateral ou por afinidade até o terceiro grau para cargos em comissão.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proibição do nepotismo limita-se unicamente ao cônjuge e companheiro, sendo permitida a nomeação de parentes consanguíneos de qualquer grau.</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restrição sumular não se aplica aos cargos em comissão de direção e chefia, restringindo-se às funções de assessoramento.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parentesco colateral até o terceiro grau é expressamente abrangido pela proibição sumular. Irmãos são parentes em linha colateral de segundo grau consanguíneo, caindo sob o veto direto.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Em cargos em comissão de livre nomeação e exoneração de natureza estritamente administrativa (como a Diretoria de Recursos Humanos), a qualificação acadêmica do parente não afasta a presunção objetiva de nepotismo e a nulidade do provimento.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Súmula Vinculante nº 13 do STF estabelece expressamente a inconstitucionalidade da nomeação de cônjuge, companheiro ou parente em linha reta, colateral ou por afinidade, até o </w:t>
            </w:r>
            <w:r>
              <w:rPr>
                <w:rFonts w:ascii="Arial" w:hAnsi="Arial"/>
                <w:b/>
                <w:i w:val="0"/>
                <w:color w:val="111827"/>
                <w:sz w:val="21"/>
              </w:rPr>
              <w:t>terceiro grau</w:t>
            </w:r>
            <w:r>
              <w:rPr>
                <w:rFonts w:ascii="Arial" w:hAnsi="Arial"/>
                <w:b w:val="0"/>
                <w:i w:val="0"/>
                <w:color w:val="111827"/>
                <w:sz w:val="21"/>
              </w:rPr>
              <w:t>, inclusive, da autoridade nomeante para cargos em comissão ou de confiança (direção, chefia e assessoramento). A nomeação de irmã (2º grau colateral) para cargo de Diretora é flagrantemente nula por vulnerar a moralidade e a impessoalidade.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enunciado sumular abarca expressamente cônjuges, companheiros e todo o rol de parentes consanguíneos e afins até o 3º grau (pais, filhos, netos, avós, irmãos, sobrinhos, tios, sogros, cunhados).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súmula atinge textualmente qualquer cargo de direção, chefia ou assessoramento, bem como funções gratificadas.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Auditor de Controle Externo / Adaptada TCE-GO)</w:t>
      </w:r>
    </w:p>
    <w:p>
      <w:pPr>
        <w:spacing w:line="360" w:lineRule="auto" w:before="0" w:after="80"/>
        <w:jc w:val="both"/>
      </w:pPr>
      <w:r>
        <w:rPr>
          <w:rFonts w:ascii="Arial" w:hAnsi="Arial"/>
          <w:b w:val="0"/>
          <w:i w:val="0"/>
          <w:color w:val="111827"/>
          <w:sz w:val="24"/>
        </w:rPr>
        <w:t>Determinada autarquia estadual concedeu, durante dez anos, com base em parecer normativo da Procuradoria-Geral do Estado, certa vantagem pecuniária a uma categoria de servidores. Posteriormente, a Procuradoria reviu seu entendimento histórico e fixou nova interpretação mais restritiva da lei, passando a considerar a vantagem indevida. A Administração resolveu então cobrar retroativamente de todos os servidores os valores recebidos ao longo dos últimos cinco anos.</w:t>
      </w:r>
    </w:p>
    <w:p>
      <w:pPr>
        <w:spacing w:line="360" w:lineRule="auto" w:before="0" w:after="80"/>
        <w:jc w:val="both"/>
      </w:pPr>
      <w:r>
        <w:rPr>
          <w:rFonts w:ascii="Arial" w:hAnsi="Arial"/>
          <w:b w:val="0"/>
          <w:i w:val="0"/>
          <w:color w:val="111827"/>
          <w:sz w:val="24"/>
        </w:rPr>
        <w:t>Considerando o princípio da segurança jurídica, a disciplina do processo administrativo e o art. 24 da LINDB:</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Administração agiu com estrito acerto, pois o princípio da legalidade prevalece sobre qualquer consideração temporal ou de confiança legítima.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É vedada a aplicação retroativa de nova interpretação jurídica para alcançar situações plenamente constituídas sob a vigência da orientação anterior.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repetição dos valores é plenamente legítima, cabendo aos servidores o ônus de demonstrar prejuízo individual desproporcional.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Nova orientação jurídica retroage automaticamente caso seja mais benéfica aos cofres públicos estaduais.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segurança jurídica apenas protege os atos administrativos chancelados expressamente por sentença judicial transitada em julgado.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No Estado Democrático de Direito, o princípio da legalidade não atua de modo isolado ou absoluto; ele deve ser harmonizado e sopesado com os princípios da segurança jurídica, da proteção à confiança legítima e da boa-fé objetiva.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24 da LINDB proíbe expressamente que, com base em alteração posterior de orientação geral, se declarem inválidas situações plenamente constituídas, devendo a revisão levar em conta as diretrizes gerais vigentes à época em que os atos foram praticados. Em idêntico sentido, o art. 2º, parágrafo único, XIII, da Lei Federal nº 9.784/1999 (e da legislação estadual congênere) veda expressamente a "aplicação retroativa de nova interpretação". As novas orientações só produzem efeitos prospectivos (</w:t>
            </w:r>
            <w:r>
              <w:rPr>
                <w:rFonts w:ascii="Arial" w:hAnsi="Arial"/>
                <w:b w:val="0"/>
                <w:i/>
                <w:color w:val="111827"/>
                <w:sz w:val="21"/>
              </w:rPr>
              <w:t>ex nunc</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Súmula 249 do TCU e a firme jurisprudência do STJ e do STF pacificaram o entendimento de que é incabível a repetição de indébito de verbas alimentares percebidas de boa-fé com esteio em interpretação jurídica equivocada do próprio poder público.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interesse fazendário do erário (interesse público secundário) não tem o condão de justificar a retroatividade de teses prejudiciais contra cidadãos de boa-fé.</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princípio da segurança jurídica projeta seus efeitos protetivos diretamente sobre os atos da esfera administrativa e os processos de controle externo, dispensando a necessidade de provimento jurisdicional judicial anterior.</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02 - Organização Administrativa, Poderes e Abuso de Autoridade</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Direito Administrativo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02_organizacao_administrativa_e_poderes.md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Organização administrativa brasileira: Administração Direta e Indireta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Descentralização vs. Desconcentração: conceitos, distinções e repercussões jurídicas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Entidades da Administração Indireta: Autarquias, Fundações Públicas, Empresas Públicas e Sociedades de Economia Mista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Regime jurídico das Estatais (Lei nº 13.303/2016)</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Terceiro Setor e entidades paraestatais: Serviços Sociais Autônomos (Sistema S), Organizações Sociais (OS) e OSCIPs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Poderes da Administração Pública: Poder Vinculado, Discricionário, Hierárquico, Disciplinar, Regulamentar e Poder de Polícia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Poder de Polícia: conceito (CTN, art. 78), atributos, limites e fases do ciclo de polícia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Uso e abuso do poder: excesso de poder e desvio de finalidade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Lei de Abuso de Autoridade (Lei nº 13.869/2019 e alterações): sujeitos ativos, elemento subjetivo especial e crimes funcionais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Organização Administrativa: Técnicas de Estruturação Estatal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Centralização e Descentralização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Desconcentração e a Criação de Órgãos Públicos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Quadro Distintivo: Descentralização vs. Desconcentração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Entidades da Administração Indireta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Autarquias e Autarquias de Regime Especial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Fundações Públicas (Direito Público vs. Direito Privado)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Empresas Públicas e Sociedades de Economia Mista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O Estatuto Jurídico das Estatais (Lei nº 13.303/2016)</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Controle Finalístico, Tutela e Supervisão Ministerial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O Terceiro Setor e Entidades Paraestatais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Serviços Sociais Autônomos (Sistema 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Organizações Sociais (OS) e Contratos de Gestão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OSCIPs e Termos de Parceria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Poderes Administrativos e Prerrogativas Públicas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Poder Vinculado vs. Poder Discricionário e o Mérito Administrativo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Poder Hierárquico: Delegação, Avocação e a Regra do CENORA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Poder Disciplinar e Sanções Funcionais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Poder Regulamentar / Normativo e os Decretos Autônomos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4.5 Poder de Polícia, Ciclo de Polícia e Delegação (Tema 532/STF)</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Uso e Abuso de Poder e a Lei nº 13.869/2019</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Excesso de Poder vs. Desvio de Finalidade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Elemento Subjetivo Especial e Proibição do Crime de Hermenêutica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Sujeitos Ativos no Âmbito dos Tribunais de Contas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&amp; Exemplos (Padrão FCC)</w:t>
      </w:r>
    </w:p>
    <w:p>
      <w:pPr>
        <w:keepNext/>
        <w:spacing w:before="280" w:after="120"/>
      </w:pPr>
      <w:r>
        <w:rPr>
          <w:rFonts w:ascii="Arial" w:hAnsi="Arial"/>
          <w:b/>
          <w:i w:val="0"/>
          <w:color w:val="2C5282"/>
          <w:sz w:val="28"/>
        </w:rPr>
        <w:t>1. Organização Administrativa: Técnicas de Estruturação Estatal</w:t>
      </w:r>
    </w:p>
    <w:p>
      <w:pPr>
        <w:spacing w:line="360" w:lineRule="auto" w:before="0" w:after="80"/>
        <w:jc w:val="both"/>
      </w:pPr>
      <w:r>
        <w:rPr>
          <w:rFonts w:ascii="Arial" w:hAnsi="Arial"/>
          <w:b w:val="0"/>
          <w:i w:val="0"/>
          <w:color w:val="111827"/>
          <w:sz w:val="24"/>
        </w:rPr>
        <w:t>A organização administrativa é o conjunto de mecanismos normativos e estruturais mediante os quais o Estado distribui suas competências e funções entre pessoas jurídicas, órgãos e agentes públicos.</w:t>
      </w:r>
    </w:p>
    <w:p>
      <w:pPr>
        <w:spacing w:after="120"/>
      </w:pPr>
    </w:p>
    <w:p>
      <w:pPr>
        <w:keepNext/>
        <w:spacing w:before="200" w:after="80"/>
      </w:pPr>
      <w:r>
        <w:rPr>
          <w:rFonts w:ascii="Arial" w:hAnsi="Arial"/>
          <w:b/>
          <w:i w:val="0"/>
          <w:color w:val="2B6CB0"/>
          <w:sz w:val="24"/>
        </w:rPr>
        <w:t>1.1 Centralização e Descentralização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Centralização:</w:t>
      </w:r>
      <w:r>
        <w:rPr>
          <w:rFonts w:ascii="Arial" w:hAnsi="Arial"/>
          <w:b w:val="0"/>
          <w:i w:val="0"/>
          <w:color w:val="111827"/>
          <w:sz w:val="22"/>
        </w:rPr>
        <w:t xml:space="preserve"> Ocorre quando o Estado executa suas tarefas administrativas </w:t>
      </w:r>
      <w:r>
        <w:rPr>
          <w:rFonts w:ascii="Arial" w:hAnsi="Arial"/>
          <w:b/>
          <w:i w:val="0"/>
          <w:color w:val="111827"/>
          <w:sz w:val="22"/>
        </w:rPr>
        <w:t>diretamente</w:t>
      </w:r>
      <w:r>
        <w:rPr>
          <w:rFonts w:ascii="Arial" w:hAnsi="Arial"/>
          <w:b w:val="0"/>
          <w:i w:val="0"/>
          <w:color w:val="111827"/>
          <w:sz w:val="22"/>
        </w:rPr>
        <w:t>, por meio dos órgãos e agentes integrantes da própria pessoa jurídica política matriz (União, Estados, DF e Municípios — Administração Direta).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Descentralização:</w:t>
      </w:r>
      <w:r>
        <w:rPr>
          <w:rFonts w:ascii="Arial" w:hAnsi="Arial"/>
          <w:b w:val="0"/>
          <w:i w:val="0"/>
          <w:color w:val="111827"/>
          <w:sz w:val="22"/>
        </w:rPr>
        <w:t xml:space="preserve"> Ocorre quando o Estado transfere a execução ou a titularidade e execução de determinada atividade administrativa para </w:t>
      </w:r>
      <w:r>
        <w:rPr>
          <w:rFonts w:ascii="Arial" w:hAnsi="Arial"/>
          <w:b/>
          <w:i w:val="0"/>
          <w:color w:val="111827"/>
          <w:sz w:val="22"/>
        </w:rPr>
        <w:t>outra pessoa jurídica distinta</w:t>
      </w:r>
      <w:r>
        <w:rPr>
          <w:rFonts w:ascii="Arial" w:hAnsi="Arial"/>
          <w:b w:val="0"/>
          <w:i w:val="0"/>
          <w:color w:val="111827"/>
          <w:sz w:val="22"/>
        </w:rPr>
        <w:t>, dotada de personalidade própria.</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Descentralização por Serviços, Outorga ou Funcional:</w:t>
      </w:r>
      <w:r>
        <w:rPr>
          <w:rFonts w:ascii="Arial" w:hAnsi="Arial"/>
          <w:b w:val="0"/>
          <w:i w:val="0"/>
          <w:color w:val="111827"/>
          <w:sz w:val="22"/>
        </w:rPr>
        <w:t xml:space="preserve"> O poder público transfere a </w:t>
      </w:r>
      <w:r>
        <w:rPr>
          <w:rFonts w:ascii="Arial" w:hAnsi="Arial"/>
          <w:b/>
          <w:i w:val="0"/>
          <w:color w:val="111827"/>
          <w:sz w:val="22"/>
        </w:rPr>
        <w:t>titularidade e a execução</w:t>
      </w:r>
      <w:r>
        <w:rPr>
          <w:rFonts w:ascii="Arial" w:hAnsi="Arial"/>
          <w:b w:val="0"/>
          <w:i w:val="0"/>
          <w:color w:val="111827"/>
          <w:sz w:val="22"/>
        </w:rPr>
        <w:t xml:space="preserve"> do serviço mediante </w:t>
      </w:r>
      <w:r>
        <w:rPr>
          <w:rFonts w:ascii="Arial" w:hAnsi="Arial"/>
          <w:b/>
          <w:i w:val="0"/>
          <w:color w:val="111827"/>
          <w:sz w:val="22"/>
        </w:rPr>
        <w:t>lei formal</w:t>
      </w:r>
      <w:r>
        <w:rPr>
          <w:rFonts w:ascii="Arial" w:hAnsi="Arial"/>
          <w:b w:val="0"/>
          <w:i w:val="0"/>
          <w:color w:val="111827"/>
          <w:sz w:val="22"/>
        </w:rPr>
        <w:t xml:space="preserve"> para entidades da Administração Pública Indireta (Autarquias, Fundações Públicas, Empresas Públicas e Sociedades de Economia Mista). Possui caráter de estabilidade institucional duradoura.</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Descentralização por Colaboração ou Delegação:</w:t>
      </w:r>
      <w:r>
        <w:rPr>
          <w:rFonts w:ascii="Arial" w:hAnsi="Arial"/>
          <w:b w:val="0"/>
          <w:i w:val="0"/>
          <w:color w:val="111827"/>
          <w:sz w:val="22"/>
        </w:rPr>
        <w:t xml:space="preserve"> O poder público transfere apenas a </w:t>
      </w:r>
      <w:r>
        <w:rPr>
          <w:rFonts w:ascii="Arial" w:hAnsi="Arial"/>
          <w:b/>
          <w:i w:val="0"/>
          <w:color w:val="111827"/>
          <w:sz w:val="22"/>
        </w:rPr>
        <w:t>execução material</w:t>
      </w:r>
      <w:r>
        <w:rPr>
          <w:rFonts w:ascii="Arial" w:hAnsi="Arial"/>
          <w:b w:val="0"/>
          <w:i w:val="0"/>
          <w:color w:val="111827"/>
          <w:sz w:val="22"/>
        </w:rPr>
        <w:t xml:space="preserve"> do serviço para particulares (concessionárias e permissionárias de serviços públicos) mediante </w:t>
      </w:r>
      <w:r>
        <w:rPr>
          <w:rFonts w:ascii="Arial" w:hAnsi="Arial"/>
          <w:b/>
          <w:i w:val="0"/>
          <w:color w:val="111827"/>
          <w:sz w:val="22"/>
        </w:rPr>
        <w:t>contrato administrativo de concessão</w:t>
      </w:r>
      <w:r>
        <w:rPr>
          <w:rFonts w:ascii="Arial" w:hAnsi="Arial"/>
          <w:b w:val="0"/>
          <w:i w:val="0"/>
          <w:color w:val="111827"/>
          <w:sz w:val="22"/>
        </w:rPr>
        <w:t xml:space="preserve"> ou </w:t>
      </w:r>
      <w:r>
        <w:rPr>
          <w:rFonts w:ascii="Arial" w:hAnsi="Arial"/>
          <w:b/>
          <w:i w:val="0"/>
          <w:color w:val="111827"/>
          <w:sz w:val="22"/>
        </w:rPr>
        <w:t>ato unilateral de permissão</w:t>
      </w:r>
      <w:r>
        <w:rPr>
          <w:rFonts w:ascii="Arial" w:hAnsi="Arial"/>
          <w:b w:val="0"/>
          <w:i w:val="0"/>
          <w:color w:val="111827"/>
          <w:sz w:val="22"/>
        </w:rPr>
        <w:t>. A titularidade permanece nas mãos do poder concedente.</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Descentralização Territorial ou Geográfica:</w:t>
      </w:r>
      <w:r>
        <w:rPr>
          <w:rFonts w:ascii="Arial" w:hAnsi="Arial"/>
          <w:b w:val="0"/>
          <w:i w:val="0"/>
          <w:color w:val="111827"/>
          <w:sz w:val="22"/>
        </w:rPr>
        <w:t xml:space="preserve"> Ocorre na criação de Territórios Federais (entidades autárquicas geográficas com capacidade genérica de gestão local).</w:t>
      </w:r>
    </w:p>
    <w:p>
      <w:pPr>
        <w:keepNext/>
        <w:spacing w:before="200" w:after="80"/>
      </w:pPr>
      <w:r>
        <w:rPr>
          <w:rFonts w:ascii="Arial" w:hAnsi="Arial"/>
          <w:b/>
          <w:i w:val="0"/>
          <w:color w:val="2B6CB0"/>
          <w:sz w:val="24"/>
        </w:rPr>
        <w:t>1.2 Desconcentração e a Criação de Órgãos Públicos</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desconcentração</w:t>
      </w:r>
      <w:r>
        <w:rPr>
          <w:rFonts w:ascii="Arial" w:hAnsi="Arial"/>
          <w:b w:val="0"/>
          <w:i w:val="0"/>
          <w:color w:val="111827"/>
          <w:sz w:val="24"/>
        </w:rPr>
        <w:t xml:space="preserve"> é uma técnica puramente interna de divisão e distribuição de competências que ocorre </w:t>
      </w:r>
      <w:r>
        <w:rPr>
          <w:rFonts w:ascii="Arial" w:hAnsi="Arial"/>
          <w:b/>
          <w:i w:val="0"/>
          <w:color w:val="111827"/>
          <w:sz w:val="24"/>
        </w:rPr>
        <w:t>dentro de uma mesma pessoa jurídica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Não gera uma nova entidade dotada de personalidade jurídica; dá origem a </w:t>
      </w:r>
      <w:r>
        <w:rPr>
          <w:rFonts w:ascii="Arial" w:hAnsi="Arial"/>
          <w:b/>
          <w:i w:val="0"/>
          <w:color w:val="111827"/>
          <w:sz w:val="22"/>
        </w:rPr>
        <w:t>órgãos públicos despersonalizados</w:t>
      </w:r>
      <w:r>
        <w:rPr>
          <w:rFonts w:ascii="Arial" w:hAnsi="Arial"/>
          <w:b w:val="0"/>
          <w:i w:val="0"/>
          <w:color w:val="111827"/>
          <w:sz w:val="22"/>
        </w:rPr>
        <w:t xml:space="preserve"> (Ministérios, Secretarias de Estado, Diretorias, Departamentos).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Caracteriza-se por uma </w:t>
      </w:r>
      <w:r>
        <w:rPr>
          <w:rFonts w:ascii="Arial" w:hAnsi="Arial"/>
          <w:b/>
          <w:i w:val="0"/>
          <w:color w:val="111827"/>
          <w:sz w:val="22"/>
        </w:rPr>
        <w:t>relação estrita de hierarquia, subordinação e controle disciplinar</w:t>
      </w:r>
      <w:r>
        <w:rPr>
          <w:rFonts w:ascii="Arial" w:hAnsi="Arial"/>
          <w:b w:val="0"/>
          <w:i w:val="0"/>
          <w:color w:val="111827"/>
          <w:sz w:val="22"/>
        </w:rPr>
        <w:t xml:space="preserve"> entre a chefia superior e as unidades subordinadas.</w:t>
      </w:r>
    </w:p>
    <w:p>
      <w:pPr>
        <w:spacing w:line="276" w:lineRule="auto" w:before="20" w:after="40"/>
        <w:ind w:left="425"/>
      </w:pPr>
      <w:r>
        <w:rPr>
          <w:rFonts w:ascii="Arial" w:hAnsi="Arial"/>
          <w:b/>
          <w:color w:val="2B6CB0"/>
          <w:sz w:val="22"/>
        </w:rPr>
        <w:t xml:space="preserve">• </w:t>
      </w:r>
      <w:r>
        <w:rPr>
          <w:rFonts w:ascii="Arial" w:hAnsi="Arial"/>
          <w:b w:val="0"/>
          <w:i/>
          <w:color w:val="111827"/>
          <w:sz w:val="22"/>
        </w:rPr>
        <w:t>Teoria do Órgão (Imputação Volitiva):</w:t>
      </w:r>
      <w:r>
        <w:rPr>
          <w:rFonts w:ascii="Arial" w:hAnsi="Arial"/>
          <w:b w:val="0"/>
          <w:i w:val="0"/>
          <w:color w:val="111827"/>
          <w:sz w:val="22"/>
        </w:rPr>
        <w:t xml:space="preserve"> Os órgãos não possuem vontade própria autônoma nem patrimônio segregado; as manifestações volitivas de seus agentes são juridicamente imputadas à pessoa jurídica à qual o órgão se vincula.</w:t>
      </w:r>
    </w:p>
    <w:p>
      <w:pPr>
        <w:keepNext/>
        <w:spacing w:before="200" w:after="80"/>
      </w:pPr>
      <w:r>
        <w:rPr>
          <w:rFonts w:ascii="Arial" w:hAnsi="Arial"/>
          <w:b/>
          <w:i w:val="0"/>
          <w:color w:val="2B6CB0"/>
          <w:sz w:val="24"/>
        </w:rPr>
        <w:t>1.3 Quadro Distintivo: Descentralização vs. Desconcentração</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Descentralização Administrativa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Desconcentração Administrativa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Pessoas Jurídicas Envolvidas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Envolve </w:t>
            </w:r>
            <w:r>
              <w:rPr>
                <w:rFonts w:ascii="Arial" w:hAnsi="Arial"/>
                <w:b/>
                <w:i w:val="0"/>
                <w:color w:val="111827"/>
                <w:sz w:val="19"/>
              </w:rPr>
              <w:t>duas ou mais pessoas jurídicas distintas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Ocorre </w:t>
            </w:r>
            <w:r>
              <w:rPr>
                <w:rFonts w:ascii="Arial" w:hAnsi="Arial"/>
                <w:b/>
                <w:i w:val="0"/>
                <w:color w:val="111827"/>
                <w:sz w:val="19"/>
              </w:rPr>
              <w:t>dentro de uma única pessoa jurídica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Criação Resultante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Cria </w:t>
            </w:r>
            <w:r>
              <w:rPr>
                <w:rFonts w:ascii="Arial" w:hAnsi="Arial"/>
                <w:b/>
                <w:i w:val="0"/>
                <w:color w:val="111827"/>
                <w:sz w:val="19"/>
              </w:rPr>
              <w:t>novas entidades</w:t>
            </w:r>
            <w:r>
              <w:rPr>
                <w:rFonts w:ascii="Arial" w:hAnsi="Arial"/>
                <w:b w:val="0"/>
                <w:i w:val="0"/>
                <w:color w:val="111827"/>
                <w:sz w:val="19"/>
              </w:rPr>
              <w:t xml:space="preserve"> autônomas da Administração Indireta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Cria </w:t>
            </w:r>
            <w:r>
              <w:rPr>
                <w:rFonts w:ascii="Arial" w:hAnsi="Arial"/>
                <w:b/>
                <w:i w:val="0"/>
                <w:color w:val="111827"/>
                <w:sz w:val="19"/>
              </w:rPr>
              <w:t>órgãos públicos</w:t>
            </w:r>
            <w:r>
              <w:rPr>
                <w:rFonts w:ascii="Arial" w:hAnsi="Arial"/>
                <w:b w:val="0"/>
                <w:i w:val="0"/>
                <w:color w:val="111827"/>
                <w:sz w:val="19"/>
              </w:rPr>
              <w:t xml:space="preserve"> despersonalizados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Vínculo Jurídico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há hierarquia nem subordinação</w:t>
            </w:r>
            <w:r>
              <w:rPr>
                <w:rFonts w:ascii="Arial" w:hAnsi="Arial"/>
                <w:b w:val="0"/>
                <w:i w:val="0"/>
                <w:color w:val="111827"/>
                <w:sz w:val="19"/>
              </w:rPr>
              <w:t xml:space="preserve"> (há apenas vinculação / tutela finalística)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Há relação estrita de hierarquia e subordinação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Mnemônico Visual FCC</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Descentrali</w:t>
            </w:r>
            <w:r>
              <w:rPr>
                <w:rFonts w:ascii="Arial" w:hAnsi="Arial"/>
                <w:b/>
                <w:i w:val="0"/>
                <w:color w:val="111827"/>
                <w:sz w:val="19"/>
              </w:rPr>
              <w:t>Z</w:t>
            </w:r>
            <w:r>
              <w:rPr>
                <w:rFonts w:ascii="Arial" w:hAnsi="Arial"/>
                <w:b w:val="0"/>
                <w:i w:val="0"/>
                <w:color w:val="111827"/>
                <w:sz w:val="19"/>
              </w:rPr>
              <w:t xml:space="preserve">ação </w:t>
            </w:r>
            <w:r>
              <w:rPr>
                <w:rFonts w:ascii="Cambria Math" w:hAnsi="Cambria Math"/>
                <w:i/>
                <w:color w:val="1B365D"/>
                <w:sz w:val="19"/>
              </w:rPr>
              <w:t>\rightarrow</w:t>
            </w:r>
            <w:r>
              <w:rPr>
                <w:rFonts w:ascii="Arial" w:hAnsi="Arial"/>
                <w:b w:val="0"/>
                <w:i w:val="0"/>
                <w:color w:val="111827"/>
                <w:sz w:val="19"/>
              </w:rPr>
              <w:t xml:space="preserve"> Gera </w:t>
            </w:r>
            <w:r>
              <w:rPr>
                <w:rFonts w:ascii="Arial" w:hAnsi="Arial"/>
                <w:b/>
                <w:i w:val="0"/>
                <w:color w:val="111827"/>
                <w:sz w:val="19"/>
              </w:rPr>
              <w:t>E</w:t>
            </w:r>
            <w:r>
              <w:rPr>
                <w:rFonts w:ascii="Arial" w:hAnsi="Arial"/>
                <w:b w:val="0"/>
                <w:i w:val="0"/>
                <w:color w:val="111827"/>
                <w:sz w:val="19"/>
              </w:rPr>
              <w:t>ntidades externas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Desconcen</w:t>
            </w:r>
            <w:r>
              <w:rPr>
                <w:rFonts w:ascii="Arial" w:hAnsi="Arial"/>
                <w:b/>
                <w:i w:val="0"/>
                <w:color w:val="111827"/>
                <w:sz w:val="19"/>
              </w:rPr>
              <w:t>T</w:t>
            </w:r>
            <w:r>
              <w:rPr>
                <w:rFonts w:ascii="Arial" w:hAnsi="Arial"/>
                <w:b w:val="0"/>
                <w:i w:val="0"/>
                <w:color w:val="111827"/>
                <w:sz w:val="19"/>
              </w:rPr>
              <w:t xml:space="preserve">ração </w:t>
            </w:r>
            <w:r>
              <w:rPr>
                <w:rFonts w:ascii="Cambria Math" w:hAnsi="Cambria Math"/>
                <w:i/>
                <w:color w:val="1B365D"/>
                <w:sz w:val="19"/>
              </w:rPr>
              <w:t>\rightarrow</w:t>
            </w:r>
            <w:r>
              <w:rPr>
                <w:rFonts w:ascii="Arial" w:hAnsi="Arial"/>
                <w:b w:val="0"/>
                <w:i w:val="0"/>
                <w:color w:val="111827"/>
                <w:sz w:val="19"/>
              </w:rPr>
              <w:t xml:space="preserve"> Gera </w:t>
            </w:r>
            <w:r>
              <w:rPr>
                <w:rFonts w:ascii="Arial" w:hAnsi="Arial"/>
                <w:b/>
                <w:i w:val="0"/>
                <w:color w:val="111827"/>
                <w:sz w:val="19"/>
              </w:rPr>
              <w:t>Ó</w:t>
            </w:r>
            <w:r>
              <w:rPr>
                <w:rFonts w:ascii="Arial" w:hAnsi="Arial"/>
                <w:b w:val="0"/>
                <w:i w:val="0"/>
                <w:color w:val="111827"/>
                <w:sz w:val="19"/>
              </w:rPr>
              <w:t>rgãos internos</w:t>
            </w:r>
          </w:p>
        </w:tc>
      </w:tr>
    </w:tbl>
    <w:p>
      <w:pPr>
        <w:spacing w:after="120"/>
      </w:pPr>
    </w:p>
    <w:p>
      <w:pPr>
        <w:keepNext/>
        <w:spacing w:before="280" w:after="120"/>
      </w:pPr>
      <w:r>
        <w:rPr>
          <w:rFonts w:ascii="Arial" w:hAnsi="Arial"/>
          <w:b/>
          <w:i w:val="0"/>
          <w:color w:val="2C5282"/>
          <w:sz w:val="28"/>
        </w:rPr>
        <w:t>2. Entidades da Administração Indireta</w:t>
      </w:r>
    </w:p>
    <w:p>
      <w:pPr>
        <w:spacing w:line="360" w:lineRule="auto" w:before="0" w:after="80"/>
        <w:jc w:val="both"/>
      </w:pPr>
      <w:r>
        <w:rPr>
          <w:rFonts w:ascii="Arial" w:hAnsi="Arial"/>
          <w:b w:val="0"/>
          <w:i w:val="0"/>
          <w:color w:val="111827"/>
          <w:sz w:val="24"/>
        </w:rPr>
        <w:t>A Administração Indireta é o conjunto de entes descentralizados aos quais a lei confere personalidade jurídica própria para desempenhar atividades especializadas de interesse coletivo. Rege-se pelo art. 37, XIX, da CF/88.</w:t>
      </w:r>
    </w:p>
    <w:p>
      <w:pPr>
        <w:spacing w:after="120"/>
      </w:pPr>
    </w:p>
    <w:p>
      <w:pPr>
        <w:keepNext/>
        <w:spacing w:before="200" w:after="80"/>
      </w:pPr>
      <w:r>
        <w:rPr>
          <w:rFonts w:ascii="Arial" w:hAnsi="Arial"/>
          <w:b/>
          <w:i w:val="0"/>
          <w:color w:val="2B6CB0"/>
          <w:sz w:val="24"/>
        </w:rPr>
        <w:t>2.1 Autarquias e Autarquias de Regime Especial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Conceito:</w:t>
      </w:r>
      <w:r>
        <w:rPr>
          <w:rFonts w:ascii="Arial" w:hAnsi="Arial"/>
          <w:b w:val="0"/>
          <w:i w:val="0"/>
          <w:color w:val="111827"/>
          <w:sz w:val="22"/>
        </w:rPr>
        <w:t xml:space="preserve"> Pessoa jurídica de </w:t>
      </w:r>
      <w:r>
        <w:rPr>
          <w:rFonts w:ascii="Arial" w:hAnsi="Arial"/>
          <w:b/>
          <w:i w:val="0"/>
          <w:color w:val="111827"/>
          <w:sz w:val="22"/>
        </w:rPr>
        <w:t>direito público</w:t>
      </w:r>
      <w:r>
        <w:rPr>
          <w:rFonts w:ascii="Arial" w:hAnsi="Arial"/>
          <w:b w:val="0"/>
          <w:i w:val="0"/>
          <w:color w:val="111827"/>
          <w:sz w:val="22"/>
        </w:rPr>
        <w:t xml:space="preserve">, instituída diretamente por </w:t>
      </w:r>
      <w:r>
        <w:rPr>
          <w:rFonts w:ascii="Arial" w:hAnsi="Arial"/>
          <w:b/>
          <w:i w:val="0"/>
          <w:color w:val="111827"/>
          <w:sz w:val="22"/>
        </w:rPr>
        <w:t>lei específica</w:t>
      </w:r>
      <w:r>
        <w:rPr>
          <w:rFonts w:ascii="Arial" w:hAnsi="Arial"/>
          <w:b w:val="0"/>
          <w:i w:val="0"/>
          <w:color w:val="111827"/>
          <w:sz w:val="22"/>
        </w:rPr>
        <w:t>, para desempenhar atividades típicas e exclusivas de Estado que requeiram gestão administrativa e financeira descentralizada.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Regime Jurídico:</w:t>
      </w:r>
      <w:r>
        <w:rPr>
          <w:rFonts w:ascii="Arial" w:hAnsi="Arial"/>
          <w:b w:val="0"/>
          <w:i w:val="0"/>
          <w:color w:val="111827"/>
          <w:sz w:val="22"/>
        </w:rPr>
        <w:t xml:space="preserve"> Totalmente público. Seus bens são públicos (impenhoráveis, inalienáveis e imprescritíveis); gozam de </w:t>
      </w:r>
      <w:r>
        <w:rPr>
          <w:rFonts w:ascii="Arial" w:hAnsi="Arial"/>
          <w:b/>
          <w:i w:val="0"/>
          <w:color w:val="111827"/>
          <w:sz w:val="22"/>
        </w:rPr>
        <w:t>imunidade tributária recíproca</w:t>
      </w:r>
      <w:r>
        <w:rPr>
          <w:rFonts w:ascii="Arial" w:hAnsi="Arial"/>
          <w:b w:val="0"/>
          <w:i w:val="0"/>
          <w:color w:val="111827"/>
          <w:sz w:val="22"/>
        </w:rPr>
        <w:t xml:space="preserve"> (CF, art. 150, § 2º) sobre patrimônio, renda e serviços vinculados a suas finalidades; seus servidores submetem-se ao regime estatutário do respectivo ente; e suas dívidas judiciais são quitadas mediante precatórios.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Autarquias em Regime Especial (Agências Reguladoras):</w:t>
      </w:r>
      <w:r>
        <w:rPr>
          <w:rFonts w:ascii="Arial" w:hAnsi="Arial"/>
          <w:b w:val="0"/>
          <w:i w:val="0"/>
          <w:color w:val="111827"/>
          <w:sz w:val="22"/>
        </w:rPr>
        <w:t xml:space="preserve"> Autarquias dotadas de maior autonomia institucional, financeira e decisória. Caracterizam-se por: dirigentes investidos com mandato fixo após sabatina legislativa (estabilidade no mandato, perda do cargo apenas nas hipóteses legais); poder normativo técnico regulatório; e inexistência de recurso hierárquico impróprio para os Ministérios/Secretarias sobre decisões técnicas de mérito.</w:t>
      </w:r>
    </w:p>
    <w:p>
      <w:pPr>
        <w:keepNext/>
        <w:spacing w:before="200" w:after="80"/>
      </w:pPr>
      <w:r>
        <w:rPr>
          <w:rFonts w:ascii="Arial" w:hAnsi="Arial"/>
          <w:b/>
          <w:i w:val="0"/>
          <w:color w:val="2B6CB0"/>
          <w:sz w:val="24"/>
        </w:rPr>
        <w:t>2.2 Fundações Públicas (Direito Público vs. Direito Privado)</w:t>
      </w:r>
    </w:p>
    <w:p>
      <w:pPr>
        <w:spacing w:line="360" w:lineRule="auto" w:before="0" w:after="80"/>
        <w:jc w:val="both"/>
      </w:pPr>
      <w:r>
        <w:rPr>
          <w:rFonts w:ascii="Arial" w:hAnsi="Arial"/>
          <w:b w:val="0"/>
          <w:i w:val="0"/>
          <w:color w:val="111827"/>
          <w:sz w:val="24"/>
        </w:rPr>
        <w:t>Entidades com patrimônio personalizado voltadas a finalidades sociais, de saúde, educação, cultura ou pesquisa (sem fins lucrativos):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Fundação Pública de Direito Público (Fundação Autárquica / Autarquia Fundacional):</w:t>
      </w:r>
      <w:r>
        <w:rPr>
          <w:rFonts w:ascii="Arial" w:hAnsi="Arial"/>
          <w:b w:val="0"/>
          <w:i w:val="0"/>
          <w:color w:val="111827"/>
          <w:sz w:val="22"/>
        </w:rPr>
        <w:t xml:space="preserve"> Criada diretamente por lei específica. Equipara-se material e formalmente a uma autarquia em direitos, deveres, prerrogativas e imunidades.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Fundação Pública de Direito Privado:</w:t>
      </w:r>
      <w:r>
        <w:rPr>
          <w:rFonts w:ascii="Arial" w:hAnsi="Arial"/>
          <w:b w:val="0"/>
          <w:i w:val="0"/>
          <w:color w:val="111827"/>
          <w:sz w:val="22"/>
        </w:rPr>
        <w:t xml:space="preserve"> Tem sua criação </w:t>
      </w:r>
      <w:r>
        <w:rPr>
          <w:rFonts w:ascii="Arial" w:hAnsi="Arial"/>
          <w:b/>
          <w:i w:val="0"/>
          <w:color w:val="111827"/>
          <w:sz w:val="22"/>
        </w:rPr>
        <w:t>autorizada por lei específica</w:t>
      </w:r>
      <w:r>
        <w:rPr>
          <w:rFonts w:ascii="Arial" w:hAnsi="Arial"/>
          <w:b w:val="0"/>
          <w:i w:val="0"/>
          <w:color w:val="111827"/>
          <w:sz w:val="22"/>
        </w:rPr>
        <w:t xml:space="preserve">, nascendo juridicamente com a inscrição de seus atos constitutivos no Cartório de Registro Civil das Pessoas Jurídicas. O art. 37, XIX, da CF exige a edição de </w:t>
      </w:r>
      <w:r>
        <w:rPr>
          <w:rFonts w:ascii="Arial" w:hAnsi="Arial"/>
          <w:b/>
          <w:i w:val="0"/>
          <w:color w:val="111827"/>
          <w:sz w:val="22"/>
        </w:rPr>
        <w:t>lei complementar para definir as áreas de sua atuação</w:t>
      </w:r>
      <w:r>
        <w:rPr>
          <w:rFonts w:ascii="Arial" w:hAnsi="Arial"/>
          <w:b w:val="0"/>
          <w:i w:val="0"/>
          <w:color w:val="111827"/>
          <w:sz w:val="22"/>
        </w:rPr>
        <w:t>.</w:t>
      </w:r>
    </w:p>
    <w:p>
      <w:pPr>
        <w:keepNext/>
        <w:spacing w:before="200" w:after="80"/>
      </w:pPr>
      <w:r>
        <w:rPr>
          <w:rFonts w:ascii="Arial" w:hAnsi="Arial"/>
          <w:b/>
          <w:i w:val="0"/>
          <w:color w:val="2B6CB0"/>
          <w:sz w:val="24"/>
        </w:rPr>
        <w:t>2.3 Empresas Públicas e Sociedades de Economia Mista</w:t>
      </w:r>
    </w:p>
    <w:p>
      <w:pPr>
        <w:spacing w:line="360" w:lineRule="auto" w:before="0" w:after="80"/>
        <w:jc w:val="both"/>
      </w:pPr>
      <w:r>
        <w:rPr>
          <w:rFonts w:ascii="Arial" w:hAnsi="Arial"/>
          <w:b w:val="0"/>
          <w:i w:val="0"/>
          <w:color w:val="111827"/>
          <w:sz w:val="24"/>
        </w:rPr>
        <w:t>São as empresas estatais, pessoas jurídicas de direito privado instituídas para exploração de atividade econômica de produção ou comercialização de bens/serviços ou para prestação de serviços públicos:</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Distintivo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Empresa Pública (EP)</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Sociedade de Economia Mista (SEM)</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Composição Societária do Capital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100% Capital Público</w:t>
            </w:r>
            <w:r>
              <w:rPr>
                <w:rFonts w:ascii="Arial" w:hAnsi="Arial"/>
                <w:b w:val="0"/>
                <w:i w:val="0"/>
                <w:color w:val="111827"/>
                <w:sz w:val="19"/>
              </w:rPr>
              <w:t xml:space="preserve"> (admitida a copropriedade entre entes estatais diversos)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Capital Misto</w:t>
            </w:r>
            <w:r>
              <w:rPr>
                <w:rFonts w:ascii="Arial" w:hAnsi="Arial"/>
                <w:b w:val="0"/>
                <w:i w:val="0"/>
                <w:color w:val="111827"/>
                <w:sz w:val="19"/>
              </w:rPr>
              <w:t xml:space="preserve"> (Público + Privado; o Estado detém a maioria das ações com direito a voto)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Forma Societária Admitida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Qualquer modalidade societária</w:t>
            </w:r>
            <w:r>
              <w:rPr>
                <w:rFonts w:ascii="Arial" w:hAnsi="Arial"/>
                <w:b w:val="0"/>
                <w:i w:val="0"/>
                <w:color w:val="111827"/>
                <w:sz w:val="19"/>
              </w:rPr>
              <w:t xml:space="preserve"> (Ltda., S.A., etc.)</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Obrigatoriamente Sociedade Anônima (S/A)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Foro Competente na Justiça (União)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Justiça Federal</w:t>
            </w:r>
            <w:r>
              <w:rPr>
                <w:rFonts w:ascii="Arial" w:hAnsi="Arial"/>
                <w:b w:val="0"/>
                <w:i w:val="0"/>
                <w:color w:val="111827"/>
                <w:sz w:val="19"/>
              </w:rPr>
              <w:t xml:space="preserve"> (CF, art. 109, I)</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Justiça Estadual</w:t>
            </w:r>
            <w:r>
              <w:rPr>
                <w:rFonts w:ascii="Arial" w:hAnsi="Arial"/>
                <w:b w:val="0"/>
                <w:i w:val="0"/>
                <w:color w:val="111827"/>
                <w:sz w:val="19"/>
              </w:rPr>
              <w:t xml:space="preserve"> (STF, Súmula 556)</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Foro Competente (Estados/Municípios)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Justiça Estadual</w:t>
            </w:r>
            <w:r>
              <w:rPr>
                <w:rFonts w:ascii="Arial" w:hAnsi="Arial"/>
                <w:b w:val="0"/>
                <w:i w:val="0"/>
                <w:color w:val="111827"/>
                <w:sz w:val="19"/>
              </w:rPr>
              <w:t xml:space="preserve"> comum</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Justiça Estadual</w:t>
            </w:r>
            <w:r>
              <w:rPr>
                <w:rFonts w:ascii="Arial" w:hAnsi="Arial"/>
                <w:b w:val="0"/>
                <w:i w:val="0"/>
                <w:color w:val="111827"/>
                <w:sz w:val="19"/>
              </w:rPr>
              <w:t xml:space="preserve"> comum</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Modo de Criação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Autorizada por lei específica</w:t>
            </w:r>
            <w:r>
              <w:rPr>
                <w:rFonts w:ascii="Arial" w:hAnsi="Arial"/>
                <w:b w:val="0"/>
                <w:i w:val="0"/>
                <w:color w:val="111827"/>
                <w:sz w:val="19"/>
              </w:rPr>
              <w:t xml:space="preserve"> + Registro na Junta/Cartório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Autorizada por lei específica</w:t>
            </w:r>
            <w:r>
              <w:rPr>
                <w:rFonts w:ascii="Arial" w:hAnsi="Arial"/>
                <w:b w:val="0"/>
                <w:i w:val="0"/>
                <w:color w:val="111827"/>
                <w:sz w:val="19"/>
              </w:rPr>
              <w:t xml:space="preserve"> + Registro na Junta/Cartório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Exemplos Nacionais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Caixa Econômica Federal (CEF), Correios (ECT), BNDES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Banco do Brasil (BB), Petrobras, Sabesp</w:t>
            </w:r>
          </w:p>
        </w:tc>
      </w:tr>
    </w:tbl>
    <w:p>
      <w:pPr>
        <w:spacing w:after="120"/>
      </w:pPr>
    </w:p>
    <w:p>
      <w:pPr>
        <w:keepNext/>
        <w:spacing w:before="200" w:after="80"/>
      </w:pPr>
      <w:r>
        <w:rPr>
          <w:rFonts w:ascii="Arial" w:hAnsi="Arial"/>
          <w:b/>
          <w:i w:val="0"/>
          <w:color w:val="2B6CB0"/>
          <w:sz w:val="24"/>
        </w:rPr>
        <w:t>2.4 O Estatuto Jurídico das Estatais (Lei nº 13.303/2016)</w:t>
      </w:r>
    </w:p>
    <w:p>
      <w:pPr>
        <w:spacing w:line="360" w:lineRule="auto" w:before="0" w:after="80"/>
        <w:jc w:val="both"/>
      </w:pPr>
      <w:r>
        <w:rPr>
          <w:rFonts w:ascii="Arial" w:hAnsi="Arial"/>
          <w:b w:val="0"/>
          <w:i w:val="0"/>
          <w:color w:val="111827"/>
          <w:sz w:val="24"/>
        </w:rPr>
        <w:t>A Lei Federal nº 13.303/2016 instituiu o estatuto jurídico unificado de governança e contratações para todas as empresas públicas e sociedades de economia mista da União, Estados, DF e Municípios: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Governança Corporativa e Conformidade:</w:t>
      </w:r>
      <w:r>
        <w:rPr>
          <w:rFonts w:ascii="Arial" w:hAnsi="Arial"/>
          <w:b w:val="0"/>
          <w:i w:val="0"/>
          <w:color w:val="111827"/>
          <w:sz w:val="22"/>
        </w:rPr>
        <w:t xml:space="preserve"> Exigência de comitês estatutários de auditoria e risco, regras de integridade e requisitos rigorosos de idoneidade técnica e experiência profissional para a indicação de membros do Conselho de Administração e Diretorias Executivas (vedação a ocupantes de cargos políticos e sindicais partidários).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Regime Próprio de Licitações das Estatais:</w:t>
      </w:r>
      <w:r>
        <w:rPr>
          <w:rFonts w:ascii="Arial" w:hAnsi="Arial"/>
          <w:b w:val="0"/>
          <w:i w:val="0"/>
          <w:color w:val="111827"/>
          <w:sz w:val="22"/>
        </w:rPr>
        <w:t xml:space="preserve"> As estatais possuem regime licitatório próprio disciplinado pelos arts. 28 a 84 da Lei 13.303/2016, com modalidades licitatórias simplificadas e procedimentos de negociação direta, não se sujeitando como regra geral à Lei nº 14.133/2021.</w:t>
      </w:r>
    </w:p>
    <w:p>
      <w:pPr>
        <w:keepNext/>
        <w:spacing w:before="200" w:after="80"/>
      </w:pPr>
      <w:r>
        <w:rPr>
          <w:rFonts w:ascii="Arial" w:hAnsi="Arial"/>
          <w:b/>
          <w:i w:val="0"/>
          <w:color w:val="2B6CB0"/>
          <w:sz w:val="24"/>
        </w:rPr>
        <w:t>2.5 Controle Finalístico, Tutela e Supervisão Ministerial</w:t>
      </w:r>
    </w:p>
    <w:p>
      <w:pPr>
        <w:spacing w:line="360" w:lineRule="auto" w:before="0" w:after="80"/>
        <w:jc w:val="both"/>
      </w:pPr>
      <w:r>
        <w:rPr>
          <w:rFonts w:ascii="Arial" w:hAnsi="Arial"/>
          <w:b w:val="0"/>
          <w:i w:val="0"/>
          <w:color w:val="111827"/>
          <w:sz w:val="24"/>
        </w:rPr>
        <w:t xml:space="preserve">Entre a Administração Direta e as entidades da Administração Indireta </w:t>
      </w:r>
      <w:r>
        <w:rPr>
          <w:rFonts w:ascii="Arial" w:hAnsi="Arial"/>
          <w:b/>
          <w:i w:val="0"/>
          <w:color w:val="111827"/>
          <w:sz w:val="24"/>
        </w:rPr>
        <w:t>NÃO existe subordinação hierárquica</w:t>
      </w:r>
      <w:r>
        <w:rPr>
          <w:rFonts w:ascii="Arial" w:hAnsi="Arial"/>
          <w:b w:val="0"/>
          <w:i w:val="0"/>
          <w:color w:val="111827"/>
          <w:sz w:val="24"/>
        </w:rPr>
        <w:t xml:space="preserve">. O controle exercido pelo ente instituidor denomina-se </w:t>
      </w:r>
      <w:r>
        <w:rPr>
          <w:rFonts w:ascii="Arial" w:hAnsi="Arial"/>
          <w:b/>
          <w:i w:val="0"/>
          <w:color w:val="111827"/>
          <w:sz w:val="24"/>
        </w:rPr>
        <w:t>controle finalístico, supervisão ministerial ou tutela administrativa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É um controle de conformidade com os fins para os quais a entidade foi criada (</w:t>
      </w:r>
      <w:r>
        <w:rPr>
          <w:rFonts w:ascii="Arial" w:hAnsi="Arial"/>
          <w:b w:val="0"/>
          <w:i/>
          <w:color w:val="111827"/>
          <w:sz w:val="22"/>
        </w:rPr>
        <w:t>princípio da especialidade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Não autoriza intervenções abusivas no mérito ou na gestão interna autônoma, limitando-se aos atos expressamente autorizados em lei.</w:t>
      </w:r>
    </w:p>
    <w:p>
      <w:pPr>
        <w:keepNext/>
        <w:spacing w:before="280" w:after="120"/>
      </w:pPr>
      <w:r>
        <w:rPr>
          <w:rFonts w:ascii="Arial" w:hAnsi="Arial"/>
          <w:b/>
          <w:i w:val="0"/>
          <w:color w:val="2C5282"/>
          <w:sz w:val="28"/>
        </w:rPr>
        <w:t>3. O Terceiro Setor e Entidades Paraestatais</w:t>
      </w:r>
    </w:p>
    <w:p>
      <w:pPr>
        <w:spacing w:line="360" w:lineRule="auto" w:before="0" w:after="80"/>
        <w:jc w:val="both"/>
      </w:pPr>
      <w:r>
        <w:rPr>
          <w:rFonts w:ascii="Arial" w:hAnsi="Arial"/>
          <w:b w:val="0"/>
          <w:i w:val="0"/>
          <w:color w:val="111827"/>
          <w:sz w:val="24"/>
        </w:rPr>
        <w:t>O Terceiro Setor compreende entidades privadas sem fins lucrativos que colaboram voluntariamente com o Estado na consecução de finalidades públicas e sociais, sem integrar a estrutura formal da Administração Pública.</w:t>
      </w:r>
    </w:p>
    <w:p>
      <w:pPr>
        <w:keepNext/>
        <w:spacing w:before="200" w:after="80"/>
      </w:pPr>
      <w:r>
        <w:rPr>
          <w:rFonts w:ascii="Arial" w:hAnsi="Arial"/>
          <w:b/>
          <w:i w:val="0"/>
          <w:color w:val="2B6CB0"/>
          <w:sz w:val="24"/>
        </w:rPr>
        <w:t>3.1 Serviços Sociais Autônomos (Sistema 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Pessoas jurídicas de direito privado criadas por autorização legislativa para prestar serviços de interesse social e capacitação profissional a categorias de empregados (SESI, SENAI, SESC, SENAC, SEST, SENAT, SEBRAE).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Não integram a Administração Pública; financiam-se mediante contribuições parafiscais arrecadadas compulsoriamente pelo Estado. Submetem-se ao controle externo exercido pelo Tribunal de Contas quanto aos recursos parafiscais, mas possuem regulamentos próprios de licitação e processo seletivo simplificado para pessoal.</w:t>
      </w:r>
    </w:p>
    <w:p>
      <w:pPr>
        <w:keepNext/>
        <w:spacing w:before="200" w:after="80"/>
      </w:pPr>
      <w:r>
        <w:rPr>
          <w:rFonts w:ascii="Arial" w:hAnsi="Arial"/>
          <w:b/>
          <w:i w:val="0"/>
          <w:color w:val="2B6CB0"/>
          <w:sz w:val="24"/>
        </w:rPr>
        <w:t>3.2 Organizações Sociais (OS) e Contratos de Gestão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Pessoas jurídicas de direito privado sem fins lucrativos que recebem a qualificação jurídica de OS pelo Poder Executivo (Lei nº 9.637/1998 e legislações estaduais congêneres).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Atuam na área de saúde, educação, cultura e pesquisa mediante a celebração de </w:t>
      </w:r>
      <w:r>
        <w:rPr>
          <w:rFonts w:ascii="Arial" w:hAnsi="Arial"/>
          <w:b/>
          <w:i w:val="0"/>
          <w:color w:val="111827"/>
          <w:sz w:val="22"/>
        </w:rPr>
        <w:t>Contrato de Gestão</w:t>
      </w:r>
      <w:r>
        <w:rPr>
          <w:rFonts w:ascii="Arial" w:hAnsi="Arial"/>
          <w:b w:val="0"/>
          <w:i w:val="0"/>
          <w:color w:val="111827"/>
          <w:sz w:val="22"/>
        </w:rPr>
        <w:t>. Podem receber fomento financeiro direto, dotações orçamentárias e cessão especial de servidores e bens públicos.</w:t>
      </w:r>
    </w:p>
    <w:p>
      <w:pPr>
        <w:keepNext/>
        <w:spacing w:before="200" w:after="80"/>
      </w:pPr>
      <w:r>
        <w:rPr>
          <w:rFonts w:ascii="Arial" w:hAnsi="Arial"/>
          <w:b/>
          <w:i w:val="0"/>
          <w:color w:val="2B6CB0"/>
          <w:sz w:val="24"/>
        </w:rPr>
        <w:t>3.3 OSCIPs e Termos de Parceria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Organizações da Sociedade Civil de Interesse Público regidas pela Lei nº 9.790/1999.</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vínculo de cooperação instrumentaliza-se formalmente por meio de </w:t>
      </w:r>
      <w:r>
        <w:rPr>
          <w:rFonts w:ascii="Arial" w:hAnsi="Arial"/>
          <w:b/>
          <w:i w:val="0"/>
          <w:color w:val="111827"/>
          <w:sz w:val="22"/>
        </w:rPr>
        <w:t>Termo de Parceria</w:t>
      </w:r>
      <w:r>
        <w:rPr>
          <w:rFonts w:ascii="Arial" w:hAnsi="Arial"/>
          <w:b w:val="0"/>
          <w:i w:val="0"/>
          <w:color w:val="111827"/>
          <w:sz w:val="22"/>
        </w:rPr>
        <w:t>.</w:t>
      </w:r>
    </w:p>
    <w:p>
      <w:pPr>
        <w:keepNext/>
        <w:spacing w:before="280" w:after="120"/>
      </w:pPr>
      <w:r>
        <w:rPr>
          <w:rFonts w:ascii="Arial" w:hAnsi="Arial"/>
          <w:b/>
          <w:i w:val="0"/>
          <w:color w:val="2C5282"/>
          <w:sz w:val="28"/>
        </w:rPr>
        <w:t>4. Poderes Administrativos e Prerrogativas Públicas</w:t>
      </w:r>
    </w:p>
    <w:p>
      <w:pPr>
        <w:spacing w:line="360" w:lineRule="auto" w:before="0" w:after="80"/>
        <w:jc w:val="both"/>
      </w:pPr>
      <w:r>
        <w:rPr>
          <w:rFonts w:ascii="Arial" w:hAnsi="Arial"/>
          <w:b w:val="0"/>
          <w:i w:val="0"/>
          <w:color w:val="111827"/>
          <w:sz w:val="24"/>
        </w:rPr>
        <w:t xml:space="preserve">Os poderes administrativos são prerrogativas instrumentais outorgadas aos agentes do Estado com a finalidade de viabilizar a satisfação do interesse público. Não constituem privilégios pessoais, mas verdadeiros </w:t>
      </w:r>
      <w:r>
        <w:rPr>
          <w:rFonts w:ascii="Arial" w:hAnsi="Arial"/>
          <w:b/>
          <w:i w:val="0"/>
          <w:color w:val="111827"/>
          <w:sz w:val="24"/>
        </w:rPr>
        <w:t>poderes-deveres</w:t>
      </w:r>
      <w:r>
        <w:rPr>
          <w:rFonts w:ascii="Arial" w:hAnsi="Arial"/>
          <w:b w:val="0"/>
          <w:i w:val="0"/>
          <w:color w:val="111827"/>
          <w:sz w:val="24"/>
        </w:rPr>
        <w:t xml:space="preserve"> (o dever de agir é indeclinável).</w:t>
      </w:r>
    </w:p>
    <w:p>
      <w:pPr>
        <w:keepNext/>
        <w:spacing w:before="200" w:after="80"/>
      </w:pPr>
      <w:r>
        <w:rPr>
          <w:rFonts w:ascii="Arial" w:hAnsi="Arial"/>
          <w:b/>
          <w:i w:val="0"/>
          <w:color w:val="2B6CB0"/>
          <w:sz w:val="24"/>
        </w:rPr>
        <w:t>4.1 Poder Vinculado vs. Poder Discricionário e o Mérito Administrativo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Poder Vinculado:</w:t>
      </w:r>
      <w:r>
        <w:rPr>
          <w:rFonts w:ascii="Arial" w:hAnsi="Arial"/>
          <w:b w:val="0"/>
          <w:i w:val="0"/>
          <w:color w:val="111827"/>
          <w:sz w:val="22"/>
        </w:rPr>
        <w:t xml:space="preserve"> A lei estabelece com precisão exaustiva todos os requisitos e a única conduta obrigatória a ser adotada pelo agente, inexistindo qualquer margem de liberdade ou juízo de conveniência (ex.: concessão de aposentadoria ao servidor que cumpriu todos os requisitos legais).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Poder Discricionário:</w:t>
      </w:r>
      <w:r>
        <w:rPr>
          <w:rFonts w:ascii="Arial" w:hAnsi="Arial"/>
          <w:b w:val="0"/>
          <w:i w:val="0"/>
          <w:color w:val="111827"/>
          <w:sz w:val="22"/>
        </w:rPr>
        <w:t xml:space="preserve"> A lei confere expressamente ao administrador uma margem controlada de livre apreciação para eleger a decisão mais adequada perante o caso concreto, com base na </w:t>
      </w:r>
      <w:r>
        <w:rPr>
          <w:rFonts w:ascii="Arial" w:hAnsi="Arial"/>
          <w:b/>
          <w:i w:val="0"/>
          <w:color w:val="111827"/>
          <w:sz w:val="22"/>
        </w:rPr>
        <w:t>conveniência e oportunidade</w:t>
      </w:r>
      <w:r>
        <w:rPr>
          <w:rFonts w:ascii="Arial" w:hAnsi="Arial"/>
          <w:b w:val="0"/>
          <w:i w:val="0"/>
          <w:color w:val="111827"/>
          <w:sz w:val="22"/>
        </w:rPr>
        <w:t xml:space="preserve"> (</w:t>
      </w:r>
      <w:r>
        <w:rPr>
          <w:rFonts w:ascii="Arial" w:hAnsi="Arial"/>
          <w:b/>
          <w:i w:val="0"/>
          <w:color w:val="111827"/>
          <w:sz w:val="22"/>
        </w:rPr>
        <w:t>Mérito Administrativo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Limites do Controle Judicial:</w:t>
      </w:r>
      <w:r>
        <w:rPr>
          <w:rFonts w:ascii="Arial" w:hAnsi="Arial"/>
          <w:b w:val="0"/>
          <w:i w:val="0"/>
          <w:color w:val="111827"/>
          <w:sz w:val="22"/>
        </w:rPr>
        <w:t xml:space="preserve"> O Poder Judiciário e o Tribunal de Contas </w:t>
      </w:r>
      <w:r>
        <w:rPr>
          <w:rFonts w:ascii="Arial" w:hAnsi="Arial"/>
          <w:b/>
          <w:i w:val="0"/>
          <w:color w:val="111827"/>
          <w:sz w:val="22"/>
        </w:rPr>
        <w:t>não podem invadir o mérito administrativo puro</w:t>
      </w:r>
      <w:r>
        <w:rPr>
          <w:rFonts w:ascii="Arial" w:hAnsi="Arial"/>
          <w:b w:val="0"/>
          <w:i w:val="0"/>
          <w:color w:val="111827"/>
          <w:sz w:val="22"/>
        </w:rPr>
        <w:t xml:space="preserve"> (não podem substituir a escolha legítima e discricionária do gestor); todavia, exercem pleno controle de legalidade, proporcionalidade, razoabilidade e moralidade sobre o ato.</w:t>
      </w:r>
    </w:p>
    <w:p>
      <w:pPr>
        <w:keepNext/>
        <w:spacing w:before="200" w:after="80"/>
      </w:pPr>
      <w:r>
        <w:rPr>
          <w:rFonts w:ascii="Arial" w:hAnsi="Arial"/>
          <w:b/>
          <w:i w:val="0"/>
          <w:color w:val="2B6CB0"/>
          <w:sz w:val="24"/>
        </w:rPr>
        <w:t>4.2 Poder Hierárquico: Delegação, Avocação e a Regra do CENORA</w:t>
      </w:r>
    </w:p>
    <w:p>
      <w:pPr>
        <w:spacing w:line="360" w:lineRule="auto" w:before="0" w:after="80"/>
        <w:jc w:val="both"/>
      </w:pPr>
      <w:r>
        <w:rPr>
          <w:rFonts w:ascii="Arial" w:hAnsi="Arial"/>
          <w:b w:val="0"/>
          <w:i w:val="0"/>
          <w:color w:val="111827"/>
          <w:sz w:val="24"/>
        </w:rPr>
        <w:t>O poder hierárquico distribui e escalona funções entre órgãos e agentes subordinados, conferindo poderes de dar ordens, fiscalizar, revisar atos, delegar e avocar competências: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Delegação:</w:t>
      </w:r>
      <w:r>
        <w:rPr>
          <w:rFonts w:ascii="Arial" w:hAnsi="Arial"/>
          <w:b w:val="0"/>
          <w:i w:val="0"/>
          <w:color w:val="111827"/>
          <w:sz w:val="22"/>
        </w:rPr>
        <w:t xml:space="preserve"> Transferência temporária do exercício de certas competências para órgãos ou agentes subordinados ou de mesmo nível hierárquico.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Vedações Absolutas à Delegação (Mnemônico CENORA - Lei 9.784/99, art. 13):</w:t>
      </w:r>
    </w:p>
    <w:p>
      <w:pPr>
        <w:spacing w:line="276" w:lineRule="auto" w:before="20" w:after="40"/>
        <w:ind w:left="992"/>
      </w:pPr>
      <w:r>
        <w:rPr>
          <w:rFonts w:ascii="Arial" w:hAnsi="Arial"/>
          <w:b/>
          <w:color w:val="2B6CB0"/>
          <w:sz w:val="22"/>
        </w:rPr>
        <w:t xml:space="preserve">• </w:t>
      </w:r>
      <w:r>
        <w:rPr>
          <w:rFonts w:ascii="Arial" w:hAnsi="Arial"/>
          <w:b/>
          <w:i w:val="0"/>
          <w:color w:val="111827"/>
          <w:sz w:val="22"/>
        </w:rPr>
        <w:t>CE:</w:t>
      </w:r>
      <w:r>
        <w:rPr>
          <w:rFonts w:ascii="Arial" w:hAnsi="Arial"/>
          <w:b w:val="0"/>
          <w:i w:val="0"/>
          <w:color w:val="111827"/>
          <w:sz w:val="22"/>
        </w:rPr>
        <w:t xml:space="preserve"> Competência </w:t>
      </w:r>
      <w:r>
        <w:rPr>
          <w:rFonts w:ascii="Arial" w:hAnsi="Arial"/>
          <w:b/>
          <w:i w:val="0"/>
          <w:color w:val="111827"/>
          <w:sz w:val="22"/>
        </w:rPr>
        <w:t>Exclusiva</w:t>
      </w:r>
      <w:r>
        <w:rPr>
          <w:rFonts w:ascii="Arial" w:hAnsi="Arial"/>
          <w:b w:val="0"/>
          <w:i w:val="0"/>
          <w:color w:val="111827"/>
          <w:sz w:val="22"/>
        </w:rPr>
        <w:t xml:space="preserve"> conferida por lei a determinado órgão ou autoridade.</w:t>
      </w:r>
    </w:p>
    <w:p>
      <w:pPr>
        <w:spacing w:line="276" w:lineRule="auto" w:before="20" w:after="40"/>
        <w:ind w:left="992"/>
      </w:pPr>
      <w:r>
        <w:rPr>
          <w:rFonts w:ascii="Arial" w:hAnsi="Arial"/>
          <w:b/>
          <w:color w:val="2B6CB0"/>
          <w:sz w:val="22"/>
        </w:rPr>
        <w:t xml:space="preserve">• </w:t>
      </w:r>
      <w:r>
        <w:rPr>
          <w:rFonts w:ascii="Arial" w:hAnsi="Arial"/>
          <w:b/>
          <w:i w:val="0"/>
          <w:color w:val="111827"/>
          <w:sz w:val="22"/>
        </w:rPr>
        <w:t>NO:</w:t>
      </w:r>
      <w:r>
        <w:rPr>
          <w:rFonts w:ascii="Arial" w:hAnsi="Arial"/>
          <w:b w:val="0"/>
          <w:i w:val="0"/>
          <w:color w:val="111827"/>
          <w:sz w:val="22"/>
        </w:rPr>
        <w:t xml:space="preserve"> Edição de atos de caráter </w:t>
      </w:r>
      <w:r>
        <w:rPr>
          <w:rFonts w:ascii="Arial" w:hAnsi="Arial"/>
          <w:b/>
          <w:i w:val="0"/>
          <w:color w:val="111827"/>
          <w:sz w:val="22"/>
        </w:rPr>
        <w:t>Normativo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RA:</w:t>
      </w:r>
      <w:r>
        <w:rPr>
          <w:rFonts w:ascii="Arial" w:hAnsi="Arial"/>
          <w:b w:val="0"/>
          <w:i w:val="0"/>
          <w:color w:val="111827"/>
          <w:sz w:val="22"/>
        </w:rPr>
        <w:t xml:space="preserve"> Decisão de </w:t>
      </w:r>
      <w:r>
        <w:rPr>
          <w:rFonts w:ascii="Arial" w:hAnsi="Arial"/>
          <w:b/>
          <w:i w:val="0"/>
          <w:color w:val="111827"/>
          <w:sz w:val="22"/>
        </w:rPr>
        <w:t>Recursos Administrativos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CRÍTICO DE PROVA FCC:</w:t>
            </w:r>
          </w:p>
          <w:p>
            <w:pPr>
              <w:spacing w:line="288" w:lineRule="auto" w:before="40" w:after="40"/>
            </w:pPr>
            <w:r>
              <w:rPr>
                <w:rFonts w:ascii="Arial" w:hAnsi="Arial"/>
                <w:b w:val="0"/>
                <w:i w:val="0"/>
                <w:color w:val="111827"/>
                <w:sz w:val="21"/>
              </w:rPr>
              <w:t xml:space="preserve">A decisão de recursos administrativos é </w:t>
            </w:r>
            <w:r>
              <w:rPr>
                <w:rFonts w:ascii="Arial" w:hAnsi="Arial"/>
                <w:b/>
                <w:i w:val="0"/>
                <w:color w:val="111827"/>
                <w:sz w:val="21"/>
              </w:rPr>
              <w:t>terminantemente indelegável</w:t>
            </w:r>
            <w:r>
              <w:rPr>
                <w:rFonts w:ascii="Arial" w:hAnsi="Arial"/>
                <w:b w:val="0"/>
                <w:i w:val="0"/>
                <w:color w:val="111827"/>
                <w:sz w:val="21"/>
              </w:rPr>
              <w:t>! Se o titular de uma pasta delegar a um subordinado o julgamento de um recurso contra sanção proferida pelo órgão, a delegação é nula de pleno direito, pois violaria o duplo grau de julgamento administrativo.</w:t>
            </w:r>
          </w:p>
        </w:tc>
      </w:tr>
    </w:tbl>
    <w:p>
      <w:pPr>
        <w:spacing w:before="0" w:after="120"/>
      </w:pPr>
    </w:p>
    <w:p>
      <w:pPr>
        <w:keepNext/>
        <w:spacing w:before="200" w:after="80"/>
      </w:pPr>
      <w:r>
        <w:rPr>
          <w:rFonts w:ascii="Arial" w:hAnsi="Arial"/>
          <w:b/>
          <w:i w:val="0"/>
          <w:color w:val="2B6CB0"/>
          <w:sz w:val="24"/>
        </w:rPr>
        <w:t>4.3 Poder Disciplinar e Sanções Funcionais</w:t>
      </w:r>
    </w:p>
    <w:p>
      <w:pPr>
        <w:spacing w:line="360" w:lineRule="auto" w:before="0" w:after="80"/>
        <w:jc w:val="both"/>
      </w:pPr>
      <w:r>
        <w:rPr>
          <w:rFonts w:ascii="Arial" w:hAnsi="Arial"/>
          <w:b w:val="0"/>
          <w:i w:val="0"/>
          <w:color w:val="111827"/>
          <w:sz w:val="24"/>
        </w:rPr>
        <w:t xml:space="preserve">É a prerrogativa interna da Administração de apurar infrações e aplicar penalidades funcionais a agentes públicos submetidos à hierarquia estatal ou a </w:t>
      </w:r>
      <w:r>
        <w:rPr>
          <w:rFonts w:ascii="Arial" w:hAnsi="Arial"/>
          <w:b/>
          <w:i w:val="0"/>
          <w:color w:val="111827"/>
          <w:sz w:val="24"/>
        </w:rPr>
        <w:t>particulares com vínculo jurídico especial com o Estado</w:t>
      </w:r>
      <w:r>
        <w:rPr>
          <w:rFonts w:ascii="Arial" w:hAnsi="Arial"/>
          <w:b w:val="0"/>
          <w:i w:val="0"/>
          <w:color w:val="111827"/>
          <w:sz w:val="24"/>
        </w:rPr>
        <w:t xml:space="preserve"> (ex.: empresas contratadas que cometem faltas em licitações e contratos).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Não se confunde com o poder de polícia (que pune particulares em geral, desprovidos de vínculo jurídico especial prévio).</w:t>
      </w:r>
    </w:p>
    <w:p>
      <w:pPr>
        <w:keepNext/>
        <w:spacing w:before="200" w:after="80"/>
      </w:pPr>
      <w:r>
        <w:rPr>
          <w:rFonts w:ascii="Arial" w:hAnsi="Arial"/>
          <w:b/>
          <w:i w:val="0"/>
          <w:color w:val="2B6CB0"/>
          <w:sz w:val="24"/>
        </w:rPr>
        <w:t>4.4 Poder Regulamentar / Normativo e os Decretos Autônomos</w:t>
      </w:r>
    </w:p>
    <w:p>
      <w:pPr>
        <w:spacing w:line="360" w:lineRule="auto" w:before="0" w:after="80"/>
        <w:jc w:val="both"/>
      </w:pPr>
      <w:r>
        <w:rPr>
          <w:rFonts w:ascii="Arial" w:hAnsi="Arial"/>
          <w:b w:val="0"/>
          <w:i w:val="0"/>
          <w:color w:val="111827"/>
          <w:sz w:val="24"/>
        </w:rPr>
        <w:t>Prerrogativa outorgada aos Chefes do Poder Executivo para expedir atos gerais e abstratos: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Decretos de Execução / Regulamentares (CF, art. 84, IV):</w:t>
      </w:r>
      <w:r>
        <w:rPr>
          <w:rFonts w:ascii="Arial" w:hAnsi="Arial"/>
          <w:b w:val="0"/>
          <w:i w:val="0"/>
          <w:color w:val="111827"/>
          <w:sz w:val="22"/>
        </w:rPr>
        <w:t xml:space="preserve"> Editados para a fiel execução de leis já existentes. Não podem inovar originariamente na ordem jurídica nem criar direitos ou obrigações primárias não contempladas na lei.</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Decretos Autônomos (CF, art. 84, VI):</w:t>
      </w:r>
      <w:r>
        <w:rPr>
          <w:rFonts w:ascii="Arial" w:hAnsi="Arial"/>
          <w:b w:val="0"/>
          <w:i w:val="0"/>
          <w:color w:val="111827"/>
          <w:sz w:val="22"/>
        </w:rPr>
        <w:t xml:space="preserve"> Espécie normativa primária excepcional, autorizada diretamente pelo texto constitucional apenas em duas hipóteses taxativas: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Alínea "a":</w:t>
      </w:r>
      <w:r>
        <w:rPr>
          <w:rFonts w:ascii="Arial" w:hAnsi="Arial"/>
          <w:b w:val="0"/>
          <w:i w:val="0"/>
          <w:color w:val="111827"/>
          <w:sz w:val="22"/>
        </w:rPr>
        <w:t xml:space="preserve"> </w:t>
      </w:r>
      <w:r>
        <w:rPr>
          <w:rFonts w:ascii="Arial" w:hAnsi="Arial"/>
          <w:b/>
          <w:i w:val="0"/>
          <w:color w:val="111827"/>
          <w:sz w:val="22"/>
        </w:rPr>
        <w:t>Organização e funcionamento da administração pública</w:t>
      </w:r>
      <w:r>
        <w:rPr>
          <w:rFonts w:ascii="Arial" w:hAnsi="Arial"/>
          <w:b w:val="0"/>
          <w:i w:val="0"/>
          <w:color w:val="111827"/>
          <w:sz w:val="22"/>
        </w:rPr>
        <w:t xml:space="preserve">, desde que </w:t>
      </w:r>
      <w:r>
        <w:rPr>
          <w:rFonts w:ascii="Arial" w:hAnsi="Arial"/>
          <w:b/>
          <w:i w:val="0"/>
          <w:color w:val="111827"/>
          <w:sz w:val="22"/>
        </w:rPr>
        <w:t>não implique aumento de despesa</w:t>
      </w:r>
      <w:r>
        <w:rPr>
          <w:rFonts w:ascii="Arial" w:hAnsi="Arial"/>
          <w:b w:val="0"/>
          <w:i w:val="0"/>
          <w:color w:val="111827"/>
          <w:sz w:val="22"/>
        </w:rPr>
        <w:t xml:space="preserve"> nem </w:t>
      </w:r>
      <w:r>
        <w:rPr>
          <w:rFonts w:ascii="Arial" w:hAnsi="Arial"/>
          <w:b/>
          <w:i w:val="0"/>
          <w:color w:val="111827"/>
          <w:sz w:val="22"/>
        </w:rPr>
        <w:t>criação ou extinção de órgãos públicos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Alínea "b":</w:t>
      </w:r>
      <w:r>
        <w:rPr>
          <w:rFonts w:ascii="Arial" w:hAnsi="Arial"/>
          <w:b w:val="0"/>
          <w:i w:val="0"/>
          <w:color w:val="111827"/>
          <w:sz w:val="22"/>
        </w:rPr>
        <w:t xml:space="preserve"> </w:t>
      </w:r>
      <w:r>
        <w:rPr>
          <w:rFonts w:ascii="Arial" w:hAnsi="Arial"/>
          <w:b/>
          <w:i w:val="0"/>
          <w:color w:val="111827"/>
          <w:sz w:val="22"/>
        </w:rPr>
        <w:t>Extinção de funções ou cargos públicos, quando vagos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FF6FF"/>
            <w:tcBorders>
              <w:left w:val="single" w:sz="32" w:space="0" w:color="2563EB"/>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Pegadinha Clássica FCC:</w:t>
            </w:r>
          </w:p>
          <w:p>
            <w:pPr>
              <w:spacing w:line="288" w:lineRule="auto" w:before="40" w:after="40"/>
            </w:pPr>
            <w:r>
              <w:rPr>
                <w:rFonts w:ascii="Arial" w:hAnsi="Arial"/>
                <w:b w:val="0"/>
                <w:i w:val="0"/>
                <w:color w:val="111827"/>
                <w:sz w:val="21"/>
              </w:rPr>
              <w:t xml:space="preserve">Decreto autônomo </w:t>
            </w:r>
            <w:r>
              <w:rPr>
                <w:rFonts w:ascii="Arial" w:hAnsi="Arial"/>
                <w:b/>
                <w:i w:val="0"/>
                <w:color w:val="111827"/>
                <w:sz w:val="21"/>
              </w:rPr>
              <w:t>NUNCA pode criar ou extinguir órgãos públicos</w:t>
            </w:r>
            <w:r>
              <w:rPr>
                <w:rFonts w:ascii="Arial" w:hAnsi="Arial"/>
                <w:b w:val="0"/>
                <w:i w:val="0"/>
                <w:color w:val="111827"/>
                <w:sz w:val="21"/>
              </w:rPr>
              <w:t xml:space="preserve">, e </w:t>
            </w:r>
            <w:r>
              <w:rPr>
                <w:rFonts w:ascii="Arial" w:hAnsi="Arial"/>
                <w:b/>
                <w:i w:val="0"/>
                <w:color w:val="111827"/>
                <w:sz w:val="21"/>
              </w:rPr>
              <w:t>NUNCA pode extinguir cargos públicos se estiverem ocupados</w:t>
            </w:r>
            <w:r>
              <w:rPr>
                <w:rFonts w:ascii="Arial" w:hAnsi="Arial"/>
                <w:b w:val="0"/>
                <w:i w:val="0"/>
                <w:color w:val="111827"/>
                <w:sz w:val="21"/>
              </w:rPr>
              <w:t xml:space="preserve">! A criação e extinção de órgãos públicos exige expressamente </w:t>
            </w:r>
            <w:r>
              <w:rPr>
                <w:rFonts w:ascii="Arial" w:hAnsi="Arial"/>
                <w:b/>
                <w:i w:val="0"/>
                <w:color w:val="111827"/>
                <w:sz w:val="21"/>
              </w:rPr>
              <w:t>lei formal em sentido estrito</w:t>
            </w:r>
            <w:r>
              <w:rPr>
                <w:rFonts w:ascii="Arial" w:hAnsi="Arial"/>
                <w:b w:val="0"/>
                <w:i w:val="0"/>
                <w:color w:val="111827"/>
                <w:sz w:val="21"/>
              </w:rPr>
              <w:t xml:space="preserve"> (CF, art. 48, XI e art. 61, § 1º, II, "e").</w:t>
            </w:r>
          </w:p>
        </w:tc>
      </w:tr>
    </w:tbl>
    <w:p>
      <w:pPr>
        <w:spacing w:before="0" w:after="120"/>
      </w:pPr>
    </w:p>
    <w:p>
      <w:pPr>
        <w:keepNext/>
        <w:spacing w:before="200" w:after="80"/>
      </w:pPr>
      <w:r>
        <w:rPr>
          <w:rFonts w:ascii="Arial" w:hAnsi="Arial"/>
          <w:b/>
          <w:i w:val="0"/>
          <w:color w:val="2B6CB0"/>
          <w:sz w:val="24"/>
        </w:rPr>
        <w:t>4.5 Poder de Polícia, Ciclo de Polícia e Delegação (Tema 532/STF)</w:t>
      </w:r>
    </w:p>
    <w:p>
      <w:pPr>
        <w:spacing w:line="360" w:lineRule="auto" w:before="0" w:after="80"/>
        <w:jc w:val="both"/>
      </w:pPr>
      <w:r>
        <w:rPr>
          <w:rFonts w:ascii="Arial" w:hAnsi="Arial"/>
          <w:b w:val="0"/>
          <w:i w:val="0"/>
          <w:color w:val="111827"/>
          <w:sz w:val="24"/>
        </w:rPr>
        <w:t xml:space="preserve">O art. 78 do Código Tributário Nacional (CTN) conceitua o </w:t>
      </w:r>
      <w:r>
        <w:rPr>
          <w:rFonts w:ascii="Arial" w:hAnsi="Arial"/>
          <w:b/>
          <w:i w:val="0"/>
          <w:color w:val="111827"/>
          <w:sz w:val="24"/>
        </w:rPr>
        <w:t>poder de polícia</w:t>
      </w:r>
      <w:r>
        <w:rPr>
          <w:rFonts w:ascii="Arial" w:hAnsi="Arial"/>
          <w:b w:val="0"/>
          <w:i w:val="0"/>
          <w:color w:val="111827"/>
          <w:sz w:val="24"/>
        </w:rPr>
        <w:t xml:space="preserve"> como a atividade da administração pública que, regulando a prática de ato ou a abstenção de fato em razão de interesse público, limita ou disciplina direito, interesse ou liberdade individual.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Atributos do Poder de Polícia:</w:t>
      </w:r>
      <w:r>
        <w:rPr>
          <w:rFonts w:ascii="Arial" w:hAnsi="Arial"/>
          <w:b w:val="0"/>
          <w:i w:val="0"/>
          <w:color w:val="111827"/>
          <w:sz w:val="22"/>
        </w:rPr>
        <w:t xml:space="preserve"> Discricionariedade, Autoexecutoriedade e Coercibilidade.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O Ciclo de Polícia (Quatro Fases):</w:t>
      </w:r>
    </w:p>
    <w:p>
      <w:pPr>
        <w:spacing w:line="276" w:lineRule="auto" w:before="20" w:after="40"/>
        <w:ind w:left="992"/>
      </w:pPr>
      <w:r>
        <w:rPr>
          <w:rFonts w:ascii="Arial" w:hAnsi="Arial"/>
          <w:b/>
          <w:color w:val="1B365D"/>
          <w:sz w:val="22"/>
        </w:rPr>
        <w:t xml:space="preserve">1. </w:t>
      </w:r>
      <w:r>
        <w:rPr>
          <w:rFonts w:ascii="Arial" w:hAnsi="Arial"/>
          <w:b w:val="0"/>
          <w:i/>
          <w:color w:val="111827"/>
          <w:sz w:val="22"/>
        </w:rPr>
        <w:t>Ordem de Polícia:</w:t>
      </w:r>
      <w:r>
        <w:rPr>
          <w:rFonts w:ascii="Arial" w:hAnsi="Arial"/>
          <w:b w:val="0"/>
          <w:i w:val="0"/>
          <w:color w:val="111827"/>
          <w:sz w:val="22"/>
        </w:rPr>
        <w:t xml:space="preserve"> A norma jurídica legal que institui a restrição ou comando abstrato.</w:t>
      </w:r>
    </w:p>
    <w:p>
      <w:pPr>
        <w:spacing w:line="276" w:lineRule="auto" w:before="20" w:after="40"/>
        <w:ind w:left="992"/>
      </w:pPr>
      <w:r>
        <w:rPr>
          <w:rFonts w:ascii="Arial" w:hAnsi="Arial"/>
          <w:b/>
          <w:color w:val="1B365D"/>
          <w:sz w:val="22"/>
        </w:rPr>
        <w:t xml:space="preserve">2. </w:t>
      </w:r>
      <w:r>
        <w:rPr>
          <w:rFonts w:ascii="Arial" w:hAnsi="Arial"/>
          <w:b w:val="0"/>
          <w:i/>
          <w:color w:val="111827"/>
          <w:sz w:val="22"/>
        </w:rPr>
        <w:t>Consentimento de Polícia:</w:t>
      </w:r>
      <w:r>
        <w:rPr>
          <w:rFonts w:ascii="Arial" w:hAnsi="Arial"/>
          <w:b w:val="0"/>
          <w:i w:val="0"/>
          <w:color w:val="111827"/>
          <w:sz w:val="22"/>
        </w:rPr>
        <w:t xml:space="preserve"> Ato pelo qual o Estado autoriza ou licencia o exercício da atividade privada condicionada (alvarás, licenças).</w:t>
      </w:r>
    </w:p>
    <w:p>
      <w:pPr>
        <w:spacing w:line="276" w:lineRule="auto" w:before="20" w:after="40"/>
        <w:ind w:left="992"/>
      </w:pPr>
      <w:r>
        <w:rPr>
          <w:rFonts w:ascii="Arial" w:hAnsi="Arial"/>
          <w:b/>
          <w:color w:val="1B365D"/>
          <w:sz w:val="22"/>
        </w:rPr>
        <w:t xml:space="preserve">3. </w:t>
      </w:r>
      <w:r>
        <w:rPr>
          <w:rFonts w:ascii="Arial" w:hAnsi="Arial"/>
          <w:b w:val="0"/>
          <w:i/>
          <w:color w:val="111827"/>
          <w:sz w:val="22"/>
        </w:rPr>
        <w:t>Fiscalização de Polícia:</w:t>
      </w:r>
      <w:r>
        <w:rPr>
          <w:rFonts w:ascii="Arial" w:hAnsi="Arial"/>
          <w:b w:val="0"/>
          <w:i w:val="0"/>
          <w:color w:val="111827"/>
          <w:sz w:val="22"/>
        </w:rPr>
        <w:t xml:space="preserve"> Vistorias, inspeções, autuações e blitz.</w:t>
      </w:r>
    </w:p>
    <w:p>
      <w:pPr>
        <w:spacing w:line="276" w:lineRule="auto" w:before="20" w:after="40"/>
        <w:ind w:left="992"/>
      </w:pPr>
      <w:r>
        <w:rPr>
          <w:rFonts w:ascii="Arial" w:hAnsi="Arial"/>
          <w:b/>
          <w:color w:val="1B365D"/>
          <w:sz w:val="22"/>
        </w:rPr>
        <w:t xml:space="preserve">4. </w:t>
      </w:r>
      <w:r>
        <w:rPr>
          <w:rFonts w:ascii="Arial" w:hAnsi="Arial"/>
          <w:b w:val="0"/>
          <w:i/>
          <w:color w:val="111827"/>
          <w:sz w:val="22"/>
        </w:rPr>
        <w:t>Sanção de Polícia:</w:t>
      </w:r>
      <w:r>
        <w:rPr>
          <w:rFonts w:ascii="Arial" w:hAnsi="Arial"/>
          <w:b w:val="0"/>
          <w:i w:val="0"/>
          <w:color w:val="111827"/>
          <w:sz w:val="22"/>
        </w:rPr>
        <w:t xml:space="preserve"> Aplicação punitiva da penalidade administrativa (multa, apreensão de mercadoria, interdição de estabelecimento).</w:t>
      </w:r>
    </w:p>
    <w:p>
      <w:pPr>
        <w:spacing w:after="120"/>
      </w:pPr>
    </w:p>
    <w:p>
      <w:pPr>
        <w:keepNext/>
        <w:spacing w:before="120" w:after="40"/>
      </w:pPr>
      <w:r>
        <w:rPr>
          <w:rFonts w:ascii="Arial" w:hAnsi="Arial"/>
          <w:b/>
          <w:i/>
          <w:color w:val="334155"/>
          <w:sz w:val="22"/>
        </w:rPr>
        <w:t>O Marco Histórico do Tema 532 da Repercussão Geral do STF:</w:t>
      </w:r>
    </w:p>
    <w:p>
      <w:pPr>
        <w:spacing w:line="360" w:lineRule="auto" w:before="0" w:after="80"/>
        <w:jc w:val="both"/>
      </w:pPr>
      <w:r>
        <w:rPr>
          <w:rFonts w:ascii="Arial" w:hAnsi="Arial"/>
          <w:b w:val="0"/>
          <w:i w:val="0"/>
          <w:color w:val="111827"/>
          <w:sz w:val="24"/>
        </w:rPr>
        <w:t>Superando divergências anteriores, o STF pacificou a tese com eficácia vinculante:</w:t>
      </w:r>
    </w:p>
    <w:p>
      <w:pPr>
        <w:spacing w:line="240" w:lineRule="auto" w:before="40" w:after="40"/>
        <w:ind w:left="2268"/>
      </w:pPr>
      <w:r>
        <w:rPr>
          <w:rFonts w:ascii="Arial" w:hAnsi="Arial"/>
          <w:b w:val="0"/>
          <w:i/>
          <w:color w:val="111827"/>
          <w:sz w:val="20"/>
        </w:rPr>
        <w:t>"É constitucional a delegação do poder de polícia, por meio de lei, a pessoas jurídicas de direito privado integrantes da Administração Pública indireta de capital social majoritariamente público que prestem exclusivamente serviço público de atuação própria do Estado e em regime não concorrencial."</w:t>
      </w:r>
    </w:p>
    <w:p>
      <w:pPr>
        <w:spacing w:after="8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É constitucional delegar a estatais as fases de </w:t>
      </w:r>
      <w:r>
        <w:rPr>
          <w:rFonts w:ascii="Arial" w:hAnsi="Arial"/>
          <w:b/>
          <w:i w:val="0"/>
          <w:color w:val="111827"/>
          <w:sz w:val="22"/>
        </w:rPr>
        <w:t>consentimento, fiscalização e sanção</w:t>
      </w:r>
      <w:r>
        <w:rPr>
          <w:rFonts w:ascii="Arial" w:hAnsi="Arial"/>
          <w:b w:val="0"/>
          <w:i w:val="0"/>
          <w:color w:val="111827"/>
          <w:sz w:val="22"/>
        </w:rPr>
        <w:t>. Apenas a primeira fase (</w:t>
      </w:r>
      <w:r>
        <w:rPr>
          <w:rFonts w:ascii="Arial" w:hAnsi="Arial"/>
          <w:b/>
          <w:i w:val="0"/>
          <w:color w:val="111827"/>
          <w:sz w:val="22"/>
        </w:rPr>
        <w:t>legislar / ordem de polícia</w:t>
      </w:r>
      <w:r>
        <w:rPr>
          <w:rFonts w:ascii="Arial" w:hAnsi="Arial"/>
          <w:b w:val="0"/>
          <w:i w:val="0"/>
          <w:color w:val="111827"/>
          <w:sz w:val="22"/>
        </w:rPr>
        <w:t>) permanece indelegável, privativa do Estado.</w:t>
      </w:r>
    </w:p>
    <w:p>
      <w:pPr>
        <w:keepNext/>
        <w:spacing w:before="280" w:after="120"/>
      </w:pPr>
      <w:r>
        <w:rPr>
          <w:rFonts w:ascii="Arial" w:hAnsi="Arial"/>
          <w:b/>
          <w:i w:val="0"/>
          <w:color w:val="2C5282"/>
          <w:sz w:val="28"/>
        </w:rPr>
        <w:t>5. Uso e Abuso de Poder e a Lei nº 13.869/2019</w:t>
      </w:r>
    </w:p>
    <w:p>
      <w:pPr>
        <w:keepNext/>
        <w:spacing w:before="200" w:after="80"/>
      </w:pPr>
      <w:r>
        <w:rPr>
          <w:rFonts w:ascii="Arial" w:hAnsi="Arial"/>
          <w:b/>
          <w:i w:val="0"/>
          <w:color w:val="2B6CB0"/>
          <w:sz w:val="24"/>
        </w:rPr>
        <w:t>5.1 Excesso de Poder vs. Desvio de Finalidade</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abuso de poder</w:t>
      </w:r>
      <w:r>
        <w:rPr>
          <w:rFonts w:ascii="Arial" w:hAnsi="Arial"/>
          <w:b w:val="0"/>
          <w:i w:val="0"/>
          <w:color w:val="111827"/>
          <w:sz w:val="24"/>
        </w:rPr>
        <w:t xml:space="preserve"> é gênero que se desdobra em duas espécies nucleares: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Excesso de Poder (Vício de Competência):</w:t>
      </w:r>
      <w:r>
        <w:rPr>
          <w:rFonts w:ascii="Arial" w:hAnsi="Arial"/>
          <w:b w:val="0"/>
          <w:i w:val="0"/>
          <w:color w:val="111827"/>
          <w:sz w:val="22"/>
        </w:rPr>
        <w:t xml:space="preserve"> Ocorre quando a autoridade atua além dos limites legais de suas atribuições funcionais. O agente é incompetente para praticar aquele ato específico, exorbitando do mandato legal.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Desvio de Finalidade / Desvio de Poder (Vício de Finalidade):</w:t>
      </w:r>
      <w:r>
        <w:rPr>
          <w:rFonts w:ascii="Arial" w:hAnsi="Arial"/>
          <w:b w:val="0"/>
          <w:i w:val="0"/>
          <w:color w:val="111827"/>
          <w:sz w:val="22"/>
        </w:rPr>
        <w:t xml:space="preserve"> Ocorre quando o agente público atua dentro de sua competência legal formal, mas pratica o ato com o propósito de atingir fim diverso daquele fixado pela lei ou com intenção privada espúria (perseguição política, favorecimento ilícito ou vingança pessoal). É vício de nulidade insanável.</w:t>
      </w:r>
    </w:p>
    <w:p>
      <w:pPr>
        <w:spacing w:after="120"/>
      </w:pPr>
    </w:p>
    <w:p>
      <w:pPr>
        <w:keepNext/>
        <w:spacing w:before="200" w:after="80"/>
      </w:pPr>
      <w:r>
        <w:rPr>
          <w:rFonts w:ascii="Arial" w:hAnsi="Arial"/>
          <w:b/>
          <w:i w:val="0"/>
          <w:color w:val="2B6CB0"/>
          <w:sz w:val="24"/>
        </w:rPr>
        <w:t>5.2 Elemento Subjetivo Especial e Proibição do Crime de Hermenêutica</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Lei nº 13.869/2019</w:t>
      </w:r>
      <w:r>
        <w:rPr>
          <w:rFonts w:ascii="Arial" w:hAnsi="Arial"/>
          <w:b w:val="0"/>
          <w:i w:val="0"/>
          <w:color w:val="111827"/>
          <w:sz w:val="24"/>
        </w:rPr>
        <w:t xml:space="preserve"> (Lei de Abuso de Autoridade) disciplina os crimes cometidos por agentes públicos no exercício de suas funções: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Dolo Específico Obrigatório (Art. 1º, § 1º):</w:t>
      </w:r>
      <w:r>
        <w:rPr>
          <w:rFonts w:ascii="Arial" w:hAnsi="Arial"/>
          <w:b w:val="0"/>
          <w:i w:val="0"/>
          <w:color w:val="111827"/>
          <w:sz w:val="22"/>
        </w:rPr>
        <w:t xml:space="preserve"> As condutas descritas na lei constituem crime exclusivamente quando praticadas pelo agente público com a finalidade específica de:</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Prejudicar outrem;</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Beneficiar a si mesmo ou a terceiro; ou</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Por mero capricho ou satisfação pessoal.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Não se admite modalidade culposa!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Proibição do Crime de Hermenêutica (Art. 1º, § 2º):</w:t>
      </w:r>
      <w:r>
        <w:rPr>
          <w:rFonts w:ascii="Arial" w:hAnsi="Arial"/>
          <w:b w:val="0"/>
          <w:i w:val="0"/>
          <w:color w:val="111827"/>
          <w:sz w:val="22"/>
        </w:rPr>
        <w:t xml:space="preserve"> A divergência na interpretação de lei ou na avaliação de fatos e provas </w:t>
      </w:r>
      <w:r>
        <w:rPr>
          <w:rFonts w:ascii="Arial" w:hAnsi="Arial"/>
          <w:b/>
          <w:i w:val="0"/>
          <w:color w:val="111827"/>
          <w:sz w:val="22"/>
        </w:rPr>
        <w:t>NÃO configura abuso de autoridade</w:t>
      </w:r>
      <w:r>
        <w:rPr>
          <w:rFonts w:ascii="Arial" w:hAnsi="Arial"/>
          <w:b w:val="0"/>
          <w:i w:val="0"/>
          <w:color w:val="111827"/>
          <w:sz w:val="22"/>
        </w:rPr>
        <w:t>. O magistrado, membro do Ministério Público ou auditor do Tribunal de Contas não comete crime simplesmente por aplicar uma tese jurídica contrária à pretensão do réu.</w:t>
      </w:r>
    </w:p>
    <w:p>
      <w:pPr>
        <w:keepNext/>
        <w:spacing w:before="200" w:after="80"/>
      </w:pPr>
      <w:r>
        <w:rPr>
          <w:rFonts w:ascii="Arial" w:hAnsi="Arial"/>
          <w:b/>
          <w:i w:val="0"/>
          <w:color w:val="2B6CB0"/>
          <w:sz w:val="24"/>
        </w:rPr>
        <w:t>5.3 Sujeitos Ativos no Âmbito dos Tribunais de Contas</w:t>
      </w:r>
    </w:p>
    <w:p>
      <w:pPr>
        <w:spacing w:line="360" w:lineRule="auto" w:before="0" w:after="80"/>
        <w:jc w:val="both"/>
      </w:pPr>
      <w:r>
        <w:rPr>
          <w:rFonts w:ascii="Arial" w:hAnsi="Arial"/>
          <w:b w:val="0"/>
          <w:i w:val="0"/>
          <w:color w:val="111827"/>
          <w:sz w:val="24"/>
        </w:rPr>
        <w:t xml:space="preserve">O art. 2º da Lei nº 13.869/2019 estabelece que é sujeito ativo de crime de abuso de autoridade qualquer agente público, servidor ou não, da administração direta e indireta de todos os Poderes, incluindo expressamente os </w:t>
      </w:r>
      <w:r>
        <w:rPr>
          <w:rFonts w:ascii="Arial" w:hAnsi="Arial"/>
          <w:b/>
          <w:i w:val="0"/>
          <w:color w:val="111827"/>
          <w:sz w:val="24"/>
        </w:rPr>
        <w:t>membros e servidores dos Tribunais e Conselhos de Contas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Efeitos da Condenação (Art. 4º):</w:t>
      </w:r>
      <w:r>
        <w:rPr>
          <w:rFonts w:ascii="Arial" w:hAnsi="Arial"/>
          <w:b w:val="0"/>
          <w:i w:val="0"/>
          <w:color w:val="111827"/>
          <w:sz w:val="22"/>
        </w:rPr>
        <w:t xml:space="preserve"> A perda do cargo, mandato ou função pública e a inabilitação para o exercício de cargo público por período de 1 a 5 anos </w:t>
      </w:r>
      <w:r>
        <w:rPr>
          <w:rFonts w:ascii="Arial" w:hAnsi="Arial"/>
          <w:b/>
          <w:i w:val="0"/>
          <w:color w:val="111827"/>
          <w:sz w:val="22"/>
        </w:rPr>
        <w:t>NÃO são efeitos automáticos</w:t>
      </w:r>
      <w:r>
        <w:rPr>
          <w:rFonts w:ascii="Arial" w:hAnsi="Arial"/>
          <w:b w:val="0"/>
          <w:i w:val="0"/>
          <w:color w:val="111827"/>
          <w:sz w:val="22"/>
        </w:rPr>
        <w:t xml:space="preserve"> da condenação penal. Exigem declaração motivada na sentença e estão condicionados à </w:t>
      </w:r>
      <w:r>
        <w:rPr>
          <w:rFonts w:ascii="Arial" w:hAnsi="Arial"/>
          <w:b/>
          <w:i w:val="0"/>
          <w:color w:val="111827"/>
          <w:sz w:val="22"/>
        </w:rPr>
        <w:t>reincidência específica</w:t>
      </w:r>
      <w:r>
        <w:rPr>
          <w:rFonts w:ascii="Arial" w:hAnsi="Arial"/>
          <w:b w:val="0"/>
          <w:i w:val="0"/>
          <w:color w:val="111827"/>
          <w:sz w:val="22"/>
        </w:rPr>
        <w:t xml:space="preserve"> em crime de abuso de autoridade.</w:t>
      </w:r>
    </w:p>
    <w:p>
      <w:pPr>
        <w:keepNext/>
        <w:spacing w:before="280" w:after="120"/>
      </w:pPr>
      <w:r>
        <w:rPr>
          <w:rFonts w:ascii="Arial" w:hAnsi="Arial"/>
          <w:b/>
          <w:i w:val="0"/>
          <w:color w:val="2C5282"/>
          <w:sz w:val="28"/>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Federal de 1988 - Arts. 37, XIX, 84, VI e 109, I</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Dispositivos constitucionais reguladores da criação de estatais, competências de decretos autônomos e foros judiciais.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13.303/2016 (Estatuto Jurídico das Empresas Estatais)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Regulamento de governança, conselhos de administração e contratações para empresas públicas e sociedades de economia mista.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13.869/2019 (Nova Lei de Abuso de Autoridade)</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Tipificação de crimes de abuso de autoridade, exigência do dolo específico e vedações ao crime de hermenêutica.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STF - Tema 532 de Repercussão Geral (Delegação de Polícia Administrativa)</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Precedente vinculante fixado no RE 633.782 admitindo delegação de sanção de trânsito a estatais de serviços públicos.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9.784/1999 - Artigo 13 (Limites da Delegação)</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Regulamentação das vedações absolutas de delegação de atos normativos, recursos e competências exclusivas.</w:t>
      </w:r>
    </w:p>
    <w:p>
      <w:pPr>
        <w:keepNext/>
        <w:spacing w:before="280" w:after="120"/>
      </w:pPr>
      <w:r>
        <w:rPr>
          <w:rFonts w:ascii="Arial" w:hAnsi="Arial"/>
          <w:b/>
          <w:i w:val="0"/>
          <w:color w:val="2C5282"/>
          <w:sz w:val="28"/>
        </w:rPr>
        <w:t>7. Questões Comentadas &amp; Exemplos (Padrão FCC)</w:t>
      </w:r>
    </w:p>
    <w:p>
      <w:pPr>
        <w:keepNext/>
        <w:spacing w:before="200" w:after="80"/>
      </w:pPr>
      <w:r>
        <w:rPr>
          <w:rFonts w:ascii="Arial" w:hAnsi="Arial"/>
          <w:b/>
          <w:i w:val="0"/>
          <w:color w:val="2B6CB0"/>
          <w:sz w:val="24"/>
        </w:rPr>
        <w:t>Questão 1 (FCC - Analista de Gestão Pública / Adaptada)</w:t>
      </w:r>
    </w:p>
    <w:p>
      <w:pPr>
        <w:spacing w:line="360" w:lineRule="auto" w:before="0" w:after="80"/>
        <w:jc w:val="both"/>
      </w:pPr>
      <w:r>
        <w:rPr>
          <w:rFonts w:ascii="Arial" w:hAnsi="Arial"/>
          <w:b w:val="0"/>
          <w:i w:val="0"/>
          <w:color w:val="111827"/>
          <w:sz w:val="24"/>
        </w:rPr>
        <w:t>O Governo do Estado de Goiás, com o propósito de aprimorar a prestação de serviços de processamento técnico de dados e segurança cibernética, planeja instituir uma entidade descentralizada com personalidade jurídica de direito privado e patrimônio composto exclusivamente por recursos públicos do tesouro estadual.</w:t>
      </w:r>
    </w:p>
    <w:p>
      <w:pPr>
        <w:spacing w:line="360" w:lineRule="auto" w:before="0" w:after="80"/>
        <w:jc w:val="both"/>
      </w:pPr>
      <w:r>
        <w:rPr>
          <w:rFonts w:ascii="Arial" w:hAnsi="Arial"/>
          <w:b w:val="0"/>
          <w:i w:val="0"/>
          <w:color w:val="111827"/>
          <w:sz w:val="24"/>
        </w:rPr>
        <w:t>Em conformidade com a Constituição Federal e com o regime jurídico administrativo: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Trata-se de uma Autarquia de regime especial, cuja existência jurídica formal decorre diretamente da publicação da lei complementar instituidora.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Trata-se de uma Sociedade de Economia Mista, devendo adotar obrigatoriamente a forma de sociedade anônima com capital misto.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Trata-se de uma Empresa Pública, cuja criação depende de autorização em lei específica e cuja personalidade jurídica nasce com a inscrição de seus atos constitutivos no registro competente.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Bastará a edição de decreto autônomo do Governador do Estado para outorgar-lhe personalidade jurídica e patrimônio próprio.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entidade integrará a Administração Direta estadual, estabelecendo relação de subordinação hierárquica direta com o Governador.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As autarquias ostentam personalidade jurídica de direito público e são criadas diretamente por lei ordinária específica, não possuindo natureza de direito privado nem patrimônio societário.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Sociedade de Economia Mista exige conjugação obrigatória de capital público e privado (capital misto), enquanto a questão delimitou patrimônio composto exclusivamente por recursos públicos.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entidade descentralizada dotada de personalidade jurídica de direito privado cujo capital é 100% público define conceitualmente uma </w:t>
            </w:r>
            <w:r>
              <w:rPr>
                <w:rFonts w:ascii="Arial" w:hAnsi="Arial"/>
                <w:b/>
                <w:i w:val="0"/>
                <w:color w:val="111827"/>
                <w:sz w:val="21"/>
              </w:rPr>
              <w:t>Empresa Pública</w:t>
            </w:r>
            <w:r>
              <w:rPr>
                <w:rFonts w:ascii="Arial" w:hAnsi="Arial"/>
                <w:b w:val="0"/>
                <w:i w:val="0"/>
                <w:color w:val="111827"/>
                <w:sz w:val="21"/>
              </w:rPr>
              <w:t xml:space="preserve">. Pelo art. 37, XIX, da CF/88, as empresas estatais dependem de </w:t>
            </w:r>
            <w:r>
              <w:rPr>
                <w:rFonts w:ascii="Arial" w:hAnsi="Arial"/>
                <w:b/>
                <w:i w:val="0"/>
                <w:color w:val="111827"/>
                <w:sz w:val="21"/>
              </w:rPr>
              <w:t>lei ordinária específica que autorize sua instituição</w:t>
            </w:r>
            <w:r>
              <w:rPr>
                <w:rFonts w:ascii="Arial" w:hAnsi="Arial"/>
                <w:b w:val="0"/>
                <w:i w:val="0"/>
                <w:color w:val="111827"/>
                <w:sz w:val="21"/>
              </w:rPr>
              <w:t>. Por serem pessoas de direito privado, a personalidade jurídica civil surge formalmente com a inscrição dos atos constitutivos na Junta Comercial ou Cartório de RCPJ.</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criação de pessoas jurídicas da Administração Indireta depende de expressa e indelegável autorização em lei formal em sentido estrito (CF, art. 37, XIX), sendo nula a tentativa de instituição por mero decreto.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Entidades descentralizadas com personalidade jurídica própria integram a Administração Indireta e não mantêm subordinação hierárquica perante o Chefe do Executivo, sujeitando-se apenas ao controle finalístico (tutela/vinculação).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Auditor de Controle Externo / Adaptada TCE-GO)</w:t>
      </w:r>
    </w:p>
    <w:p>
      <w:pPr>
        <w:spacing w:line="360" w:lineRule="auto" w:before="0" w:after="80"/>
        <w:jc w:val="both"/>
      </w:pPr>
      <w:r>
        <w:rPr>
          <w:rFonts w:ascii="Arial" w:hAnsi="Arial"/>
          <w:b w:val="0"/>
          <w:i w:val="0"/>
          <w:color w:val="111827"/>
          <w:sz w:val="24"/>
        </w:rPr>
        <w:t>Um auditor fiscal do Tribunal de Contas, contrariado com a postura intransigente de um gestor municipal que se recusou a favorecer um parente do auditor em processo seletivo simplificado, instaurou fiscalização sigilosa sem autorização regimental ou sorteio eletrônico e realizou a apreensão arbitrária de computadores da prefeitura para constranger a autoridade local.</w:t>
      </w:r>
    </w:p>
    <w:p>
      <w:pPr>
        <w:spacing w:line="360" w:lineRule="auto" w:before="0" w:after="80"/>
        <w:jc w:val="both"/>
      </w:pPr>
      <w:r>
        <w:rPr>
          <w:rFonts w:ascii="Arial" w:hAnsi="Arial"/>
          <w:b w:val="0"/>
          <w:i w:val="0"/>
          <w:color w:val="111827"/>
          <w:sz w:val="24"/>
        </w:rPr>
        <w:t>Analisando a tipologia dos atos administrativos e as regras da Lei nº 13.869/2019:</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conduta do auditor caracteriza uso regular do poder discricionário inerente à função de fiscalização externa.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conduta configura excesso de poder e desvio de finalidade, tipificando crime de abuso de autoridade diante da presença de elemento subjetivo especial consistente na satisfação de vingança ou interesse pessoal.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Servidores de Tribunais de Contas gozam de imunidade penal material absoluta, não se sujeitando às cominações da Lei de Abuso de Autoridade.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ato do auditor padece unicamente de irregularidade administrativa sanável por convalidação posterior pelo Plenário do Tribunal.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Para a caracterização de abuso de autoridade, a lei dispensa a análise do elemento anímico ou motivação especial, admitindo modalidade culposa.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poder discricionário nunca acoberta ações arbitrárias desprovidas de amparo regimental e motivadas por retaliações ou vinganças privadas.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conduta retrata as duas espécies de abuso de poder: </w:t>
            </w:r>
            <w:r>
              <w:rPr>
                <w:rFonts w:ascii="Arial" w:hAnsi="Arial"/>
                <w:b/>
                <w:i w:val="0"/>
                <w:color w:val="111827"/>
                <w:sz w:val="21"/>
              </w:rPr>
              <w:t>excesso de poder</w:t>
            </w:r>
            <w:r>
              <w:rPr>
                <w:rFonts w:ascii="Arial" w:hAnsi="Arial"/>
                <w:b w:val="0"/>
                <w:i w:val="0"/>
                <w:color w:val="111827"/>
                <w:sz w:val="21"/>
              </w:rPr>
              <w:t xml:space="preserve"> (o auditor agiu fora e além de sua competência legal e regimental) e </w:t>
            </w:r>
            <w:r>
              <w:rPr>
                <w:rFonts w:ascii="Arial" w:hAnsi="Arial"/>
                <w:b/>
                <w:i w:val="0"/>
                <w:color w:val="111827"/>
                <w:sz w:val="21"/>
              </w:rPr>
              <w:t>desvio de finalidade</w:t>
            </w:r>
            <w:r>
              <w:rPr>
                <w:rFonts w:ascii="Arial" w:hAnsi="Arial"/>
                <w:b w:val="0"/>
                <w:i w:val="0"/>
                <w:color w:val="111827"/>
                <w:sz w:val="21"/>
              </w:rPr>
              <w:t xml:space="preserve"> (o ato de fiscalização foi desviado para atingir objetivo ilícito e espúrio de vingança pessoal). Sob a ótica da Lei nº 13.869/2019 (art. 1º, § 1º, c/c art. 2º), membros e servidores de Tribunais de Contas respondem por crime de abuso de autoridade quando praticam o ato com a finalidade específica de prejudicar outrem ou satisfazer sentimento pessoal.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Não existe imunidade penal funcional contra crimes de abuso de autoridade para agentes de fiscalização de cortes de contas.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desvio de finalidade é vício insanável de nulidade absoluta, sendo vedada sua convalidação no plano administrativo.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Lei de Abuso de Autoridade não pune condutas culposas (negligência ou imperícia), exigindo taxativamente o dolo específico regulado no art. 1º, § 1º.</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Procurador do Estado / Adaptada)</w:t>
      </w:r>
    </w:p>
    <w:p>
      <w:pPr>
        <w:spacing w:line="360" w:lineRule="auto" w:before="0" w:after="80"/>
        <w:jc w:val="both"/>
      </w:pPr>
      <w:r>
        <w:rPr>
          <w:rFonts w:ascii="Arial" w:hAnsi="Arial"/>
          <w:b w:val="0"/>
          <w:i w:val="0"/>
          <w:color w:val="111827"/>
          <w:sz w:val="24"/>
        </w:rPr>
        <w:t>Determinada empresa pública estadual, constituída sob regime não concorrencial e de capital 100% pertencente ao Estado de Goiás, presta com exclusividade o serviço público de transporte metropolitano e gestão do trânsito viário intermunicipal. Lei estadual delegou à referida empresa atribuições para fiscalizar o tráfego e lavrar autos de infração com imposição de multas aos motoristas infratores.</w:t>
      </w:r>
    </w:p>
    <w:p>
      <w:pPr>
        <w:spacing w:line="360" w:lineRule="auto" w:before="0" w:after="80"/>
        <w:jc w:val="both"/>
      </w:pPr>
      <w:r>
        <w:rPr>
          <w:rFonts w:ascii="Arial" w:hAnsi="Arial"/>
          <w:b w:val="0"/>
          <w:i w:val="0"/>
          <w:color w:val="111827"/>
          <w:sz w:val="24"/>
        </w:rPr>
        <w:t>À luz da jurisprudência firmada pelo Supremo Tribunal Federal em sede de repercussão geral (</w:t>
      </w:r>
      <w:r>
        <w:rPr>
          <w:rFonts w:ascii="Arial" w:hAnsi="Arial"/>
          <w:b/>
          <w:i w:val="0"/>
          <w:color w:val="111827"/>
          <w:sz w:val="24"/>
        </w:rPr>
        <w:t>Tema 532</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delegação é inconstitucional, pois todo o poder de polícia estatal é privativo e indelegável a pessoas jurídicas de direito privado.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É constitucional a delegação das fases de consentimento, fiscalização e sanção de trânsito a empresas públicas e sociedades de economia mista que prestem serviço público em regime não concorrencial e com capital social majoritariamente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Apenas a aplicação de sanções pode ser delegada à empresa estatal, permanecendo a fiscalização restrita a órgãos da Administração Direta.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delegação exige que a empresa pública adote previamente a natureza jurídica de autarquia em regime especial.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delegação é válida apenas se as multas aplicadas forem revertidas integralmente em bônus remuneratório aos agentes celetistas da empresa.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Tese superada pelo julgamento do RE 633.782 pelo Plenário do STF, que validou a delegação em condições estritas de regime não concorrencial.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o Tema 532 da Repercussão Geral do STF: </w:t>
            </w:r>
            <w:r>
              <w:rPr>
                <w:rFonts w:ascii="Arial" w:hAnsi="Arial"/>
                <w:b w:val="0"/>
                <w:i/>
                <w:color w:val="111827"/>
                <w:sz w:val="21"/>
              </w:rPr>
              <w:t>"É constitucional a delegação do poder de polícia, por meio de lei, a pessoas jurídicas de direito privado integrantes da Administração Pública indireta de capital social majoritariamente público que prestem exclusivamente serviço público de atuação própria do Estado e em regime não concorrencial."</w:t>
            </w:r>
            <w:r>
              <w:rPr>
                <w:rFonts w:ascii="Arial" w:hAnsi="Arial"/>
                <w:b w:val="0"/>
                <w:i w:val="0"/>
                <w:color w:val="111827"/>
                <w:sz w:val="21"/>
              </w:rPr>
              <w:t xml:space="preserve"> O STF assentou que as etapas executivas do ciclo de polícia (</w:t>
            </w:r>
            <w:r>
              <w:rPr>
                <w:rFonts w:ascii="Arial" w:hAnsi="Arial"/>
                <w:b/>
                <w:i w:val="0"/>
                <w:color w:val="111827"/>
                <w:sz w:val="21"/>
              </w:rPr>
              <w:t>consentimento, fiscalização e sanção</w:t>
            </w:r>
            <w:r>
              <w:rPr>
                <w:rFonts w:ascii="Arial" w:hAnsi="Arial"/>
                <w:b w:val="0"/>
                <w:i w:val="0"/>
                <w:color w:val="111827"/>
                <w:sz w:val="21"/>
              </w:rPr>
              <w:t xml:space="preserve">) podem ser validamente exercidas por estatais prestadoras de serviços públicos, ficando reservada privativamente ao Estado apenas a etapa de </w:t>
            </w:r>
            <w:r>
              <w:rPr>
                <w:rFonts w:ascii="Arial" w:hAnsi="Arial"/>
                <w:b/>
                <w:i w:val="0"/>
                <w:color w:val="111827"/>
                <w:sz w:val="21"/>
              </w:rPr>
              <w:t>ordem de polícia</w:t>
            </w:r>
            <w:r>
              <w:rPr>
                <w:rFonts w:ascii="Arial" w:hAnsi="Arial"/>
                <w:b w:val="0"/>
                <w:i w:val="0"/>
                <w:color w:val="111827"/>
                <w:sz w:val="21"/>
              </w:rPr>
              <w:t xml:space="preserve"> (legislar).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As fases de consentimento e fiscalização são tradicionalmente delegáveis, tendo a decisão do STF confirmado também a delegabilidade da fase sancionatória.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pessoa jurídica preserva sua natureza de empresa pública (direito privado), sem necessidade de transformação autárquica.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Destinar o produto das multas para premiação pecuniária direta de agentes feriria frontalmente a impessoalidade e a moralidade administrativa.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Técnico de Controle Externo / Administrativa)</w:t>
      </w:r>
    </w:p>
    <w:p>
      <w:pPr>
        <w:spacing w:line="360" w:lineRule="auto" w:before="0" w:after="80"/>
        <w:jc w:val="both"/>
      </w:pPr>
      <w:r>
        <w:rPr>
          <w:rFonts w:ascii="Arial" w:hAnsi="Arial"/>
          <w:b w:val="0"/>
          <w:i w:val="0"/>
          <w:color w:val="111827"/>
          <w:sz w:val="24"/>
        </w:rPr>
        <w:t>No âmbito de uma Secretaria de Estado, o Secretário Titular pretende delegar temporariamente a um Diretor de Departamento subordinado a atribuição funcional de julgar recursos administrativos interpostos contra decisões sancionatórias de primeira instância proferidas pela própria pasta.</w:t>
      </w:r>
    </w:p>
    <w:p>
      <w:pPr>
        <w:spacing w:line="360" w:lineRule="auto" w:before="0" w:after="80"/>
        <w:jc w:val="both"/>
      </w:pPr>
      <w:r>
        <w:rPr>
          <w:rFonts w:ascii="Arial" w:hAnsi="Arial"/>
          <w:b w:val="0"/>
          <w:i w:val="0"/>
          <w:color w:val="111827"/>
          <w:sz w:val="24"/>
        </w:rPr>
        <w:t>De acordo com a teoria geral do poder hierárquico e os limites da delegação fixados na legislação do processo administrativo: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delegação pretendida é lícita e válida, haja vista que o poder hierárquico confere ao superior liberdade irrestrita para delegar qualquer de suas atribuições.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delegação é vedada pelo ordenamento jurídico, pois a decisão de recursos administrativos constitui matéria indelegável.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delegação somente será válida se for homologada previamente pelo Tribunal de Contas do Estado.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delegação transfere em definitivo a titularidade da competência recursal ao Diretor subordinado, extinguindo a responsabilidade do Secretário.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delegação é cabível desde que o recurso trate de matérias fáticas, sendo vedada apenas para matérias de direito estrito.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poder hierárquico e as prerrogativas de delegação encontram limites intransponíveis expressos na legislação que regula o processo administrativo.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13 da Lei Federal nº 9.784/1999 (e dos diplomas estaduais correlatos) estabelece categoricamente três matérias absolutamente </w:t>
            </w:r>
            <w:r>
              <w:rPr>
                <w:rFonts w:ascii="Arial" w:hAnsi="Arial"/>
                <w:b/>
                <w:i w:val="0"/>
                <w:color w:val="111827"/>
                <w:sz w:val="21"/>
              </w:rPr>
              <w:t>indelegáveis</w:t>
            </w:r>
            <w:r>
              <w:rPr>
                <w:rFonts w:ascii="Arial" w:hAnsi="Arial"/>
                <w:b w:val="0"/>
                <w:i w:val="0"/>
                <w:color w:val="111827"/>
                <w:sz w:val="21"/>
              </w:rPr>
              <w:t xml:space="preserve"> (Mnemônico CENORA): I - a edição de atos de caráter normativo; II - </w:t>
            </w:r>
            <w:r>
              <w:rPr>
                <w:rFonts w:ascii="Arial" w:hAnsi="Arial"/>
                <w:b/>
                <w:i w:val="0"/>
                <w:color w:val="111827"/>
                <w:sz w:val="21"/>
              </w:rPr>
              <w:t>a decisão de recursos administrativos</w:t>
            </w:r>
            <w:r>
              <w:rPr>
                <w:rFonts w:ascii="Arial" w:hAnsi="Arial"/>
                <w:b w:val="0"/>
                <w:i w:val="0"/>
                <w:color w:val="111827"/>
                <w:sz w:val="21"/>
              </w:rPr>
              <w:t>; III - as matérias de competência exclusiva do órgão ou autoridade. A apreciação recursal pressupõe reexame por autoridade de instância superior; admitir a delegação para órgão subordinado desvirtuaria a essência do duplo grau de jurisdição administrativa.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Não compete aos Tribunais de Contas homologar ou chancelar previamente a expedição de portarias internas de delegação.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delegação transfere unicamente o exercício provisório de certas competências, preservando a titularidade no órgão delegante e admitindo revogação a qualquer tempo.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vedação legal de delegação recursal é cogente e genérica, abarcando recursos que debatam matérias fáticas ou de direito.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Analista de Controle Externo)</w:t>
      </w:r>
    </w:p>
    <w:p>
      <w:pPr>
        <w:spacing w:line="360" w:lineRule="auto" w:before="0" w:after="80"/>
        <w:jc w:val="both"/>
      </w:pPr>
      <w:r>
        <w:rPr>
          <w:rFonts w:ascii="Arial" w:hAnsi="Arial"/>
          <w:b w:val="0"/>
          <w:i w:val="0"/>
          <w:color w:val="111827"/>
          <w:sz w:val="24"/>
        </w:rPr>
        <w:t>O Governador do Estado de Goiás editou decreto criando cinco novos Departamentos Técnicos dentro da estrutura da Secretaria da Fazenda e remanejando servidores públicos para preencher as novas chefias criadas, sem que houvesse prévia autorização em lei estadual específica.</w:t>
      </w:r>
    </w:p>
    <w:p>
      <w:pPr>
        <w:spacing w:line="360" w:lineRule="auto" w:before="0" w:after="80"/>
        <w:jc w:val="both"/>
      </w:pPr>
      <w:r>
        <w:rPr>
          <w:rFonts w:ascii="Arial" w:hAnsi="Arial"/>
          <w:b w:val="0"/>
          <w:i w:val="0"/>
          <w:color w:val="111827"/>
          <w:sz w:val="24"/>
        </w:rPr>
        <w:t xml:space="preserve">Analisando a conformidade constitucional do ato com base nos limites do </w:t>
      </w:r>
      <w:r>
        <w:rPr>
          <w:rFonts w:ascii="Arial" w:hAnsi="Arial"/>
          <w:b/>
          <w:i w:val="0"/>
          <w:color w:val="111827"/>
          <w:sz w:val="24"/>
        </w:rPr>
        <w:t>decreto autônomo</w:t>
      </w:r>
      <w:r>
        <w:rPr>
          <w:rFonts w:ascii="Arial" w:hAnsi="Arial"/>
          <w:b w:val="0"/>
          <w:i w:val="0"/>
          <w:color w:val="111827"/>
          <w:sz w:val="24"/>
        </w:rPr>
        <w:t xml:space="preserve"> (CF/88, art. 84, VI):</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ato do Governador é perfeitamente válido, pois a organização da administração pública é matéria de competência privativa que dispensa lei formal em qualquer hipótese.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decreto autônomo é cabível para criar ou extinguir órgãos públicos, desde que não implique criação de novos cargos efetivos.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decreto é inconstitucional, pois o decreto autônomo só pode disciplinar a organização administrativa quando não implicar aumento de despesa nem criação ou extinção de órgãos públicos.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ato configura exercício regular do poder de polícia administrativa, imune ao controle de legalidade.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Apenas o Poder Judiciário poderia sustar os efeitos do referido decreto, descabendo atuação do Poder Legislativo.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competência privativa regulamentar do Chefe do Executivo é demarcada com rigidez pela Constituição, que interdita o uso de decretos autônomos para criar ou extinguir órgãos públicos.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art. 84, VI, "a", veda categoricamente a criação ou extinção de órgãos públicos via decreto autônomo, admitindo apenas a extinção de cargos e funções públicas quando já se encontrarem vagos (alínea "b").</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De acordo com o art. 84, VI, "a", da Constituição Federal, o decreto autônomo só pode disciplinar a organização e funcionamento da administração quando </w:t>
            </w:r>
            <w:r>
              <w:rPr>
                <w:rFonts w:ascii="Arial" w:hAnsi="Arial"/>
                <w:b/>
                <w:i w:val="0"/>
                <w:color w:val="111827"/>
                <w:sz w:val="21"/>
              </w:rPr>
              <w:t>não implicar aumento de despesa</w:t>
            </w:r>
            <w:r>
              <w:rPr>
                <w:rFonts w:ascii="Arial" w:hAnsi="Arial"/>
                <w:b w:val="0"/>
                <w:i w:val="0"/>
                <w:color w:val="111827"/>
                <w:sz w:val="21"/>
              </w:rPr>
              <w:t xml:space="preserve"> nem </w:t>
            </w:r>
            <w:r>
              <w:rPr>
                <w:rFonts w:ascii="Arial" w:hAnsi="Arial"/>
                <w:b/>
                <w:i w:val="0"/>
                <w:color w:val="111827"/>
                <w:sz w:val="21"/>
              </w:rPr>
              <w:t>criação ou extinção de órgãos públicos</w:t>
            </w:r>
            <w:r>
              <w:rPr>
                <w:rFonts w:ascii="Arial" w:hAnsi="Arial"/>
                <w:b w:val="0"/>
                <w:i w:val="0"/>
                <w:color w:val="111827"/>
                <w:sz w:val="21"/>
              </w:rPr>
              <w:t>. Departamentos técnicos possuem a natureza jurídica de órgãos públicos despersonalizados; sua criação exige formalmente lei em sentido estrito (CF, art. 48, XI e art. 61, § 1º, II, "e"). Logo, o decreto padece de inconstitucionalidade formal.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estruturação de secretarias e departamentos corporifica poder regulamentar e de organização administrativa, e não poder de polícia.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Poder Legislativo detém competência constitucional expressa para sustar diretamente os atos normativos do Poder Executivo que exorbitem do poder regulamentar (CF, art. 49, V).</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03 - Atos Administrativos e Processo Administrativo Estadual (Lei 13.800/2001)</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Direito Administrativo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03_atos_administrativos_e_processo_estadual.md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Ato administrativo: conceito, características e distinções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Elementos e requisitos de validade (Competência, Finalidade, Forma, Motivo e Objeto - COFIFOM)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Atributos do ato administrativo: Presunção de Legitimidade, Autoexecutoriedade, Tipicidade e Imperatividade (PATI)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Classificação dos atos administrativos: vinculados e discricionários; simples, complexos e compostos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Formação, efeitos, perfeição, validade e eficácia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Extinção dos atos: anulação, revogação, cassação, caducidade e contraposição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Convalidação (sanamento de vícios de competência e forma)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Processo Administrativo no Estado de Goiás: Lei Estadual nº 13.800/2001 e alterações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Teoria Geral do Ato Administrativo e Distinções Conceituais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Fato da Administração vs. Fato Administrativo vs. Ato Administrativo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Perfeição, Validade e Eficácia do Ato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Elementos e Requisitos de Validade do Ato (Mnemônico COFIFOM)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Competência (Sujeito Competente)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Finalidade e o Desvio de Poder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Forma e Princípio da Solenidade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Motivo e a Teoria dos Motivos Determinantes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Objeto (Conteúdo) e a Delimitação do Mérito Administrativo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Atributos do Ato Administrativo (Mnemônico PATI)</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Presunção de Legitimidade e Veracidade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Autoexecutoriedade e seus Limites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Tipicidade Administrativa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Imperatividade e Poder Extroverso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Classificações Relevantes para a FCC: Atos Simples, Complexos e Compostos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Atos Simples, Complexos e Compostos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O Registro de Aposentadoria no Tribunal de Contas (Tema 445 / STF)</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Extinção e Convalidação dos Atos Administrativos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Modos de Extinção: Anulação, Revogação, Cassação, Caducidade e Contraposição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Convalidação: Requisitos, Limites e Efeitos Temporais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Processo Administrativo no Estado de Goiás (Lei Estadual nº 13.800/2001)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6.1 Princípios Norteadores e Direitos dos Administrados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6.2 Vedações Absolutas à Delegação (Regra do CENORA - Art. 13)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6.3 Impedimentos e Suspeição de Agentes e Julgadores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6.4 Motivação das Decisões e Regime Recursal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8. Questões Comentadas &amp; Exemplos (Padrão FCC)</w:t>
      </w:r>
    </w:p>
    <w:p>
      <w:pPr>
        <w:keepNext/>
        <w:spacing w:before="280" w:after="120"/>
      </w:pPr>
      <w:r>
        <w:rPr>
          <w:rFonts w:ascii="Arial" w:hAnsi="Arial"/>
          <w:b/>
          <w:i w:val="0"/>
          <w:color w:val="2C5282"/>
          <w:sz w:val="28"/>
        </w:rPr>
        <w:t>1. Teoria Geral do Ato Administrativo e Distinções Conceituais</w:t>
      </w:r>
    </w:p>
    <w:p>
      <w:pPr>
        <w:spacing w:line="360" w:lineRule="auto" w:before="0" w:after="80"/>
        <w:jc w:val="both"/>
      </w:pPr>
      <w:r>
        <w:rPr>
          <w:rFonts w:ascii="Arial" w:hAnsi="Arial"/>
          <w:b w:val="0"/>
          <w:i w:val="0"/>
          <w:color w:val="111827"/>
          <w:sz w:val="24"/>
        </w:rPr>
        <w:t>O ato administrativo é a manifestação unilateral de vontade da Administração Pública ou de quem lhe faça as vezes, que, agindo sob o império do Direito Público, tem por fim imediato adquirir, resguardar, transferir, modificar, extinguir ou declarar direitos, ou impor obrigações aos administrados ou a si própria.</w:t>
      </w:r>
    </w:p>
    <w:p>
      <w:pPr>
        <w:keepNext/>
        <w:spacing w:before="200" w:after="80"/>
      </w:pPr>
      <w:r>
        <w:rPr>
          <w:rFonts w:ascii="Arial" w:hAnsi="Arial"/>
          <w:b/>
          <w:i w:val="0"/>
          <w:color w:val="2B6CB0"/>
          <w:sz w:val="24"/>
        </w:rPr>
        <w:t>1.1 Fato da Administração vs. Fato Administrativo vs. Ato Administrativo</w:t>
      </w:r>
    </w:p>
    <w:p>
      <w:pPr>
        <w:spacing w:line="360" w:lineRule="auto" w:before="0" w:after="80"/>
        <w:jc w:val="both"/>
      </w:pPr>
      <w:r>
        <w:rPr>
          <w:rFonts w:ascii="Arial" w:hAnsi="Arial"/>
          <w:b w:val="0"/>
          <w:i w:val="0"/>
          <w:color w:val="111827"/>
          <w:sz w:val="24"/>
        </w:rPr>
        <w:t>A doutrina administrativista clássica (seguida com rigor pela banca FCC) diferencia os eventos jurídicos da administração pública em três categorias: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Fato da Administração:</w:t>
      </w:r>
      <w:r>
        <w:rPr>
          <w:rFonts w:ascii="Arial" w:hAnsi="Arial"/>
          <w:b w:val="0"/>
          <w:i w:val="0"/>
          <w:color w:val="111827"/>
          <w:sz w:val="22"/>
        </w:rPr>
        <w:t xml:space="preserve"> Evento puramente material ou natural ocorrido no seio da Administração, mas desprovido de repercussão ou consequência jurídica direta para o Direito Administrativo (ex.: o funcionário que limpa o chão de uma repartição; a pintura ordinária de uma parede).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Fato Administrativo:</w:t>
      </w:r>
      <w:r>
        <w:rPr>
          <w:rFonts w:ascii="Arial" w:hAnsi="Arial"/>
          <w:b w:val="0"/>
          <w:i w:val="0"/>
          <w:color w:val="111827"/>
          <w:sz w:val="22"/>
        </w:rPr>
        <w:t xml:space="preserve"> Acontecimento fático que produz efeitos jurídicos relevantes no âmbito do Direito Administrativo. Pode decorrer de um ato voluntário (ex.: a apreensão material de mercadorias pirateadas) ou de um evento da natureza (ex.: a queda de uma árvore sobre veículo particular gerando responsabilidade civil; o decurso do tempo acarretando prescrição).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Ato Administrativo:</w:t>
      </w:r>
      <w:r>
        <w:rPr>
          <w:rFonts w:ascii="Arial" w:hAnsi="Arial"/>
          <w:b w:val="0"/>
          <w:i w:val="0"/>
          <w:color w:val="111827"/>
          <w:sz w:val="22"/>
        </w:rPr>
        <w:t xml:space="preserve"> Declaração jurídica formal e intencional emitida pelo Estado com a finalidade de produzir efeitos jurídicos no mundo do direito (ex.: a expedição de uma licença de obras, a demissão de um servidor público estável, a aplicação de uma penalidade em licitação).</w:t>
      </w:r>
    </w:p>
    <w:p>
      <w:pPr>
        <w:keepNext/>
        <w:spacing w:before="200" w:after="80"/>
      </w:pPr>
      <w:r>
        <w:rPr>
          <w:rFonts w:ascii="Arial" w:hAnsi="Arial"/>
          <w:b/>
          <w:i w:val="0"/>
          <w:color w:val="2B6CB0"/>
          <w:sz w:val="24"/>
        </w:rPr>
        <w:t>1.2 Perfeição, Validade e Eficácia do Ato</w:t>
      </w:r>
    </w:p>
    <w:p>
      <w:pPr>
        <w:spacing w:line="360" w:lineRule="auto" w:before="0" w:after="80"/>
        <w:jc w:val="both"/>
      </w:pPr>
      <w:r>
        <w:rPr>
          <w:rFonts w:ascii="Arial" w:hAnsi="Arial"/>
          <w:b w:val="0"/>
          <w:i w:val="0"/>
          <w:color w:val="111827"/>
          <w:sz w:val="24"/>
        </w:rPr>
        <w:t>A teoria tridimensional do ato administrativo estabelece três planos de análise que não se confundem:</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Ato Perfeito:</w:t>
      </w:r>
      <w:r>
        <w:rPr>
          <w:rFonts w:ascii="Arial" w:hAnsi="Arial"/>
          <w:b w:val="0"/>
          <w:i w:val="0"/>
          <w:color w:val="111827"/>
          <w:sz w:val="22"/>
        </w:rPr>
        <w:t xml:space="preserve"> Aquele que completou todas as fases de seu ciclo de formação interna, estando concluído. Pode ser válido ou inválido.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Ato Válido:</w:t>
      </w:r>
      <w:r>
        <w:rPr>
          <w:rFonts w:ascii="Arial" w:hAnsi="Arial"/>
          <w:b w:val="0"/>
          <w:i w:val="0"/>
          <w:color w:val="111827"/>
          <w:sz w:val="22"/>
        </w:rPr>
        <w:t xml:space="preserve"> Aquele que, além de perfeito, atende a todos os requisitos e pressupostos estabelecidos em lei (sem vícios de legalidade).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Ato Eficaz:</w:t>
      </w:r>
      <w:r>
        <w:rPr>
          <w:rFonts w:ascii="Arial" w:hAnsi="Arial"/>
          <w:b w:val="0"/>
          <w:i w:val="0"/>
          <w:color w:val="111827"/>
          <w:sz w:val="22"/>
        </w:rPr>
        <w:t xml:space="preserve"> Aquele que está pronto para deflagrar seus efeitos jurídicos práticos, não dependendo de condição suspensiva, termo inicial ou publicação oficial.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 Prático FCC:</w:t>
      </w:r>
      <w:r>
        <w:rPr>
          <w:rFonts w:ascii="Arial" w:hAnsi="Arial"/>
          <w:b w:val="0"/>
          <w:i w:val="0"/>
          <w:color w:val="111827"/>
          <w:sz w:val="22"/>
        </w:rPr>
        <w:t xml:space="preserve"> Um ato de demissão assinado pelo Governador é </w:t>
      </w:r>
      <w:r>
        <w:rPr>
          <w:rFonts w:ascii="Arial" w:hAnsi="Arial"/>
          <w:b/>
          <w:i w:val="0"/>
          <w:color w:val="111827"/>
          <w:sz w:val="22"/>
        </w:rPr>
        <w:t>perfeito e válido</w:t>
      </w:r>
      <w:r>
        <w:rPr>
          <w:rFonts w:ascii="Arial" w:hAnsi="Arial"/>
          <w:b w:val="0"/>
          <w:i w:val="0"/>
          <w:color w:val="111827"/>
          <w:sz w:val="22"/>
        </w:rPr>
        <w:t xml:space="preserve">, mas só se torna </w:t>
      </w:r>
      <w:r>
        <w:rPr>
          <w:rFonts w:ascii="Arial" w:hAnsi="Arial"/>
          <w:b/>
          <w:i w:val="0"/>
          <w:color w:val="111827"/>
          <w:sz w:val="22"/>
        </w:rPr>
        <w:t>eficaz</w:t>
      </w:r>
      <w:r>
        <w:rPr>
          <w:rFonts w:ascii="Arial" w:hAnsi="Arial"/>
          <w:b w:val="0"/>
          <w:i w:val="0"/>
          <w:color w:val="111827"/>
          <w:sz w:val="22"/>
        </w:rPr>
        <w:t xml:space="preserve"> a partir de sua publicação no Diário Oficial do Estado.</w:t>
      </w:r>
    </w:p>
    <w:p>
      <w:pPr>
        <w:keepNext/>
        <w:spacing w:before="280" w:after="120"/>
      </w:pPr>
      <w:r>
        <w:rPr>
          <w:rFonts w:ascii="Arial" w:hAnsi="Arial"/>
          <w:b/>
          <w:i w:val="0"/>
          <w:color w:val="2C5282"/>
          <w:sz w:val="28"/>
        </w:rPr>
        <w:t>2. Elementos e Requisitos de Validade do Ato (Mnemônico COFIFOM)</w:t>
      </w:r>
    </w:p>
    <w:p>
      <w:pPr>
        <w:spacing w:line="360" w:lineRule="auto" w:before="0" w:after="80"/>
        <w:jc w:val="both"/>
      </w:pPr>
      <w:r>
        <w:rPr>
          <w:rFonts w:ascii="Arial" w:hAnsi="Arial"/>
          <w:b w:val="0"/>
          <w:i w:val="0"/>
          <w:color w:val="111827"/>
          <w:sz w:val="24"/>
        </w:rPr>
        <w:t xml:space="preserve">A Lei de Ação Popular (Lei Federal nº 4.717/1965, art. 2º) positivou a doutrina dos cinco elementos constitutivos indispensáveis para a validade do ato administrativo: </w:t>
      </w:r>
      <w:r>
        <w:rPr>
          <w:rFonts w:ascii="Arial" w:hAnsi="Arial"/>
          <w:b/>
          <w:i w:val="0"/>
          <w:color w:val="111827"/>
          <w:sz w:val="24"/>
        </w:rPr>
        <w:t>Competência, Finalidade, Forma, Motivo e Objeto</w:t>
      </w:r>
      <w:r>
        <w:rPr>
          <w:rFonts w:ascii="Arial" w:hAnsi="Arial"/>
          <w:b w:val="0"/>
          <w:i w:val="0"/>
          <w:color w:val="111827"/>
          <w:sz w:val="24"/>
        </w:rPr>
        <w:t xml:space="preserve"> (</w:t>
      </w:r>
      <w:r>
        <w:rPr>
          <w:rFonts w:ascii="Arial" w:hAnsi="Arial"/>
          <w:b/>
          <w:i w:val="0"/>
          <w:color w:val="111827"/>
          <w:sz w:val="24"/>
        </w:rPr>
        <w:t>COFIFOM</w:t>
      </w:r>
      <w:r>
        <w:rPr>
          <w:rFonts w:ascii="Arial" w:hAnsi="Arial"/>
          <w:b w:val="0"/>
          <w:i w:val="0"/>
          <w:color w:val="111827"/>
          <w:sz w:val="24"/>
        </w:rPr>
        <w:t>).</w:t>
      </w:r>
    </w:p>
    <w:p>
      <w:pPr>
        <w:spacing w:after="120"/>
      </w:pPr>
    </w:p>
    <w:p>
      <w:pPr>
        <w:keepNext/>
        <w:spacing w:before="200" w:after="80"/>
      </w:pPr>
      <w:r>
        <w:rPr>
          <w:rFonts w:ascii="Arial" w:hAnsi="Arial"/>
          <w:b/>
          <w:i w:val="0"/>
          <w:color w:val="2B6CB0"/>
          <w:sz w:val="24"/>
        </w:rPr>
        <w:t>2.1 Competência (Sujeito Competente)</w:t>
      </w:r>
    </w:p>
    <w:p>
      <w:pPr>
        <w:spacing w:line="360" w:lineRule="auto" w:before="0" w:after="80"/>
        <w:jc w:val="both"/>
      </w:pPr>
      <w:r>
        <w:rPr>
          <w:rFonts w:ascii="Arial" w:hAnsi="Arial"/>
          <w:b w:val="0"/>
          <w:i w:val="0"/>
          <w:color w:val="111827"/>
          <w:sz w:val="24"/>
        </w:rPr>
        <w:t>É o círculo de atribuições conferido pelo ordenamento jurídico ao agente ou órgão público para a prática do ato.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Características:</w:t>
      </w:r>
      <w:r>
        <w:rPr>
          <w:rFonts w:ascii="Arial" w:hAnsi="Arial"/>
          <w:b w:val="0"/>
          <w:i w:val="0"/>
          <w:color w:val="111827"/>
          <w:sz w:val="22"/>
        </w:rPr>
        <w:t xml:space="preserve"> É irrenunciável, intransferível por acordo entre as partes, inderrogável, imprescritível e imodificável pela vontade do titular.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Espécies de Vício de Competência:</w:t>
      </w:r>
    </w:p>
    <w:p>
      <w:pPr>
        <w:spacing w:line="276" w:lineRule="auto" w:before="20" w:after="40"/>
        <w:ind w:left="992"/>
      </w:pPr>
      <w:r>
        <w:rPr>
          <w:rFonts w:ascii="Arial" w:hAnsi="Arial"/>
          <w:b/>
          <w:color w:val="2B6CB0"/>
          <w:sz w:val="22"/>
        </w:rPr>
        <w:t xml:space="preserve">• </w:t>
      </w:r>
      <w:r>
        <w:rPr>
          <w:rFonts w:ascii="Arial" w:hAnsi="Arial"/>
          <w:b w:val="0"/>
          <w:i/>
          <w:color w:val="111827"/>
          <w:sz w:val="22"/>
        </w:rPr>
        <w:t>Usurpação de Função:</w:t>
      </w:r>
      <w:r>
        <w:rPr>
          <w:rFonts w:ascii="Arial" w:hAnsi="Arial"/>
          <w:b w:val="0"/>
          <w:i w:val="0"/>
          <w:color w:val="111827"/>
          <w:sz w:val="22"/>
        </w:rPr>
        <w:t xml:space="preserve"> Crime praticado por particular que se faz passar por funcionário público (ato inexistente).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Excesso de Poder:</w:t>
      </w:r>
      <w:r>
        <w:rPr>
          <w:rFonts w:ascii="Arial" w:hAnsi="Arial"/>
          <w:b w:val="0"/>
          <w:i w:val="0"/>
          <w:color w:val="111827"/>
          <w:sz w:val="22"/>
        </w:rPr>
        <w:t xml:space="preserve"> O agente público ultrapassa os limites legais de suas atribuições funcionais (ato nulo insanável).</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Incompetência Relativa:</w:t>
      </w:r>
      <w:r>
        <w:rPr>
          <w:rFonts w:ascii="Arial" w:hAnsi="Arial"/>
          <w:b w:val="0"/>
          <w:i w:val="0"/>
          <w:color w:val="111827"/>
          <w:sz w:val="22"/>
        </w:rPr>
        <w:t xml:space="preserve"> O ato é praticado por agente de mesmo órgão ou hierarquia que não detinha a atribuição específica, sem que a competência fosse atribuída com exclusividade pela lei. Admite </w:t>
      </w:r>
      <w:r>
        <w:rPr>
          <w:rFonts w:ascii="Arial" w:hAnsi="Arial"/>
          <w:b/>
          <w:i w:val="0"/>
          <w:color w:val="111827"/>
          <w:sz w:val="22"/>
        </w:rPr>
        <w:t>convalidação</w:t>
      </w:r>
      <w:r>
        <w:rPr>
          <w:rFonts w:ascii="Arial" w:hAnsi="Arial"/>
          <w:b w:val="0"/>
          <w:i w:val="0"/>
          <w:color w:val="111827"/>
          <w:sz w:val="22"/>
        </w:rPr>
        <w:t xml:space="preserve"> por ratificação da autoridade competente.</w:t>
      </w:r>
    </w:p>
    <w:p>
      <w:pPr>
        <w:keepNext/>
        <w:spacing w:before="200" w:after="80"/>
      </w:pPr>
      <w:r>
        <w:rPr>
          <w:rFonts w:ascii="Arial" w:hAnsi="Arial"/>
          <w:b/>
          <w:i w:val="0"/>
          <w:color w:val="2B6CB0"/>
          <w:sz w:val="24"/>
        </w:rPr>
        <w:t>2.2 Finalidade e o Desvio de Poder</w:t>
      </w:r>
    </w:p>
    <w:p>
      <w:pPr>
        <w:spacing w:line="360" w:lineRule="auto" w:before="0" w:after="80"/>
        <w:jc w:val="both"/>
      </w:pPr>
      <w:r>
        <w:rPr>
          <w:rFonts w:ascii="Arial" w:hAnsi="Arial"/>
          <w:b w:val="0"/>
          <w:i w:val="0"/>
          <w:color w:val="111827"/>
          <w:sz w:val="24"/>
        </w:rPr>
        <w:t xml:space="preserve">A finalidade representa o objetivo mediato de interesse público que o ato deve alcançar. É elemento </w:t>
      </w:r>
      <w:r>
        <w:rPr>
          <w:rFonts w:ascii="Arial" w:hAnsi="Arial"/>
          <w:b/>
          <w:i w:val="0"/>
          <w:color w:val="111827"/>
          <w:sz w:val="24"/>
        </w:rPr>
        <w:t>invariavelmente vinculado</w:t>
      </w:r>
      <w:r>
        <w:rPr>
          <w:rFonts w:ascii="Arial" w:hAnsi="Arial"/>
          <w:b w:val="0"/>
          <w:i w:val="0"/>
          <w:color w:val="111827"/>
          <w:sz w:val="24"/>
        </w:rPr>
        <w:t>; o administrador jamais detém discricionariedade para escolher a finalidade pública a ser perseguida.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Desvio de Finalidade (Desvio de Poder):</w:t>
      </w:r>
      <w:r>
        <w:rPr>
          <w:rFonts w:ascii="Arial" w:hAnsi="Arial"/>
          <w:b w:val="0"/>
          <w:i w:val="0"/>
          <w:color w:val="111827"/>
          <w:sz w:val="22"/>
        </w:rPr>
        <w:t xml:space="preserve"> Ocorre quando a autoridade competente utiliza poderes legítimos para atingir fins alheios ao interesse público ou fim diverso daquele categorizado pela lei para aquela competência (ex.: remoção compulsória de servidor com o propósito punitivo disfarçado de perseguição pessoal). É vício que acarreta a </w:t>
      </w:r>
      <w:r>
        <w:rPr>
          <w:rFonts w:ascii="Arial" w:hAnsi="Arial"/>
          <w:b/>
          <w:i w:val="0"/>
          <w:color w:val="111827"/>
          <w:sz w:val="22"/>
        </w:rPr>
        <w:t>nulidade absoluta e insanável</w:t>
      </w:r>
      <w:r>
        <w:rPr>
          <w:rFonts w:ascii="Arial" w:hAnsi="Arial"/>
          <w:b w:val="0"/>
          <w:i w:val="0"/>
          <w:color w:val="111827"/>
          <w:sz w:val="22"/>
        </w:rPr>
        <w:t xml:space="preserve"> do ato administrativo.</w:t>
      </w:r>
    </w:p>
    <w:p>
      <w:pPr>
        <w:keepNext/>
        <w:spacing w:before="200" w:after="80"/>
      </w:pPr>
      <w:r>
        <w:rPr>
          <w:rFonts w:ascii="Arial" w:hAnsi="Arial"/>
          <w:b/>
          <w:i w:val="0"/>
          <w:color w:val="2B6CB0"/>
          <w:sz w:val="24"/>
        </w:rPr>
        <w:t>2.3 Forma e Princípio da Solenidade</w:t>
      </w:r>
    </w:p>
    <w:p>
      <w:pPr>
        <w:spacing w:line="360" w:lineRule="auto" w:before="0" w:after="80"/>
        <w:jc w:val="both"/>
      </w:pPr>
      <w:r>
        <w:rPr>
          <w:rFonts w:ascii="Arial" w:hAnsi="Arial"/>
          <w:b w:val="0"/>
          <w:i w:val="0"/>
          <w:color w:val="111827"/>
          <w:sz w:val="24"/>
        </w:rPr>
        <w:t>A forma é o modo pelo qual a vontade da Administração se exterioriza e ganha publicidade no mundo jurídico.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No Direito Administrativo vige o princípio do formalismo moderado, mas como regra geral os atos são solenes e devem ser expedidos por </w:t>
      </w:r>
      <w:r>
        <w:rPr>
          <w:rFonts w:ascii="Arial" w:hAnsi="Arial"/>
          <w:b/>
          <w:i w:val="0"/>
          <w:color w:val="111827"/>
          <w:sz w:val="22"/>
        </w:rPr>
        <w:t>escrito</w:t>
      </w:r>
      <w:r>
        <w:rPr>
          <w:rFonts w:ascii="Arial" w:hAnsi="Arial"/>
          <w:b w:val="0"/>
          <w:i w:val="0"/>
          <w:color w:val="111827"/>
          <w:sz w:val="22"/>
        </w:rPr>
        <w:t>, contendo data, identificação do cargo e assinatura.</w:t>
      </w:r>
    </w:p>
    <w:p>
      <w:pPr>
        <w:spacing w:line="276" w:lineRule="auto" w:before="20" w:after="40"/>
        <w:ind w:left="425"/>
      </w:pPr>
      <w:r>
        <w:rPr>
          <w:rFonts w:ascii="Arial" w:hAnsi="Arial"/>
          <w:b/>
          <w:color w:val="2B6CB0"/>
          <w:sz w:val="22"/>
        </w:rPr>
        <w:t xml:space="preserve">• </w:t>
      </w:r>
      <w:r>
        <w:rPr>
          <w:rFonts w:ascii="Arial" w:hAnsi="Arial"/>
          <w:b w:val="0"/>
          <w:i/>
          <w:color w:val="111827"/>
          <w:sz w:val="22"/>
        </w:rPr>
        <w:t>Defeitos de Forma:</w:t>
      </w:r>
      <w:r>
        <w:rPr>
          <w:rFonts w:ascii="Arial" w:hAnsi="Arial"/>
          <w:b w:val="0"/>
          <w:i w:val="0"/>
          <w:color w:val="111827"/>
          <w:sz w:val="22"/>
        </w:rPr>
        <w:t xml:space="preserve"> A omissão de formalidades não essenciais que não prejudiquem o direito de defesa dos administrados configura vício sanável, passível de </w:t>
      </w:r>
      <w:r>
        <w:rPr>
          <w:rFonts w:ascii="Arial" w:hAnsi="Arial"/>
          <w:b/>
          <w:i w:val="0"/>
          <w:color w:val="111827"/>
          <w:sz w:val="22"/>
        </w:rPr>
        <w:t>convalidação</w:t>
      </w:r>
      <w:r>
        <w:rPr>
          <w:rFonts w:ascii="Arial" w:hAnsi="Arial"/>
          <w:b w:val="0"/>
          <w:i w:val="0"/>
          <w:color w:val="111827"/>
          <w:sz w:val="22"/>
        </w:rPr>
        <w:t>.</w:t>
      </w:r>
    </w:p>
    <w:p>
      <w:pPr>
        <w:keepNext/>
        <w:spacing w:before="200" w:after="80"/>
      </w:pPr>
      <w:r>
        <w:rPr>
          <w:rFonts w:ascii="Arial" w:hAnsi="Arial"/>
          <w:b/>
          <w:i w:val="0"/>
          <w:color w:val="2B6CB0"/>
          <w:sz w:val="24"/>
        </w:rPr>
        <w:t>2.4 Motivo e a Teoria dos Motivos Determinantes</w:t>
      </w:r>
    </w:p>
    <w:p>
      <w:pPr>
        <w:spacing w:line="360" w:lineRule="auto" w:before="0" w:after="80"/>
        <w:jc w:val="both"/>
      </w:pPr>
      <w:r>
        <w:rPr>
          <w:rFonts w:ascii="Arial" w:hAnsi="Arial"/>
          <w:b w:val="0"/>
          <w:i w:val="0"/>
          <w:color w:val="111827"/>
          <w:sz w:val="24"/>
        </w:rPr>
        <w:t>O motivo constitui a situação de fato (o evento do mundo real) e a situação de direito (o enquadramento na norma legal) que autorizam ou determinam a prática do ato administrativo.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Não se confunde com a </w:t>
      </w:r>
      <w:r>
        <w:rPr>
          <w:rFonts w:ascii="Arial" w:hAnsi="Arial"/>
          <w:b/>
          <w:i w:val="0"/>
          <w:color w:val="111827"/>
          <w:sz w:val="22"/>
        </w:rPr>
        <w:t>motivação</w:t>
      </w:r>
      <w:r>
        <w:rPr>
          <w:rFonts w:ascii="Arial" w:hAnsi="Arial"/>
          <w:b w:val="0"/>
          <w:i w:val="0"/>
          <w:color w:val="111827"/>
          <w:sz w:val="22"/>
        </w:rPr>
        <w:t xml:space="preserve"> (a motivação é a declaração escrita dos motivos; o motivo é o próprio fato em si).</w:t>
      </w:r>
    </w:p>
    <w:p>
      <w:pPr>
        <w:keepNext/>
        <w:spacing w:before="120" w:after="40"/>
      </w:pPr>
      <w:r>
        <w:rPr>
          <w:rFonts w:ascii="Arial" w:hAnsi="Arial"/>
          <w:b/>
          <w:i/>
          <w:color w:val="334155"/>
          <w:sz w:val="22"/>
        </w:rPr>
        <w:t>A Teoria dos Motivos Determinantes:</w:t>
      </w:r>
    </w:p>
    <w:p>
      <w:pPr>
        <w:spacing w:line="360" w:lineRule="auto" w:before="0" w:after="80"/>
        <w:jc w:val="both"/>
      </w:pPr>
      <w:r>
        <w:rPr>
          <w:rFonts w:ascii="Arial" w:hAnsi="Arial"/>
          <w:b w:val="0"/>
          <w:i w:val="0"/>
          <w:color w:val="111827"/>
          <w:sz w:val="24"/>
        </w:rPr>
        <w:t>Consagrada pela jurisprudência pacífica do STF e do STJ, preceitua que a validade do ato administrativo fica indissoluvelmente vinculada à veracidade, exatidão e subsistência dos motivos alegados pela autoridade: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Mesmo que o ato seja discricionário e prescindisse originalmente de motivação obrigatória (como a exoneração </w:t>
      </w:r>
      <w:r>
        <w:rPr>
          <w:rFonts w:ascii="Arial" w:hAnsi="Arial"/>
          <w:b w:val="0"/>
          <w:i/>
          <w:color w:val="111827"/>
          <w:sz w:val="22"/>
        </w:rPr>
        <w:t>ad nutum</w:t>
      </w:r>
      <w:r>
        <w:rPr>
          <w:rFonts w:ascii="Arial" w:hAnsi="Arial"/>
          <w:b w:val="0"/>
          <w:i w:val="0"/>
          <w:color w:val="111827"/>
          <w:sz w:val="22"/>
        </w:rPr>
        <w:t xml:space="preserve"> de um assessor comissionado), se a autoridade decidir enunciar publicamente um motivo (ex.: afirmar no decreto que exonerou o servidor em razão do corte orçamentário do setor), </w:t>
      </w:r>
      <w:r>
        <w:rPr>
          <w:rFonts w:ascii="Arial" w:hAnsi="Arial"/>
          <w:b/>
          <w:i w:val="0"/>
          <w:color w:val="111827"/>
          <w:sz w:val="22"/>
        </w:rPr>
        <w:t>o ato ficará vinculado a essa justificativa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for judicialmente ou administrativamente comprovado que o motivo é falso (o órgão tinha recursos abundantes) ou juridicamente inexistente, </w:t>
      </w:r>
      <w:r>
        <w:rPr>
          <w:rFonts w:ascii="Arial" w:hAnsi="Arial"/>
          <w:b/>
          <w:i w:val="0"/>
          <w:color w:val="111827"/>
          <w:sz w:val="22"/>
        </w:rPr>
        <w:t>o ato de exoneração é nulo de pleno direito</w:t>
      </w:r>
      <w:r>
        <w:rPr>
          <w:rFonts w:ascii="Arial" w:hAnsi="Arial"/>
          <w:b w:val="0"/>
          <w:i w:val="0"/>
          <w:color w:val="111827"/>
          <w:sz w:val="22"/>
        </w:rPr>
        <w:t>, devendo ser extirpado da ordem jurídica.</w:t>
      </w:r>
    </w:p>
    <w:p>
      <w:pPr>
        <w:keepNext/>
        <w:spacing w:before="200" w:after="80"/>
      </w:pPr>
      <w:r>
        <w:rPr>
          <w:rFonts w:ascii="Arial" w:hAnsi="Arial"/>
          <w:b/>
          <w:i w:val="0"/>
          <w:color w:val="2B6CB0"/>
          <w:sz w:val="24"/>
        </w:rPr>
        <w:t>2.5 Objeto (Conteúdo) e a Delimitação do Mérito Administrativo</w:t>
      </w:r>
    </w:p>
    <w:p>
      <w:pPr>
        <w:spacing w:line="360" w:lineRule="auto" w:before="0" w:after="80"/>
        <w:jc w:val="both"/>
      </w:pPr>
      <w:r>
        <w:rPr>
          <w:rFonts w:ascii="Arial" w:hAnsi="Arial"/>
          <w:b w:val="0"/>
          <w:i w:val="0"/>
          <w:color w:val="111827"/>
          <w:sz w:val="24"/>
        </w:rPr>
        <w:t>O objeto é o efeito jurídico imediato e substantivo que o ato produz no mundo real (é o "o que" o ato decide, cria, extingue ou altera). Deve ser lícito, possível, determinado ou determinável.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O Mérito Administrativo:</w:t>
      </w:r>
      <w:r>
        <w:rPr>
          <w:rFonts w:ascii="Arial" w:hAnsi="Arial"/>
          <w:b w:val="0"/>
          <w:i w:val="0"/>
          <w:color w:val="111827"/>
          <w:sz w:val="22"/>
        </w:rPr>
        <w:t xml:space="preserve"> Nos atos discricionários, o mérito administrativo — consubstanciado no juízo de </w:t>
      </w:r>
      <w:r>
        <w:rPr>
          <w:rFonts w:ascii="Arial" w:hAnsi="Arial"/>
          <w:b/>
          <w:i w:val="0"/>
          <w:color w:val="111827"/>
          <w:sz w:val="22"/>
        </w:rPr>
        <w:t>conveniência e oportunidade</w:t>
      </w:r>
      <w:r>
        <w:rPr>
          <w:rFonts w:ascii="Arial" w:hAnsi="Arial"/>
          <w:b w:val="0"/>
          <w:i w:val="0"/>
          <w:color w:val="111827"/>
          <w:sz w:val="22"/>
        </w:rPr>
        <w:t xml:space="preserve"> privativo da autoridade pública — incide </w:t>
      </w:r>
      <w:r>
        <w:rPr>
          <w:rFonts w:ascii="Arial" w:hAnsi="Arial"/>
          <w:b/>
          <w:i w:val="0"/>
          <w:color w:val="111827"/>
          <w:sz w:val="22"/>
        </w:rPr>
        <w:t>estrita e unicamente sobre o Motivo e o Objeto</w:t>
      </w:r>
      <w:r>
        <w:rPr>
          <w:rFonts w:ascii="Arial" w:hAnsi="Arial"/>
          <w:b w:val="0"/>
          <w:i w:val="0"/>
          <w:color w:val="111827"/>
          <w:sz w:val="22"/>
        </w:rPr>
        <w:t>. Os elementos Competência, Finalidade e Forma são sempre vinculados.</w:t>
      </w:r>
    </w:p>
    <w:p>
      <w:pPr>
        <w:keepNext/>
        <w:spacing w:before="280" w:after="120"/>
      </w:pPr>
      <w:r>
        <w:rPr>
          <w:rFonts w:ascii="Arial" w:hAnsi="Arial"/>
          <w:b/>
          <w:i w:val="0"/>
          <w:color w:val="2C5282"/>
          <w:sz w:val="28"/>
        </w:rPr>
        <w:t>3. Atributos do Ato Administrativo (Mnemônico PATI)</w:t>
      </w:r>
    </w:p>
    <w:p>
      <w:pPr>
        <w:spacing w:line="360" w:lineRule="auto" w:before="0" w:after="80"/>
        <w:jc w:val="both"/>
      </w:pPr>
      <w:r>
        <w:rPr>
          <w:rFonts w:ascii="Arial" w:hAnsi="Arial"/>
          <w:b w:val="0"/>
          <w:i w:val="0"/>
          <w:color w:val="111827"/>
          <w:sz w:val="24"/>
        </w:rPr>
        <w:t>Os atributos do ato administrativo consagram prerrogativas que decorrem diretamente do princípio da supremacia do interesse público:</w:t>
      </w:r>
    </w:p>
    <w:p>
      <w:pPr>
        <w:spacing w:after="120"/>
      </w:pPr>
    </w:p>
    <w:p>
      <w:pPr>
        <w:keepNext/>
        <w:spacing w:before="200" w:after="80"/>
      </w:pPr>
      <w:r>
        <w:rPr>
          <w:rFonts w:ascii="Arial" w:hAnsi="Arial"/>
          <w:b/>
          <w:i w:val="0"/>
          <w:color w:val="2B6CB0"/>
          <w:sz w:val="24"/>
        </w:rPr>
        <w:t>3.1 Presunção de Legitimidade e Veracidade</w:t>
      </w:r>
    </w:p>
    <w:p>
      <w:pPr>
        <w:spacing w:line="360" w:lineRule="auto" w:before="0" w:after="80"/>
        <w:jc w:val="both"/>
      </w:pPr>
      <w:r>
        <w:rPr>
          <w:rFonts w:ascii="Arial" w:hAnsi="Arial"/>
          <w:b w:val="0"/>
          <w:i w:val="0"/>
          <w:color w:val="111827"/>
          <w:sz w:val="24"/>
        </w:rPr>
        <w:t>Presume-se que o ato administrativo foi expedido em estrita consonância com a lei (legitimidade) e que os fatos relatados pelos agentes públicos são verdadeiros (veracidade).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É presunção relativa (</w:t>
      </w:r>
      <w:r>
        <w:rPr>
          <w:rFonts w:ascii="Arial" w:hAnsi="Arial"/>
          <w:b w:val="0"/>
          <w:i/>
          <w:color w:val="111827"/>
          <w:sz w:val="22"/>
        </w:rPr>
        <w:t>juris tantum</w:t>
      </w:r>
      <w:r>
        <w:rPr>
          <w:rFonts w:ascii="Arial" w:hAnsi="Arial"/>
          <w:b w:val="0"/>
          <w:i w:val="0"/>
          <w:color w:val="111827"/>
          <w:sz w:val="22"/>
        </w:rPr>
        <w:t>), que admite prova em contrário.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Gera a </w:t>
      </w:r>
      <w:r>
        <w:rPr>
          <w:rFonts w:ascii="Arial" w:hAnsi="Arial"/>
          <w:b/>
          <w:i w:val="0"/>
          <w:color w:val="111827"/>
          <w:sz w:val="22"/>
        </w:rPr>
        <w:t>inversão do ônus da prova</w:t>
      </w:r>
      <w:r>
        <w:rPr>
          <w:rFonts w:ascii="Arial" w:hAnsi="Arial"/>
          <w:b w:val="0"/>
          <w:i w:val="0"/>
          <w:color w:val="111827"/>
          <w:sz w:val="22"/>
        </w:rPr>
        <w:t>: incumbe ao particular demonstrar e comprovar a ilegalidade ou falsidade do ato impugnado perante o Judiciário ou a Administração.</w:t>
      </w:r>
    </w:p>
    <w:p>
      <w:pPr>
        <w:keepNext/>
        <w:spacing w:before="200" w:after="80"/>
      </w:pPr>
      <w:r>
        <w:rPr>
          <w:rFonts w:ascii="Arial" w:hAnsi="Arial"/>
          <w:b/>
          <w:i w:val="0"/>
          <w:color w:val="2B6CB0"/>
          <w:sz w:val="24"/>
        </w:rPr>
        <w:t>3.2 Autoexecutoriedade e seus Limites</w:t>
      </w:r>
    </w:p>
    <w:p>
      <w:pPr>
        <w:spacing w:line="360" w:lineRule="auto" w:before="0" w:after="80"/>
        <w:jc w:val="both"/>
      </w:pPr>
      <w:r>
        <w:rPr>
          <w:rFonts w:ascii="Arial" w:hAnsi="Arial"/>
          <w:b w:val="0"/>
          <w:i w:val="0"/>
          <w:color w:val="111827"/>
          <w:sz w:val="24"/>
        </w:rPr>
        <w:t xml:space="preserve">É a prerrogativa conferida à Administração Pública de compelir materialmente o administrado a cumprir o ato ou executar diretamente a providência administrativa, inclusive com uso moderado da força física policial, </w:t>
      </w:r>
      <w:r>
        <w:rPr>
          <w:rFonts w:ascii="Arial" w:hAnsi="Arial"/>
          <w:b/>
          <w:i w:val="0"/>
          <w:color w:val="111827"/>
          <w:sz w:val="24"/>
        </w:rPr>
        <w:t>sem necessidade de intervenção ou autorização prévia do Poder Judiciário</w:t>
      </w:r>
      <w:r>
        <w:rPr>
          <w:rFonts w:ascii="Arial" w:hAnsi="Arial"/>
          <w:b w:val="0"/>
          <w:i w:val="0"/>
          <w:color w:val="111827"/>
          <w:sz w:val="24"/>
        </w:rPr>
        <w:t xml:space="preserve"> (ex.: guincho de carro estacionado em local proibido; interdição e lacração de restaurante com alimentos deteriorados; apreensão de drogas).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Limites Críticos da Autoexecutoriedade:</w:t>
      </w:r>
      <w:r>
        <w:rPr>
          <w:rFonts w:ascii="Arial" w:hAnsi="Arial"/>
          <w:b w:val="0"/>
          <w:i w:val="0"/>
          <w:color w:val="111827"/>
          <w:sz w:val="22"/>
        </w:rPr>
        <w:t xml:space="preserve"> A autoexecutoriedade depende de expressa previsão legal ou de situação fática emergencial/urgente.  </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CLÁSSICO FCC:</w:t>
            </w:r>
          </w:p>
          <w:p>
            <w:pPr>
              <w:spacing w:line="288" w:lineRule="auto" w:before="40" w:after="40"/>
            </w:pPr>
            <w:r>
              <w:rPr>
                <w:rFonts w:ascii="Arial" w:hAnsi="Arial"/>
                <w:b w:val="0"/>
                <w:i w:val="0"/>
                <w:color w:val="111827"/>
                <w:sz w:val="21"/>
              </w:rPr>
              <w:t xml:space="preserve">A cobrança de </w:t>
            </w:r>
            <w:r>
              <w:rPr>
                <w:rFonts w:ascii="Arial" w:hAnsi="Arial"/>
                <w:b/>
                <w:i w:val="0"/>
                <w:color w:val="111827"/>
                <w:sz w:val="21"/>
              </w:rPr>
              <w:t>multas pecuniárias administrativas NÃO é autoexecutória</w:t>
            </w:r>
            <w:r>
              <w:rPr>
                <w:rFonts w:ascii="Arial" w:hAnsi="Arial"/>
                <w:b w:val="0"/>
                <w:i w:val="0"/>
                <w:color w:val="111827"/>
                <w:sz w:val="21"/>
              </w:rPr>
              <w:t>! Se o particular se recusar a pagar a multa, a Administração não pode tomar o dinheiro de sua conta bancária diretamente; deve inscrever o débito em Dívida Ativa e ajuizar Ação de Execução Fiscal perante o Poder Judiciário.</w:t>
            </w:r>
          </w:p>
        </w:tc>
      </w:tr>
    </w:tbl>
    <w:p>
      <w:pPr>
        <w:spacing w:before="0" w:after="120"/>
      </w:pPr>
    </w:p>
    <w:p>
      <w:pPr>
        <w:keepNext/>
        <w:spacing w:before="200" w:after="80"/>
      </w:pPr>
      <w:r>
        <w:rPr>
          <w:rFonts w:ascii="Arial" w:hAnsi="Arial"/>
          <w:b/>
          <w:i w:val="0"/>
          <w:color w:val="2B6CB0"/>
          <w:sz w:val="24"/>
        </w:rPr>
        <w:t>3.3 Tipicidade Administrativa</w:t>
      </w:r>
    </w:p>
    <w:p>
      <w:pPr>
        <w:spacing w:line="360" w:lineRule="auto" w:before="0" w:after="80"/>
        <w:jc w:val="both"/>
      </w:pPr>
      <w:r>
        <w:rPr>
          <w:rFonts w:ascii="Arial" w:hAnsi="Arial"/>
          <w:b w:val="0"/>
          <w:i w:val="0"/>
          <w:color w:val="111827"/>
          <w:sz w:val="24"/>
        </w:rPr>
        <w:t>Formulada por Maria Sylvia Zanella Di Pietro, preceitua que cada ato administrativo deve corresponder rigorosamente a figuras e modelos abstratos previamente tipificados na legislação. Impede que o Estado crie atos unilaterais inominados ou arbitrários sem desenho legal prévio.</w:t>
      </w:r>
    </w:p>
    <w:p>
      <w:pPr>
        <w:keepNext/>
        <w:spacing w:before="200" w:after="80"/>
      </w:pPr>
      <w:r>
        <w:rPr>
          <w:rFonts w:ascii="Arial" w:hAnsi="Arial"/>
          <w:b/>
          <w:i w:val="0"/>
          <w:color w:val="2B6CB0"/>
          <w:sz w:val="24"/>
        </w:rPr>
        <w:t>3.4 Imperatividade e Poder Extroverso</w:t>
      </w:r>
    </w:p>
    <w:p>
      <w:pPr>
        <w:spacing w:line="360" w:lineRule="auto" w:before="0" w:after="80"/>
        <w:jc w:val="both"/>
      </w:pPr>
      <w:r>
        <w:rPr>
          <w:rFonts w:ascii="Arial" w:hAnsi="Arial"/>
          <w:b w:val="0"/>
          <w:i w:val="0"/>
          <w:color w:val="111827"/>
          <w:sz w:val="24"/>
        </w:rPr>
        <w:t>Consiste na faculdade de impor obrigações coercitivas e restrições unilaterais a terceiros, independentemente de sua concordância prévia.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Não está presente em atos negociais (licenças, autorizações) e atos meramente enunciativos (pareceres, certidões, atestados).</w:t>
      </w:r>
    </w:p>
    <w:p>
      <w:pPr>
        <w:keepNext/>
        <w:spacing w:before="280" w:after="120"/>
      </w:pPr>
      <w:r>
        <w:rPr>
          <w:rFonts w:ascii="Arial" w:hAnsi="Arial"/>
          <w:b/>
          <w:i w:val="0"/>
          <w:color w:val="2C5282"/>
          <w:sz w:val="28"/>
        </w:rPr>
        <w:t>4. Classificações Relevantes para a FCC: Atos Simples, Complexos e Compostos</w:t>
      </w:r>
    </w:p>
    <w:p>
      <w:pPr>
        <w:keepNext/>
        <w:spacing w:before="200" w:after="80"/>
      </w:pPr>
      <w:r>
        <w:rPr>
          <w:rFonts w:ascii="Arial" w:hAnsi="Arial"/>
          <w:b/>
          <w:i w:val="0"/>
          <w:color w:val="2B6CB0"/>
          <w:sz w:val="24"/>
        </w:rPr>
        <w:t>4.1 Atos Simples, Complexos e Compostos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Ato Simples:</w:t>
      </w:r>
      <w:r>
        <w:rPr>
          <w:rFonts w:ascii="Arial" w:hAnsi="Arial"/>
          <w:b w:val="0"/>
          <w:i w:val="0"/>
          <w:color w:val="111827"/>
          <w:sz w:val="22"/>
        </w:rPr>
        <w:t xml:space="preserve"> Resulta da manifestação de vontade de um </w:t>
      </w:r>
      <w:r>
        <w:rPr>
          <w:rFonts w:ascii="Arial" w:hAnsi="Arial"/>
          <w:b/>
          <w:i w:val="0"/>
          <w:color w:val="111827"/>
          <w:sz w:val="22"/>
        </w:rPr>
        <w:t>único órgão</w:t>
      </w:r>
      <w:r>
        <w:rPr>
          <w:rFonts w:ascii="Arial" w:hAnsi="Arial"/>
          <w:b w:val="0"/>
          <w:i w:val="0"/>
          <w:color w:val="111827"/>
          <w:sz w:val="22"/>
        </w:rPr>
        <w:t xml:space="preserve"> administrativo (seja ele singular, como o ato de um Secretário de Estado, ou colegiado, como a decisão plenária de um Tribunal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Ato Composto:</w:t>
      </w:r>
      <w:r>
        <w:rPr>
          <w:rFonts w:ascii="Arial" w:hAnsi="Arial"/>
          <w:b w:val="0"/>
          <w:i w:val="0"/>
          <w:color w:val="111827"/>
          <w:sz w:val="22"/>
        </w:rPr>
        <w:t xml:space="preserve"> Resulta da manifestação de vontade de um único órgão que emite um </w:t>
      </w:r>
      <w:r>
        <w:rPr>
          <w:rFonts w:ascii="Arial" w:hAnsi="Arial"/>
          <w:b/>
          <w:i w:val="0"/>
          <w:color w:val="111827"/>
          <w:sz w:val="22"/>
        </w:rPr>
        <w:t>ato principal</w:t>
      </w:r>
      <w:r>
        <w:rPr>
          <w:rFonts w:ascii="Arial" w:hAnsi="Arial"/>
          <w:b w:val="0"/>
          <w:i w:val="0"/>
          <w:color w:val="111827"/>
          <w:sz w:val="22"/>
        </w:rPr>
        <w:t xml:space="preserve">, cuja eficácia depende de um </w:t>
      </w:r>
      <w:r>
        <w:rPr>
          <w:rFonts w:ascii="Arial" w:hAnsi="Arial"/>
          <w:b/>
          <w:i w:val="0"/>
          <w:color w:val="111827"/>
          <w:sz w:val="22"/>
        </w:rPr>
        <w:t>ato instrumental acessório</w:t>
      </w:r>
      <w:r>
        <w:rPr>
          <w:rFonts w:ascii="Arial" w:hAnsi="Arial"/>
          <w:b w:val="0"/>
          <w:i w:val="0"/>
          <w:color w:val="111827"/>
          <w:sz w:val="22"/>
        </w:rPr>
        <w:t xml:space="preserve"> emanado de outro órgão (ex.: aprovação, homologação, visto, chancela). Há um ato principal e um ato acessório.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Ato Complexo:</w:t>
      </w:r>
      <w:r>
        <w:rPr>
          <w:rFonts w:ascii="Arial" w:hAnsi="Arial"/>
          <w:b w:val="0"/>
          <w:i w:val="0"/>
          <w:color w:val="111827"/>
          <w:sz w:val="22"/>
        </w:rPr>
        <w:t xml:space="preserve"> Resulta da </w:t>
      </w:r>
      <w:r>
        <w:rPr>
          <w:rFonts w:ascii="Arial" w:hAnsi="Arial"/>
          <w:b/>
          <w:i w:val="0"/>
          <w:color w:val="111827"/>
          <w:sz w:val="22"/>
        </w:rPr>
        <w:t>fusão e integração convergente de vontades de dois ou mais órgãos autônomos e independentes</w:t>
      </w:r>
      <w:r>
        <w:rPr>
          <w:rFonts w:ascii="Arial" w:hAnsi="Arial"/>
          <w:b w:val="0"/>
          <w:i w:val="0"/>
          <w:color w:val="111827"/>
          <w:sz w:val="22"/>
        </w:rPr>
        <w:t xml:space="preserve">, que se conjugam para formar um </w:t>
      </w:r>
      <w:r>
        <w:rPr>
          <w:rFonts w:ascii="Arial" w:hAnsi="Arial"/>
          <w:b/>
          <w:i w:val="0"/>
          <w:color w:val="111827"/>
          <w:sz w:val="22"/>
        </w:rPr>
        <w:t>único ato administrativo final</w:t>
      </w:r>
      <w:r>
        <w:rPr>
          <w:rFonts w:ascii="Arial" w:hAnsi="Arial"/>
          <w:b w:val="0"/>
          <w:i w:val="0"/>
          <w:color w:val="111827"/>
          <w:sz w:val="22"/>
        </w:rPr>
        <w:t>.</w:t>
      </w:r>
    </w:p>
    <w:p>
      <w:pPr>
        <w:spacing w:after="120"/>
      </w:pPr>
    </w:p>
    <w:p>
      <w:pPr>
        <w:keepNext/>
        <w:spacing w:before="200" w:after="80"/>
      </w:pPr>
      <w:r>
        <w:rPr>
          <w:rFonts w:ascii="Arial" w:hAnsi="Arial"/>
          <w:b/>
          <w:i w:val="0"/>
          <w:color w:val="2B6CB0"/>
          <w:sz w:val="24"/>
        </w:rPr>
        <w:t>4.2 O Registro de Aposentadoria no Tribunal de Contas (Tema 445 / STF)</w:t>
      </w:r>
    </w:p>
    <w:p>
      <w:pPr>
        <w:spacing w:line="360" w:lineRule="auto" w:before="0" w:after="80"/>
        <w:jc w:val="both"/>
      </w:pPr>
      <w:r>
        <w:rPr>
          <w:rFonts w:ascii="Arial" w:hAnsi="Arial"/>
          <w:b w:val="0"/>
          <w:i w:val="0"/>
          <w:color w:val="111827"/>
          <w:sz w:val="24"/>
        </w:rPr>
        <w:t>O julgamento da legalidade e a concessão de registro de aposentadoria, pensão ou reforma pelas Cortes de Contas é um dos temas prediletos da FCC:</w:t>
      </w:r>
    </w:p>
    <w:p>
      <w:pPr>
        <w:spacing w:line="276" w:lineRule="auto" w:before="20" w:after="40"/>
        <w:ind w:left="425"/>
      </w:pPr>
      <w:r>
        <w:rPr>
          <w:rFonts w:ascii="Arial" w:hAnsi="Arial"/>
          <w:b/>
          <w:color w:val="1B365D"/>
          <w:sz w:val="22"/>
        </w:rPr>
        <w:t xml:space="preserve">1. </w:t>
      </w:r>
      <w:r>
        <w:rPr>
          <w:rFonts w:ascii="Arial" w:hAnsi="Arial"/>
          <w:b/>
          <w:i w:val="0"/>
          <w:color w:val="111827"/>
          <w:sz w:val="22"/>
        </w:rPr>
        <w:t>Natureza Jurídica:</w:t>
      </w:r>
      <w:r>
        <w:rPr>
          <w:rFonts w:ascii="Arial" w:hAnsi="Arial"/>
          <w:b w:val="0"/>
          <w:i w:val="0"/>
          <w:color w:val="111827"/>
          <w:sz w:val="22"/>
        </w:rPr>
        <w:t xml:space="preserve"> Trata-se categoricamente de um </w:t>
      </w:r>
      <w:r>
        <w:rPr>
          <w:rFonts w:ascii="Arial" w:hAnsi="Arial"/>
          <w:b/>
          <w:i w:val="0"/>
          <w:color w:val="111827"/>
          <w:sz w:val="22"/>
        </w:rPr>
        <w:t>ato administrativo complexo</w:t>
      </w:r>
      <w:r>
        <w:rPr>
          <w:rFonts w:ascii="Arial" w:hAnsi="Arial"/>
          <w:b w:val="0"/>
          <w:i w:val="0"/>
          <w:color w:val="111827"/>
          <w:sz w:val="22"/>
        </w:rPr>
        <w:t xml:space="preserve"> (Súmula Vinculante nº 3 e pacífica jurisprudência do STF). O ato inicial expedido pelo órgão de origem é meramente precário e provisório; somente ganha definitividade e perfeição com o julgamento e registro pelo Tribunal de Contas.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Dispensa de Contraditório Prévio (SV nº 3):</w:t>
      </w:r>
      <w:r>
        <w:rPr>
          <w:rFonts w:ascii="Arial" w:hAnsi="Arial"/>
          <w:b w:val="0"/>
          <w:i w:val="0"/>
          <w:color w:val="111827"/>
          <w:sz w:val="22"/>
        </w:rPr>
        <w:t xml:space="preserve"> Na apreciação da legalidade do ato de concessão inicial de aposentadoria, é dispensado o contraditório e a ampla defesa no Tribunal de Contas, salvo se transcorrer prazo desarrazoado.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O Prazo Decadencial de 5 Anos (Tema 445 do STF):</w:t>
      </w:r>
      <w:r>
        <w:rPr>
          <w:rFonts w:ascii="Arial" w:hAnsi="Arial"/>
          <w:b w:val="0"/>
          <w:i w:val="0"/>
          <w:color w:val="111827"/>
          <w:sz w:val="22"/>
        </w:rPr>
        <w:t xml:space="preserve"> O STF fixou a seguinte tese vinculante:</w:t>
      </w:r>
    </w:p>
    <w:p>
      <w:pPr>
        <w:spacing w:line="240" w:lineRule="auto" w:before="40" w:after="40"/>
        <w:ind w:left="2268"/>
      </w:pPr>
      <w:r>
        <w:rPr>
          <w:rFonts w:ascii="Arial" w:hAnsi="Arial"/>
          <w:b w:val="0"/>
          <w:i w:val="0"/>
          <w:color w:val="111827"/>
          <w:sz w:val="20"/>
        </w:rPr>
        <w:t xml:space="preserve">*"Em atenção aos princípios da segurança jurídica e da confiança legítima, os Tribunais de Contas estão sujeitos ao prazo de 5 anos para o julgamento da legalidade do ato de concessão inicial de aposentadoria, reforma ou pensão, </w:t>
      </w:r>
      <w:r>
        <w:rPr>
          <w:rFonts w:ascii="Arial" w:hAnsi="Arial"/>
          <w:b/>
          <w:i w:val="0"/>
          <w:color w:val="111827"/>
          <w:sz w:val="20"/>
        </w:rPr>
        <w:t>a contar da chegada do processo à respectiva Corte de Contas</w:t>
      </w:r>
      <w:r>
        <w:rPr>
          <w:rFonts w:ascii="Arial" w:hAnsi="Arial"/>
          <w:b w:val="0"/>
          <w:i w:val="0"/>
          <w:color w:val="111827"/>
          <w:sz w:val="20"/>
        </w:rPr>
        <w:t>, após o qual, se não houver decisão, o ato considerar-se-á definitivamente registrado."*</w:t>
      </w:r>
    </w:p>
    <w:p>
      <w:pPr>
        <w:spacing w:after="80"/>
      </w:pPr>
    </w:p>
    <w:p>
      <w:pPr>
        <w:spacing w:line="276" w:lineRule="auto" w:before="20" w:after="40"/>
        <w:ind w:left="425"/>
      </w:pPr>
      <w:r>
        <w:rPr>
          <w:rFonts w:ascii="Arial" w:hAnsi="Arial"/>
          <w:b/>
          <w:color w:val="1B365D"/>
          <w:sz w:val="22"/>
        </w:rPr>
        <w:t xml:space="preserve">4. </w:t>
      </w:r>
      <w:r>
        <w:rPr>
          <w:rFonts w:ascii="Arial" w:hAnsi="Arial"/>
          <w:b/>
          <w:i w:val="0"/>
          <w:color w:val="111827"/>
          <w:sz w:val="22"/>
        </w:rPr>
        <w:t>Impossibilidade de Revogação por Conveniência:</w:t>
      </w:r>
      <w:r>
        <w:rPr>
          <w:rFonts w:ascii="Arial" w:hAnsi="Arial"/>
          <w:b w:val="0"/>
          <w:i w:val="0"/>
          <w:color w:val="111827"/>
          <w:sz w:val="22"/>
        </w:rPr>
        <w:t xml:space="preserve"> Por se tratar de ato vinculado, a autoridade de origem não pode revogar a aposentadoria com base em razões de conveniência ou oportunidade (mérito).</w:t>
      </w:r>
    </w:p>
    <w:p>
      <w:pPr>
        <w:keepNext/>
        <w:spacing w:before="280" w:after="120"/>
      </w:pPr>
      <w:r>
        <w:rPr>
          <w:rFonts w:ascii="Arial" w:hAnsi="Arial"/>
          <w:b/>
          <w:i w:val="0"/>
          <w:color w:val="2C5282"/>
          <w:sz w:val="28"/>
        </w:rPr>
        <w:t>5. Extinção e Convalidação dos Atos Administrativos</w:t>
      </w:r>
    </w:p>
    <w:p>
      <w:pPr>
        <w:keepNext/>
        <w:spacing w:before="200" w:after="80"/>
      </w:pPr>
      <w:r>
        <w:rPr>
          <w:rFonts w:ascii="Arial" w:hAnsi="Arial"/>
          <w:b/>
          <w:i w:val="0"/>
          <w:color w:val="2B6CB0"/>
          <w:sz w:val="24"/>
        </w:rPr>
        <w:t>5.1 Modos de Extinção: Anulação, Revogação, Cassação, Caducidade e Contraposição</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Modalidade de Extinção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Causa Primária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Efeitos no Tempo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Competência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Distinção Prática FCC</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Anulação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Ilegalidade originária</w:t>
            </w:r>
            <w:r>
              <w:rPr>
                <w:rFonts w:ascii="Arial" w:hAnsi="Arial"/>
                <w:b w:val="0"/>
                <w:i w:val="0"/>
                <w:color w:val="111827"/>
                <w:sz w:val="19"/>
              </w:rPr>
              <w:t xml:space="preserve"> do ato (vício de legalidade insanável)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**Retroativo (</w:t>
            </w:r>
            <w:r>
              <w:rPr>
                <w:rFonts w:ascii="Arial" w:hAnsi="Arial"/>
                <w:b w:val="0"/>
                <w:i/>
                <w:color w:val="111827"/>
                <w:sz w:val="19"/>
              </w:rPr>
              <w:t>ex tunc</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Administração Pública ou Poder Judiciário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Desfaz o ato desde o nascimento, pois dele não se originam direitos.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Revogação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Inconveniência ou inoportunidade superveniente</w:t>
            </w:r>
            <w:r>
              <w:rPr>
                <w:rFonts w:ascii="Arial" w:hAnsi="Arial"/>
                <w:b w:val="0"/>
                <w:i w:val="0"/>
                <w:color w:val="111827"/>
                <w:sz w:val="19"/>
              </w:rPr>
              <w:t xml:space="preserve"> (mérito)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**Prospectivo (</w:t>
            </w:r>
            <w:r>
              <w:rPr>
                <w:rFonts w:ascii="Arial" w:hAnsi="Arial"/>
                <w:b w:val="0"/>
                <w:i/>
                <w:color w:val="111827"/>
                <w:sz w:val="19"/>
              </w:rPr>
              <w:t>ex nunc</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Exclusiva da própria Administração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Recai sobre atos válidos; respeita direitos adquiridos e atos consumados.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Cassação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Descumprimento de condições legais</w:t>
            </w:r>
            <w:r>
              <w:rPr>
                <w:rFonts w:ascii="Arial" w:hAnsi="Arial"/>
                <w:b w:val="0"/>
                <w:i w:val="0"/>
                <w:color w:val="111827"/>
                <w:sz w:val="19"/>
              </w:rPr>
              <w:t xml:space="preserve"> pelo particular beneficiário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Ex nunc</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Administração Pública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Sanção contra o administrado faltoso (ex.: cassar alvará sanitário por comida estragada).</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Caducidade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Superveniência de lei nova</w:t>
            </w:r>
            <w:r>
              <w:rPr>
                <w:rFonts w:ascii="Arial" w:hAnsi="Arial"/>
                <w:b w:val="0"/>
                <w:i w:val="0"/>
                <w:color w:val="111827"/>
                <w:sz w:val="19"/>
              </w:rPr>
              <w:t xml:space="preserve"> que torna a atividade ilegal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Ex nunc</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Administração Pública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ato era legal, mas nova legislação proibiu a atividade (ex.: lei que veda pedágio na área).</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Contraposição / Derrubada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Emissão de </w:t>
            </w:r>
            <w:r>
              <w:rPr>
                <w:rFonts w:ascii="Arial" w:hAnsi="Arial"/>
                <w:b/>
                <w:i w:val="0"/>
                <w:color w:val="111827"/>
                <w:sz w:val="19"/>
              </w:rPr>
              <w:t>novo ato com efeitos antagônicos</w:t>
            </w:r>
            <w:r>
              <w:rPr>
                <w:rFonts w:ascii="Arial" w:hAnsi="Arial"/>
                <w:b w:val="0"/>
                <w:i w:val="0"/>
                <w:color w:val="111827"/>
                <w:sz w:val="19"/>
              </w:rPr>
              <w:t xml:space="preserve"> e incompatíveis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Ex nunc</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Administração Pública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novo ato extingue o anterior (ex.: ato de exoneração contrapõe-se ao de nomeação).</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Renúncia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Desistência expressa voluntária manifestada pelo beneficiário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Ex nunc</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Manifestação do particular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titular abre mão do benefício conferido pelo ato.</w:t>
            </w:r>
          </w:p>
        </w:tc>
      </w:tr>
    </w:tbl>
    <w:p>
      <w:pPr>
        <w:spacing w:after="120"/>
      </w:pP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Atenção Máxima FCC:</w:t>
      </w:r>
    </w:p>
    <w:p>
      <w:pPr>
        <w:spacing w:line="240" w:lineRule="auto" w:before="40" w:after="40"/>
        <w:ind w:left="2268"/>
      </w:pPr>
      <w:r>
        <w:rPr>
          <w:rFonts w:ascii="Arial" w:hAnsi="Arial"/>
          <w:b w:val="0"/>
          <w:i w:val="0"/>
          <w:color w:val="111827"/>
          <w:sz w:val="20"/>
        </w:rPr>
        <w:t xml:space="preserve">O Poder Judiciário </w:t>
      </w:r>
      <w:r>
        <w:rPr>
          <w:rFonts w:ascii="Arial" w:hAnsi="Arial"/>
          <w:b/>
          <w:i w:val="0"/>
          <w:color w:val="111827"/>
          <w:sz w:val="20"/>
        </w:rPr>
        <w:t>JAMAIS pode revogar atos administrativos do Poder Executivo</w:t>
      </w:r>
      <w:r>
        <w:rPr>
          <w:rFonts w:ascii="Arial" w:hAnsi="Arial"/>
          <w:b w:val="0"/>
          <w:i w:val="0"/>
          <w:color w:val="111827"/>
          <w:sz w:val="20"/>
        </w:rPr>
        <w:t>. O Judiciário pode anular atos ilegais, mas se pronunciar sobre a conveniência e oportunidade de atos do Executivo configuraria intolerável violação à separação dos Poderes (art. 2º da CF).</w:t>
      </w:r>
    </w:p>
    <w:p>
      <w:pPr>
        <w:spacing w:after="80"/>
      </w:pPr>
    </w:p>
    <w:p>
      <w:pPr>
        <w:keepNext/>
        <w:spacing w:before="200" w:after="80"/>
      </w:pPr>
      <w:r>
        <w:rPr>
          <w:rFonts w:ascii="Arial" w:hAnsi="Arial"/>
          <w:b/>
          <w:i w:val="0"/>
          <w:color w:val="2B6CB0"/>
          <w:sz w:val="24"/>
        </w:rPr>
        <w:t>5.2 Convalidação: Requisitos, Limites e Efeitos Temporais</w:t>
      </w:r>
    </w:p>
    <w:p>
      <w:pPr>
        <w:spacing w:line="360" w:lineRule="auto" w:before="0" w:after="80"/>
        <w:jc w:val="both"/>
      </w:pPr>
      <w:r>
        <w:rPr>
          <w:rFonts w:ascii="Arial" w:hAnsi="Arial"/>
          <w:b w:val="0"/>
          <w:i w:val="0"/>
          <w:color w:val="111827"/>
          <w:sz w:val="24"/>
        </w:rPr>
        <w:t>A convalidação (ou sanatória) é o ato administrativo pelo qual a Administração corrige e supre um vício existente em ato ilegal anterior com efeitos retroativos (</w:t>
      </w:r>
      <w:r>
        <w:rPr>
          <w:rFonts w:ascii="Arial" w:hAnsi="Arial"/>
          <w:b/>
          <w:i w:val="0"/>
          <w:color w:val="111827"/>
          <w:sz w:val="24"/>
        </w:rPr>
        <w:t>ex tunc</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Dispositivo Normativo:</w:t>
      </w:r>
      <w:r>
        <w:rPr>
          <w:rFonts w:ascii="Arial" w:hAnsi="Arial"/>
          <w:b w:val="0"/>
          <w:i w:val="0"/>
          <w:color w:val="111827"/>
          <w:sz w:val="22"/>
        </w:rPr>
        <w:t xml:space="preserve"> Art. 55 da Lei Federal nº 9.784/1999 e art. 54 da Lei Estadual/GO nº 13.800/2001.</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Requisitos Cumulativos Obrigatórios:</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 xml:space="preserve">O ato </w:t>
      </w:r>
      <w:r>
        <w:rPr>
          <w:rFonts w:ascii="Arial" w:hAnsi="Arial"/>
          <w:b/>
          <w:i w:val="0"/>
          <w:color w:val="111827"/>
          <w:sz w:val="22"/>
        </w:rPr>
        <w:t>não pode acarretar lesão ao interesse público</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 xml:space="preserve">O ato </w:t>
      </w:r>
      <w:r>
        <w:rPr>
          <w:rFonts w:ascii="Arial" w:hAnsi="Arial"/>
          <w:b/>
          <w:i w:val="0"/>
          <w:color w:val="111827"/>
          <w:sz w:val="22"/>
        </w:rPr>
        <w:t>não pode causar prejuízos a terceiros de boa-fé</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 xml:space="preserve">O vício deve ser </w:t>
      </w:r>
      <w:r>
        <w:rPr>
          <w:rFonts w:ascii="Arial" w:hAnsi="Arial"/>
          <w:b/>
          <w:i w:val="0"/>
          <w:color w:val="111827"/>
          <w:sz w:val="22"/>
        </w:rPr>
        <w:t>sanável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Defeitos Sanáveis que Comportam Convalidação: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Competência quanto à Pessoa:</w:t>
      </w:r>
      <w:r>
        <w:rPr>
          <w:rFonts w:ascii="Arial" w:hAnsi="Arial"/>
          <w:b w:val="0"/>
          <w:i w:val="0"/>
          <w:color w:val="111827"/>
          <w:sz w:val="22"/>
        </w:rPr>
        <w:t xml:space="preserve"> Admite convalidação (ratificação pela autoridade competente), desde que a lei </w:t>
      </w:r>
      <w:r>
        <w:rPr>
          <w:rFonts w:ascii="Arial" w:hAnsi="Arial"/>
          <w:b/>
          <w:i w:val="0"/>
          <w:color w:val="111827"/>
          <w:sz w:val="22"/>
        </w:rPr>
        <w:t>NÃO tenha atribuído competência exclusiva</w:t>
      </w:r>
      <w:r>
        <w:rPr>
          <w:rFonts w:ascii="Arial" w:hAnsi="Arial"/>
          <w:b w:val="0"/>
          <w:i w:val="0"/>
          <w:color w:val="111827"/>
          <w:sz w:val="22"/>
        </w:rPr>
        <w:t xml:space="preserve"> à autoridade que praticou o ato originário.</w:t>
      </w:r>
    </w:p>
    <w:p>
      <w:pPr>
        <w:spacing w:line="276" w:lineRule="auto" w:before="20" w:after="40"/>
        <w:ind w:left="992"/>
      </w:pPr>
      <w:r>
        <w:rPr>
          <w:rFonts w:ascii="Arial" w:hAnsi="Arial"/>
          <w:b/>
          <w:color w:val="2B6CB0"/>
          <w:sz w:val="22"/>
        </w:rPr>
        <w:t xml:space="preserve">• </w:t>
      </w:r>
      <w:r>
        <w:rPr>
          <w:rFonts w:ascii="Arial" w:hAnsi="Arial"/>
          <w:b/>
          <w:i w:val="0"/>
          <w:color w:val="111827"/>
          <w:sz w:val="22"/>
        </w:rPr>
        <w:t>Forma:</w:t>
      </w:r>
      <w:r>
        <w:rPr>
          <w:rFonts w:ascii="Arial" w:hAnsi="Arial"/>
          <w:b w:val="0"/>
          <w:i w:val="0"/>
          <w:color w:val="111827"/>
          <w:sz w:val="22"/>
        </w:rPr>
        <w:t xml:space="preserve"> Admite convalidação se a forma desrespeitada não foi expressamente exigida por lei como requisito essencial de validade do ato.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Defeitos Insanáveis (NULIDADE ABSOLUTA - Vedada Convalidação):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Vício de </w:t>
      </w:r>
      <w:r>
        <w:rPr>
          <w:rFonts w:ascii="Arial" w:hAnsi="Arial"/>
          <w:b/>
          <w:i w:val="0"/>
          <w:color w:val="111827"/>
          <w:sz w:val="22"/>
        </w:rPr>
        <w:t>Finalidade</w:t>
      </w:r>
      <w:r>
        <w:rPr>
          <w:rFonts w:ascii="Arial" w:hAnsi="Arial"/>
          <w:b w:val="0"/>
          <w:i w:val="0"/>
          <w:color w:val="111827"/>
          <w:sz w:val="22"/>
        </w:rPr>
        <w:t xml:space="preserve"> (desvio de poder);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Vício de </w:t>
      </w:r>
      <w:r>
        <w:rPr>
          <w:rFonts w:ascii="Arial" w:hAnsi="Arial"/>
          <w:b/>
          <w:i w:val="0"/>
          <w:color w:val="111827"/>
          <w:sz w:val="22"/>
        </w:rPr>
        <w:t>Motivo</w:t>
      </w:r>
      <w:r>
        <w:rPr>
          <w:rFonts w:ascii="Arial" w:hAnsi="Arial"/>
          <w:b w:val="0"/>
          <w:i w:val="0"/>
          <w:color w:val="111827"/>
          <w:sz w:val="22"/>
        </w:rPr>
        <w:t xml:space="preserve"> (motivo falso ou inexistente);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Vício de </w:t>
      </w:r>
      <w:r>
        <w:rPr>
          <w:rFonts w:ascii="Arial" w:hAnsi="Arial"/>
          <w:b/>
          <w:i w:val="0"/>
          <w:color w:val="111827"/>
          <w:sz w:val="22"/>
        </w:rPr>
        <w:t>Objeto</w:t>
      </w:r>
      <w:r>
        <w:rPr>
          <w:rFonts w:ascii="Arial" w:hAnsi="Arial"/>
          <w:b w:val="0"/>
          <w:i w:val="0"/>
          <w:color w:val="111827"/>
          <w:sz w:val="22"/>
        </w:rPr>
        <w:t xml:space="preserve"> (objeto ilícito ou impossível);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Vício de competência privativa/exclusiva ou forma essencial.</w:t>
      </w:r>
    </w:p>
    <w:p>
      <w:pPr>
        <w:keepNext/>
        <w:spacing w:before="280" w:after="120"/>
      </w:pPr>
      <w:r>
        <w:rPr>
          <w:rFonts w:ascii="Arial" w:hAnsi="Arial"/>
          <w:b/>
          <w:i w:val="0"/>
          <w:color w:val="2C5282"/>
          <w:sz w:val="28"/>
        </w:rPr>
        <w:t>6. Processo Administrativo no Estado de Goiás (Lei Estadual nº 13.800/2001)</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Lei Estadual nº 13.800/2001</w:t>
      </w:r>
      <w:r>
        <w:rPr>
          <w:rFonts w:ascii="Arial" w:hAnsi="Arial"/>
          <w:b w:val="0"/>
          <w:i w:val="0"/>
          <w:color w:val="111827"/>
          <w:sz w:val="24"/>
        </w:rPr>
        <w:t xml:space="preserve"> disciplina o processo administrativo no âmbito da Administração Pública direta e indireta do Estado de Goiás:</w:t>
      </w:r>
    </w:p>
    <w:p>
      <w:pPr>
        <w:keepNext/>
        <w:spacing w:before="200" w:after="80"/>
      </w:pPr>
      <w:r>
        <w:rPr>
          <w:rFonts w:ascii="Arial" w:hAnsi="Arial"/>
          <w:b/>
          <w:i w:val="0"/>
          <w:color w:val="2B6CB0"/>
          <w:sz w:val="24"/>
        </w:rPr>
        <w:t>6.1 Princípios Norteadores e Direitos dos Administrados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Subordina-se aos princípios da legalidade, finalidade, motivação, razoabilidade, proporcionalidade, moralidade, ampla defesa, contraditório, segurança jurídica, interesse público e eficiência (art. 2º).</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Reconhece o direito do cidadão de ser tratado com respeito, ter ciência da tramitação dos processos em que tenha a condição de interessado, ter vista dos autos, obter certidões e formular alegações e apresentar documentos antes da tomada da decisão.</w:t>
      </w:r>
    </w:p>
    <w:p>
      <w:pPr>
        <w:keepNext/>
        <w:spacing w:before="200" w:after="80"/>
      </w:pPr>
      <w:r>
        <w:rPr>
          <w:rFonts w:ascii="Arial" w:hAnsi="Arial"/>
          <w:b/>
          <w:i w:val="0"/>
          <w:color w:val="2B6CB0"/>
          <w:sz w:val="24"/>
        </w:rPr>
        <w:t>6.2 Vedações Absolutas à Delegação (Regra do CENORA - Art. 13)</w:t>
      </w:r>
    </w:p>
    <w:p>
      <w:pPr>
        <w:spacing w:line="360" w:lineRule="auto" w:before="0" w:after="80"/>
        <w:jc w:val="both"/>
      </w:pPr>
      <w:r>
        <w:rPr>
          <w:rFonts w:ascii="Arial" w:hAnsi="Arial"/>
          <w:b w:val="0"/>
          <w:i w:val="0"/>
          <w:color w:val="111827"/>
          <w:sz w:val="24"/>
        </w:rPr>
        <w:t>Reproduzindo a regra geral do direito público brasileiro, o art. 13 da Lei Goiana nº 13.800/2001 veda taxativamente a delegação de três matérias específicas: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Competência Exclusiva</w:t>
      </w:r>
      <w:r>
        <w:rPr>
          <w:rFonts w:ascii="Arial" w:hAnsi="Arial"/>
          <w:b w:val="0"/>
          <w:i w:val="0"/>
          <w:color w:val="111827"/>
          <w:sz w:val="22"/>
        </w:rPr>
        <w:t xml:space="preserve"> atribuída por lei a determinado órgão ou autoridade;</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Edição de atos de caráter </w:t>
      </w:r>
      <w:r>
        <w:rPr>
          <w:rFonts w:ascii="Arial" w:hAnsi="Arial"/>
          <w:b/>
          <w:i w:val="0"/>
          <w:color w:val="111827"/>
          <w:sz w:val="22"/>
        </w:rPr>
        <w:t>Normativo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Decisão de </w:t>
      </w:r>
      <w:r>
        <w:rPr>
          <w:rFonts w:ascii="Arial" w:hAnsi="Arial"/>
          <w:b/>
          <w:i w:val="0"/>
          <w:color w:val="111827"/>
          <w:sz w:val="22"/>
        </w:rPr>
        <w:t>Recursos Administrativos</w:t>
      </w:r>
      <w:r>
        <w:rPr>
          <w:rFonts w:ascii="Arial" w:hAnsi="Arial"/>
          <w:b w:val="0"/>
          <w:i w:val="0"/>
          <w:color w:val="111827"/>
          <w:sz w:val="22"/>
        </w:rPr>
        <w:t>.</w:t>
      </w:r>
    </w:p>
    <w:p>
      <w:pPr>
        <w:keepNext/>
        <w:spacing w:before="200" w:after="80"/>
      </w:pPr>
      <w:r>
        <w:rPr>
          <w:rFonts w:ascii="Arial" w:hAnsi="Arial"/>
          <w:b/>
          <w:i w:val="0"/>
          <w:color w:val="2B6CB0"/>
          <w:sz w:val="24"/>
        </w:rPr>
        <w:t>6.3 Impedimentos e Suspeição de Agentes e Julgadores</w:t>
      </w:r>
    </w:p>
    <w:p>
      <w:pPr>
        <w:spacing w:line="360" w:lineRule="auto" w:before="0" w:after="80"/>
        <w:jc w:val="both"/>
      </w:pPr>
      <w:r>
        <w:rPr>
          <w:rFonts w:ascii="Arial" w:hAnsi="Arial"/>
          <w:b w:val="0"/>
          <w:i w:val="0"/>
          <w:color w:val="111827"/>
          <w:sz w:val="24"/>
        </w:rPr>
        <w:t>Para assegurar a imparcialidade nas decisões administrativas, a lei estadual estabelece distinção crucial entre:</w:t>
      </w:r>
    </w:p>
    <w:p>
      <w:pPr>
        <w:spacing w:line="276" w:lineRule="auto" w:before="20" w:after="40"/>
        <w:ind w:left="425"/>
      </w:pPr>
      <w:r>
        <w:rPr>
          <w:rFonts w:ascii="Arial" w:hAnsi="Arial"/>
          <w:b/>
          <w:color w:val="2B6CB0"/>
          <w:sz w:val="22"/>
        </w:rPr>
        <w:t xml:space="preserve">• </w:t>
      </w:r>
      <w:r>
        <w:rPr>
          <w:rFonts w:ascii="Arial" w:hAnsi="Arial"/>
          <w:b/>
          <w:i w:val="0"/>
          <w:color w:val="111827"/>
          <w:sz w:val="22"/>
        </w:rPr>
        <w:t>Impedimento (Vício Objetivo - Art. 18):</w:t>
      </w:r>
      <w:r>
        <w:rPr>
          <w:rFonts w:ascii="Arial" w:hAnsi="Arial"/>
          <w:b w:val="0"/>
          <w:i w:val="0"/>
          <w:color w:val="111827"/>
          <w:sz w:val="22"/>
        </w:rPr>
        <w:t xml:space="preserve"> O servidor ou autoridade é legalmente impedido de atuar em processo no qual: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Tenha interesse direto ou indireto na matéria;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Tenha participado ou venha a participar como perito, testemunha ou representante, ou se tais situações ocorrerem quanto ao cônjuge, companheiro ou parentes até o terceiro grau;</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Esteja litigando judicial ou administrativamente com o interessado ou respectivo cônjuge/companheiro.</w:t>
      </w:r>
    </w:p>
    <w:p>
      <w:pPr>
        <w:spacing w:line="276" w:lineRule="auto" w:before="20" w:after="40"/>
        <w:ind w:left="992"/>
      </w:pPr>
      <w:r>
        <w:rPr>
          <w:rFonts w:ascii="Arial" w:hAnsi="Arial"/>
          <w:b/>
          <w:color w:val="2B6CB0"/>
          <w:sz w:val="22"/>
        </w:rPr>
        <w:t xml:space="preserve">• </w:t>
      </w:r>
      <w:r>
        <w:rPr>
          <w:rFonts w:ascii="Arial" w:hAnsi="Arial"/>
          <w:b w:val="0"/>
          <w:i/>
          <w:color w:val="111827"/>
          <w:sz w:val="22"/>
        </w:rPr>
        <w:t>Omissão do Impedimento:</w:t>
      </w:r>
      <w:r>
        <w:rPr>
          <w:rFonts w:ascii="Arial" w:hAnsi="Arial"/>
          <w:b w:val="0"/>
          <w:i w:val="0"/>
          <w:color w:val="111827"/>
          <w:sz w:val="22"/>
        </w:rPr>
        <w:t xml:space="preserve"> Constitui falta disciplinar grave.</w:t>
      </w:r>
    </w:p>
    <w:p>
      <w:pPr>
        <w:spacing w:line="276" w:lineRule="auto" w:before="20" w:after="40"/>
        <w:ind w:left="425"/>
      </w:pPr>
      <w:r>
        <w:rPr>
          <w:rFonts w:ascii="Arial" w:hAnsi="Arial"/>
          <w:b/>
          <w:color w:val="2B6CB0"/>
          <w:sz w:val="22"/>
        </w:rPr>
        <w:t xml:space="preserve">• </w:t>
      </w:r>
      <w:r>
        <w:rPr>
          <w:rFonts w:ascii="Arial" w:hAnsi="Arial"/>
          <w:b/>
          <w:i w:val="0"/>
          <w:color w:val="111827"/>
          <w:sz w:val="22"/>
        </w:rPr>
        <w:t>Suspeição (Vício Subjetivo - Art. 20):</w:t>
      </w:r>
      <w:r>
        <w:rPr>
          <w:rFonts w:ascii="Arial" w:hAnsi="Arial"/>
          <w:b w:val="0"/>
          <w:i w:val="0"/>
          <w:color w:val="111827"/>
          <w:sz w:val="22"/>
        </w:rPr>
        <w:t xml:space="preserve"> Pode ser arguida a suspeição de autoridade ou servidor que tenha amizade íntima ou inimizade notória com algum dos interessados ou com os respectivos cônjuges, companheiros, parentes e afins até o terceiro grau.</w:t>
      </w:r>
    </w:p>
    <w:p>
      <w:pPr>
        <w:keepNext/>
        <w:spacing w:before="200" w:after="80"/>
      </w:pPr>
      <w:r>
        <w:rPr>
          <w:rFonts w:ascii="Arial" w:hAnsi="Arial"/>
          <w:b/>
          <w:i w:val="0"/>
          <w:color w:val="2B6CB0"/>
          <w:sz w:val="24"/>
        </w:rPr>
        <w:t>6.4 Motivação das Decisões e Regime Recursal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Dever de Motivação (Art. 50):</w:t>
      </w:r>
      <w:r>
        <w:rPr>
          <w:rFonts w:ascii="Arial" w:hAnsi="Arial"/>
          <w:b w:val="0"/>
          <w:i w:val="0"/>
          <w:color w:val="111827"/>
          <w:sz w:val="22"/>
        </w:rPr>
        <w:t xml:space="preserve"> As decisões que neguem, limitem ou afetem direitos ou interesses, imponham sanções, decidam recursos, dispensem licitações ou anulem/revoguem atos anteriores devem ser expressamente motivadas, com indicação dos fatos e fundamentos jurídicos.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Prazos Recursais (Art. 59):</w:t>
      </w:r>
      <w:r>
        <w:rPr>
          <w:rFonts w:ascii="Arial" w:hAnsi="Arial"/>
          <w:b w:val="0"/>
          <w:i w:val="0"/>
          <w:color w:val="111827"/>
          <w:sz w:val="22"/>
        </w:rPr>
        <w:t xml:space="preserve"> Salvo disposição legal específica em contrário, o prazo para interposição de recurso administrativo na administração goiana é de </w:t>
      </w:r>
      <w:r>
        <w:rPr>
          <w:rFonts w:ascii="Arial" w:hAnsi="Arial"/>
          <w:b/>
          <w:i w:val="0"/>
          <w:color w:val="111827"/>
          <w:sz w:val="22"/>
        </w:rPr>
        <w:t>10 (dez) dias</w:t>
      </w:r>
      <w:r>
        <w:rPr>
          <w:rFonts w:ascii="Arial" w:hAnsi="Arial"/>
          <w:b w:val="0"/>
          <w:i w:val="0"/>
          <w:color w:val="111827"/>
          <w:sz w:val="22"/>
        </w:rPr>
        <w:t>, contados da ciência ou divulgação oficial da decisão.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Efeitos do Recurso e Reformatio in Pejus (Arts. 61 e 64):</w:t>
      </w:r>
      <w:r>
        <w:rPr>
          <w:rFonts w:ascii="Arial" w:hAnsi="Arial"/>
          <w:b w:val="0"/>
          <w:i w:val="0"/>
          <w:color w:val="111827"/>
          <w:sz w:val="22"/>
        </w:rPr>
        <w:t xml:space="preserve"> O recurso tem como regra geral efeito estritamente devolutivo (efeito suspensivo é excepcional). A autoridade julgadora pode confirmar, modificar, anular ou revogar, total ou parcialmente, a decisão recorrida; se da revisão puder decorrer gravame à situação do recorrente (</w:t>
      </w:r>
      <w:r>
        <w:rPr>
          <w:rFonts w:ascii="Arial" w:hAnsi="Arial"/>
          <w:b w:val="0"/>
          <w:i/>
          <w:color w:val="111827"/>
          <w:sz w:val="22"/>
        </w:rPr>
        <w:t>reformatio in pejus</w:t>
      </w:r>
      <w:r>
        <w:rPr>
          <w:rFonts w:ascii="Arial" w:hAnsi="Arial"/>
          <w:b w:val="0"/>
          <w:i w:val="0"/>
          <w:color w:val="111827"/>
          <w:sz w:val="22"/>
        </w:rPr>
        <w:t>), este deverá ser cientificado previamente para formular suas alegações no prazo de 10 dias.</w:t>
      </w:r>
    </w:p>
    <w:p>
      <w:pPr>
        <w:keepNext/>
        <w:spacing w:before="280" w:after="120"/>
      </w:pPr>
      <w:r>
        <w:rPr>
          <w:rFonts w:ascii="Arial" w:hAnsi="Arial"/>
          <w:b/>
          <w:i w:val="0"/>
          <w:color w:val="2C5282"/>
          <w:sz w:val="28"/>
        </w:rPr>
        <w:t>7.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Estadual de Goiás nº 13.800/2001 (Processo Administrativo Estadual)</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Texto legal consolidado que disciplina o processo administrativo e os prazos recursais no Estado de Goiás.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4.717/1965 (Lei da Ação Popular - Art. 2º)</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Dispositivo normativo de referência que define os vícios de competência, finalidade, forma, motivo e objeto.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Súmula Vinculante nº 3 do STF (Registro de Atos de Aposentadoria)</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Enunciado que consagra a desnecessidade de contraditório no ato inicial de concessão perante cortes de contas.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STF - Tema 445 de Repercussão Geral (Prazo de Registro no TC)</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Tese de repercussão geral fixando o prazo de 5 anos para julgamento a contar da entrada dos autos no Tribunal de Contas.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9.784/1999 (Processo Administrativo Federal - Arts. 13 e 55)</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Normas gerais sobre convalidação e vedações à delegação de recursos administrativos.</w:t>
      </w:r>
    </w:p>
    <w:p>
      <w:pPr>
        <w:keepNext/>
        <w:spacing w:before="280" w:after="120"/>
      </w:pPr>
      <w:r>
        <w:rPr>
          <w:rFonts w:ascii="Arial" w:hAnsi="Arial"/>
          <w:b/>
          <w:i w:val="0"/>
          <w:color w:val="2C5282"/>
          <w:sz w:val="28"/>
        </w:rPr>
        <w:t>8. Questões Comentadas &amp; Exemplos (Padrão FCC)</w:t>
      </w:r>
    </w:p>
    <w:p>
      <w:pPr>
        <w:keepNext/>
        <w:spacing w:before="200" w:after="80"/>
      </w:pPr>
      <w:r>
        <w:rPr>
          <w:rFonts w:ascii="Arial" w:hAnsi="Arial"/>
          <w:b/>
          <w:i w:val="0"/>
          <w:color w:val="2B6CB0"/>
          <w:sz w:val="24"/>
        </w:rPr>
        <w:t>Questão 1 (FCC - Analista de Controle Externo / Adaptada TCE-GO)</w:t>
      </w:r>
    </w:p>
    <w:p>
      <w:pPr>
        <w:spacing w:line="360" w:lineRule="auto" w:before="0" w:after="80"/>
        <w:jc w:val="both"/>
      </w:pPr>
      <w:r>
        <w:rPr>
          <w:rFonts w:ascii="Arial" w:hAnsi="Arial"/>
          <w:b w:val="0"/>
          <w:i w:val="0"/>
          <w:color w:val="111827"/>
          <w:sz w:val="24"/>
        </w:rPr>
        <w:t>Determinada autarquia estadual goiana publicou ato de concessão de aposentadoria voluntária a um auditor fiscal e encaminhou o respectivo processo ao Tribunal de Contas do Estado de Goiás para fins de apreciação e registro de legalidade. Após seis meses de tramitação no Tribunal de Contas, a autarquia estadual pretendeu revogar unilateralmente a concessão com base em conveniência administrativa decorrente de escassez de quadro técnico.</w:t>
      </w:r>
    </w:p>
    <w:p>
      <w:pPr>
        <w:spacing w:line="360" w:lineRule="auto" w:before="0" w:after="80"/>
        <w:jc w:val="both"/>
      </w:pPr>
      <w:r>
        <w:rPr>
          <w:rFonts w:ascii="Arial" w:hAnsi="Arial"/>
          <w:b w:val="0"/>
          <w:i w:val="0"/>
          <w:color w:val="111827"/>
          <w:sz w:val="24"/>
        </w:rPr>
        <w:t>À luz da teoria geral dos atos administrativos e da jurisprudência firmada pelo Supremo Tribunal Federal: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aposentadoria concedida qualifica-se como ato administrativo simples, aperfeiçoado de forma definitiva com a publicação pelo órgão de origem.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Trata-se de ato composto, haja vista que a manifestação do Tribunal de Contas consubstancia ato instrumental de mera homologação protocolar.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Trata-se de ato complexo, que apenas se aperfeiçoa e ganha definitividade jurídica com a manifestação convergente de vontades do órgão de origem e do Tribunal de Contas no exercício de sua competência constitucional de registro.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ato de aposentadoria é discricionário por natureza, sendo plenamente revogável a qualquer tempo pela autoridade de origem por motivos de oportunidade e conveniência.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competência de registro pelo Tribunal de Contas possui prazo decadencial de dois anos contado da data de nascimento do servidor inativado.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ato simples é aquele cuja produção jurídica decorre da vontade exclusiva de um único órgão estatal, não correspondendo à aposentadoria submetida a registro de corte de contas.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No ato composto, há uma manifestação volitiva principal de um órgão e uma aprovação/visto meramente acessório de outro; a aposentadoria com registro pelo Tribunal de Contas é classificada pelo STF como ato genuinamente complexo.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De acordo com a jurisprudência pacífica do Supremo Tribunal Federal (Súmula Vinculante nº 3 e Tema 445 da Repercussão Geral), o ato de aposentadoria, pensão ou reforma submetido ao controle externo constitucional dos Tribunais de Contas tipifica um </w:t>
            </w:r>
            <w:r>
              <w:rPr>
                <w:rFonts w:ascii="Arial" w:hAnsi="Arial"/>
                <w:b/>
                <w:i w:val="0"/>
                <w:color w:val="111827"/>
                <w:sz w:val="21"/>
              </w:rPr>
              <w:t>ato administrativo complexo</w:t>
            </w:r>
            <w:r>
              <w:rPr>
                <w:rFonts w:ascii="Arial" w:hAnsi="Arial"/>
                <w:b w:val="0"/>
                <w:i w:val="0"/>
                <w:color w:val="111827"/>
                <w:sz w:val="21"/>
              </w:rPr>
              <w:t>. Ele resulta da fusão indispensável de vontades do órgão instituidor e do Tribunal de Contas (exercendo sua competência do art. 71, III, da CF/88), aperfeiçoando-se e ganhando estabilidade definitiva apenas após a chancela do registro da corte.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aposentadoria preenchidos os requisitos constitucionais é ato estritamente vinculado (direito subjetivo do servidor), não admitindo desfazimento por critérios de conveniência e oportunidade da Administração.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Pelo Tema 445 do STF, o prazo para julgamento da legalidade do ato concessório inicial é de </w:t>
            </w:r>
            <w:r>
              <w:rPr>
                <w:rFonts w:ascii="Arial" w:hAnsi="Arial"/>
                <w:b/>
                <w:i w:val="0"/>
                <w:color w:val="111827"/>
                <w:sz w:val="21"/>
              </w:rPr>
              <w:t>cinco anos</w:t>
            </w:r>
            <w:r>
              <w:rPr>
                <w:rFonts w:ascii="Arial" w:hAnsi="Arial"/>
                <w:b w:val="0"/>
                <w:i w:val="0"/>
                <w:color w:val="111827"/>
                <w:sz w:val="21"/>
              </w:rPr>
              <w:t xml:space="preserve">, contados </w:t>
            </w:r>
            <w:r>
              <w:rPr>
                <w:rFonts w:ascii="Arial" w:hAnsi="Arial"/>
                <w:b/>
                <w:i w:val="0"/>
                <w:color w:val="111827"/>
                <w:sz w:val="21"/>
              </w:rPr>
              <w:t>da data da chegada do processo ao Tribunal de Contas</w:t>
            </w:r>
            <w:r>
              <w:rPr>
                <w:rFonts w:ascii="Arial" w:hAnsi="Arial"/>
                <w:b w:val="0"/>
                <w:i w:val="0"/>
                <w:color w:val="111827"/>
                <w:sz w:val="21"/>
              </w:rPr>
              <w:t>, após o qual opera-se o registro tácito.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Técnico de Controle Externo / TCE-GO)</w:t>
      </w:r>
    </w:p>
    <w:p>
      <w:pPr>
        <w:spacing w:line="360" w:lineRule="auto" w:before="0" w:after="80"/>
        <w:jc w:val="both"/>
      </w:pPr>
      <w:r>
        <w:rPr>
          <w:rFonts w:ascii="Arial" w:hAnsi="Arial"/>
          <w:b w:val="0"/>
          <w:i w:val="0"/>
          <w:color w:val="111827"/>
          <w:sz w:val="24"/>
        </w:rPr>
        <w:t>No âmbito de um processo administrativo disciplinar disciplinado pela Lei Estadual nº 13.800/2001, um Superintendente Regional do Estado de Goiás delegou por portaria ao seu Chefe de Gabinete a competência para proferir decisão de mérito em recurso administrativo interposto por servidor apenado.</w:t>
      </w:r>
    </w:p>
    <w:p>
      <w:pPr>
        <w:spacing w:line="360" w:lineRule="auto" w:before="0" w:after="80"/>
        <w:jc w:val="both"/>
      </w:pPr>
      <w:r>
        <w:rPr>
          <w:rFonts w:ascii="Arial" w:hAnsi="Arial"/>
          <w:b w:val="0"/>
          <w:i w:val="0"/>
          <w:color w:val="111827"/>
          <w:sz w:val="24"/>
        </w:rPr>
        <w:t>Considerando o regime jurídico de competência e delegação estabelecido na Lei Estadual nº 13.800/2001:</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delegação é válida, tendo em vista que o princípio da eficiência autoriza o repasse de quaisquer competências para desafogar instâncias superiores.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delegação padece de vício de ilegalidade insanável, por violar proibição legal expressa que veda a delegação da competência para decidir recursos administrativos.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decisão em recurso administrativo pode ser delegada, desde que haja expressa concordância do servidor recorrente.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delegação de recurso administrativo é admissível caso o recurso verse exclusivamente sobre questões fáticas.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competência administrativa é irrenunciável e não admite delegação de nenhuma natureza na esfera pública estadual de Goiás.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princípio da eficiência não pode servir de pretexto para violar restrições normativas cogentes de competência legalmente estabelecidas.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13, inciso II, da Lei Estadual de Goiás nº 13.800/2001 (em perfeita consonância com o art. 13 da Lei Federal nº 9.784/99) veda terminantemente a delegação da competência para </w:t>
            </w:r>
            <w:r>
              <w:rPr>
                <w:rFonts w:ascii="Arial" w:hAnsi="Arial"/>
                <w:b/>
                <w:i w:val="0"/>
                <w:color w:val="111827"/>
                <w:sz w:val="21"/>
              </w:rPr>
              <w:t>decidir recursos administrativos</w:t>
            </w:r>
            <w:r>
              <w:rPr>
                <w:rFonts w:ascii="Arial" w:hAnsi="Arial"/>
                <w:b w:val="0"/>
                <w:i w:val="0"/>
                <w:color w:val="111827"/>
                <w:sz w:val="21"/>
              </w:rPr>
              <w:t xml:space="preserve"> (regra CENORA). O julgamento recursal pressupõe reexame hierárquico por autoridade superior; transferir a decisão recursal para um subordinado aniquila a garantia do duplo grau de jurisdição administrativa e contamina a delegação com vício de ilegalidade insanável.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competência em matéria de recursos é de ordem pública e irrenunciável, não podendo ser flexibilizada por acordo individual do administrado.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vedação legal de delegação é absoluta, abrangendo matérias de fato e de direito.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lei admite amplamente a delegação do exercício de competências ordinatórias e executórias, ressalvadas exclusivamente as hipóteses do art. 13.</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Procurador do Estado / Adaptada)</w:t>
      </w:r>
    </w:p>
    <w:p>
      <w:pPr>
        <w:spacing w:line="360" w:lineRule="auto" w:before="0" w:after="80"/>
        <w:jc w:val="both"/>
      </w:pPr>
      <w:r>
        <w:rPr>
          <w:rFonts w:ascii="Arial" w:hAnsi="Arial"/>
          <w:b w:val="0"/>
          <w:i w:val="0"/>
          <w:color w:val="111827"/>
          <w:sz w:val="24"/>
        </w:rPr>
        <w:t>Determinada autoridade administrativa estadual proferiu ato administrativo autorizando a ocupação temporária de bem público por particular. Posteriormente, a assessoria jurídica constatou que a competência para emitir o ato pertencia legalmente a um Diretor Setorial distinto, inexistindo competência exclusiva em favor de qualquer deles. Verificou-se que a autorização atendeu plenamente ao interesse público, não causou prejuízo a terceiros e observou todos os demais requisitos de forma, motivo e objeto.</w:t>
      </w:r>
    </w:p>
    <w:p>
      <w:pPr>
        <w:spacing w:line="360" w:lineRule="auto" w:before="0" w:after="80"/>
        <w:jc w:val="both"/>
      </w:pPr>
      <w:r>
        <w:rPr>
          <w:rFonts w:ascii="Arial" w:hAnsi="Arial"/>
          <w:b w:val="0"/>
          <w:i w:val="0"/>
          <w:color w:val="111827"/>
          <w:sz w:val="24"/>
        </w:rPr>
        <w:t>Diante do vício constatado, a Administração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Deve obrigatoriamente anular o ato com efeitos retroativos, visto que vícios de competência jamais comportam sanamento.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Pode convalidar o ato administrativo por meio de ratificação pela autoridade competente, operando a convalidação efeitos retroativos (</w:t>
      </w:r>
      <w:r>
        <w:rPr>
          <w:rFonts w:ascii="Arial" w:hAnsi="Arial"/>
          <w:b w:val="0"/>
          <w:i/>
          <w:color w:val="111827"/>
          <w:sz w:val="22"/>
        </w:rPr>
        <w:t>ex tunc</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Deve revogar o ato administrativo com eficácia prospectiva (</w:t>
      </w:r>
      <w:r>
        <w:rPr>
          <w:rFonts w:ascii="Arial" w:hAnsi="Arial"/>
          <w:b w:val="0"/>
          <w:i/>
          <w:color w:val="111827"/>
          <w:sz w:val="22"/>
        </w:rPr>
        <w:t>ex nunc</w:t>
      </w:r>
      <w:r>
        <w:rPr>
          <w:rFonts w:ascii="Arial" w:hAnsi="Arial"/>
          <w:b w:val="0"/>
          <w:i w:val="0"/>
          <w:color w:val="111827"/>
          <w:sz w:val="22"/>
        </w:rPr>
        <w:t>), por se tratar de vício de mérito.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Está impedida de agir, operando-se a preclusão administrativa imediata no momento da publicação do ato.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Deve converter o ato em desapropriação indireta com indenização ao particular ocupante.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vício de incompetência quanto à pessoa, desde que não se trate de competência privativa ou exclusiva conferida por lei, é um defeito sanável que admite convalidação.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Nos termos do art. 54 da Lei Estadual/GO nº 13.800/2001 e do art. 55 da Lei Federal nº 9.784/1999, os atos que apresentarem defeitos sanáveis poderão ser convalidados pela própria Administração, desde que demonstrado que a providência não acarreta lesão ao interesse público nem prejuízo a terceiros de boa-fé. O defeito relativo de competência é convalidado mediante o instituto da </w:t>
            </w:r>
            <w:r>
              <w:rPr>
                <w:rFonts w:ascii="Arial" w:hAnsi="Arial"/>
                <w:b/>
                <w:i w:val="0"/>
                <w:color w:val="111827"/>
                <w:sz w:val="21"/>
              </w:rPr>
              <w:t>ratificação</w:t>
            </w:r>
            <w:r>
              <w:rPr>
                <w:rFonts w:ascii="Arial" w:hAnsi="Arial"/>
                <w:b w:val="0"/>
                <w:i w:val="0"/>
                <w:color w:val="111827"/>
                <w:sz w:val="21"/>
              </w:rPr>
              <w:t xml:space="preserve"> pela autoridade verdadeiramente competente, operando efeitos retroativos (</w:t>
            </w:r>
            <w:r>
              <w:rPr>
                <w:rFonts w:ascii="Arial" w:hAnsi="Arial"/>
                <w:b/>
                <w:i w:val="0"/>
                <w:color w:val="111827"/>
                <w:sz w:val="21"/>
              </w:rPr>
              <w:t>ex tunc</w:t>
            </w:r>
            <w:r>
              <w:rPr>
                <w:rFonts w:ascii="Arial" w:hAnsi="Arial"/>
                <w:b w:val="0"/>
                <w:i w:val="0"/>
                <w:color w:val="111827"/>
                <w:sz w:val="21"/>
              </w:rPr>
              <w:t>) à data originária da prática do ato.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revogação destina-se a suprimir atos válidos e perfeitos por razões supervenientes de mérito (oportunidade e conveniência), e não atos maculados por vícios de competência.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Pelo princípio da autotutela, a Administração mantém o poder-dever permanente de fiscalizar e sanar as irregularidades de seus próprios atos.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Assertiva juridicamente descabida, pois autorização de uso de bem público em nada se assemelha a desapropriação indireta.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Auditor de Controle Externo)</w:t>
      </w:r>
    </w:p>
    <w:p>
      <w:pPr>
        <w:spacing w:line="360" w:lineRule="auto" w:before="0" w:after="80"/>
        <w:jc w:val="both"/>
      </w:pPr>
      <w:r>
        <w:rPr>
          <w:rFonts w:ascii="Arial" w:hAnsi="Arial"/>
          <w:b w:val="0"/>
          <w:i w:val="0"/>
          <w:color w:val="111827"/>
          <w:sz w:val="24"/>
        </w:rPr>
        <w:t>O Governador do Estado exonerou servidor ocupante de cargo em comissão de livre nomeação e exoneração, fundamentando formalmente o decreto na suposta extinção orçamentária do programa governamental em que o servidor atuava. Posteriormente, em ação judicial, restou fartamente comprovado por perícia que o programa estatal continuava plenamente ativo, com dotação financeira reforçada e com as mesmas atribuições mantidas.</w:t>
      </w:r>
    </w:p>
    <w:p>
      <w:pPr>
        <w:spacing w:line="360" w:lineRule="auto" w:before="0" w:after="80"/>
        <w:jc w:val="both"/>
      </w:pPr>
      <w:r>
        <w:rPr>
          <w:rFonts w:ascii="Arial" w:hAnsi="Arial"/>
          <w:b w:val="0"/>
          <w:i w:val="0"/>
          <w:color w:val="111827"/>
          <w:sz w:val="24"/>
        </w:rPr>
        <w:t xml:space="preserve">Com base na </w:t>
      </w:r>
      <w:r>
        <w:rPr>
          <w:rFonts w:ascii="Arial" w:hAnsi="Arial"/>
          <w:b/>
          <w:i w:val="0"/>
          <w:color w:val="111827"/>
          <w:sz w:val="24"/>
        </w:rPr>
        <w:t>Teoria dos Motivos Determinantes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ato de exoneração é perfeitamente válido, tendo em vista que a exoneração de cargo em comissão é discricionária e imune a controle de legalidade.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ato é nulo, pois a validade do ato administrativo fica vinculada à existência e veracidade dos motivos externados pela autoridade que o editou.</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Poder Judiciário não pode invalidar o ato, pois a análise dos motivos configuraria invasão indevida no mérito administrativo.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autoridade administrativa pode substituir retroativamente o motivo falso por um motivo verdadeiro para salvar o ato da anulação.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Teoria dos Motivos Determinantes aplica-se unicamente aos atos administrativos vinculados.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Embora a exoneração de ocupante de cargo em comissão (</w:t>
            </w:r>
            <w:r>
              <w:rPr>
                <w:rFonts w:ascii="Arial" w:hAnsi="Arial"/>
                <w:b w:val="0"/>
                <w:i/>
                <w:color w:val="111827"/>
                <w:sz w:val="21"/>
              </w:rPr>
              <w:t>ad nutum</w:t>
            </w:r>
            <w:r>
              <w:rPr>
                <w:rFonts w:ascii="Arial" w:hAnsi="Arial"/>
                <w:b w:val="0"/>
                <w:i w:val="0"/>
                <w:color w:val="111827"/>
                <w:sz w:val="21"/>
              </w:rPr>
              <w:t>) seja dispensada de fundamentação prévia, a autoridade que opta por explicitar os motivos fáticos do desligamento vincula a higidez jurídica do ato à comprovação concreta desses motivos.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w:t>
            </w:r>
            <w:r>
              <w:rPr>
                <w:rFonts w:ascii="Arial" w:hAnsi="Arial"/>
                <w:b/>
                <w:i w:val="0"/>
                <w:color w:val="111827"/>
                <w:sz w:val="21"/>
              </w:rPr>
              <w:t>Teoria dos Motivos Determinantes</w:t>
            </w:r>
            <w:r>
              <w:rPr>
                <w:rFonts w:ascii="Arial" w:hAnsi="Arial"/>
                <w:b w:val="0"/>
                <w:i w:val="0"/>
                <w:color w:val="111827"/>
                <w:sz w:val="21"/>
              </w:rPr>
              <w:t xml:space="preserve"> dita que a validade de qualquer ato administrativo fica vinculada à veracidade, exatidão e sustentabilidade jurídica dos motivos invocados para a sua edição. Comprovado em juízo que a justificativa alegada pela autoridade (extinção do programa por falta de verbas) era cabalmente falsa e inexistente no plano fático, o ato padece de vício de nulidade insanável no elemento motivo, devendo ser desfeito.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averiguação da veracidade fática dos motivos declarados no ato constitui controle estrito de </w:t>
            </w:r>
            <w:r>
              <w:rPr>
                <w:rFonts w:ascii="Arial" w:hAnsi="Arial"/>
                <w:b/>
                <w:i w:val="0"/>
                <w:color w:val="111827"/>
                <w:sz w:val="21"/>
              </w:rPr>
              <w:t>legalidade</w:t>
            </w:r>
            <w:r>
              <w:rPr>
                <w:rFonts w:ascii="Arial" w:hAnsi="Arial"/>
                <w:b w:val="0"/>
                <w:i w:val="0"/>
                <w:color w:val="111827"/>
                <w:sz w:val="21"/>
              </w:rPr>
              <w:t xml:space="preserve"> (verificação da ocorrência material do elemento motivo), não configurando invasão no mérito administrativo.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autoridade não pode alterar retroativamente a motivação externada com o intuito de convalidar ato cuja nulidade já fora consumada.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teoria possui sua maior aplicação prática precisamente nos atos </w:t>
            </w:r>
            <w:r>
              <w:rPr>
                <w:rFonts w:ascii="Arial" w:hAnsi="Arial"/>
                <w:b/>
                <w:i w:val="0"/>
                <w:color w:val="111827"/>
                <w:sz w:val="21"/>
              </w:rPr>
              <w:t>discricionários</w:t>
            </w:r>
            <w:r>
              <w:rPr>
                <w:rFonts w:ascii="Arial" w:hAnsi="Arial"/>
                <w:b w:val="0"/>
                <w:i w:val="0"/>
                <w:color w:val="111827"/>
                <w:sz w:val="21"/>
              </w:rPr>
              <w:t>, nos quais a motivação facultativa vincula a legitimidade da atuação estatal.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Analista Judiciário)</w:t>
      </w:r>
    </w:p>
    <w:p>
      <w:pPr>
        <w:spacing w:line="360" w:lineRule="auto" w:before="0" w:after="80"/>
        <w:jc w:val="both"/>
      </w:pPr>
      <w:r>
        <w:rPr>
          <w:rFonts w:ascii="Arial" w:hAnsi="Arial"/>
          <w:b w:val="0"/>
          <w:i w:val="0"/>
          <w:color w:val="111827"/>
          <w:sz w:val="24"/>
        </w:rPr>
        <w:t>Determinada empresa concessionária de rodovias obteve licença municipal para instalação de praça de pedágio. Dois anos após o início regular da operação, o Município promulgou nova lei de zoneamento urbano proibindo a cobrança de pedágio na referida área geográfica. Por sua vez, em outro ponto da cidade, um restaurante que possuía alvará sanitário foi flagrado comercializando alimentos estragados e descumprindo normas higiênicas fundamentais.</w:t>
      </w:r>
    </w:p>
    <w:p>
      <w:pPr>
        <w:spacing w:line="360" w:lineRule="auto" w:before="0" w:after="80"/>
        <w:jc w:val="both"/>
      </w:pPr>
      <w:r>
        <w:rPr>
          <w:rFonts w:ascii="Arial" w:hAnsi="Arial"/>
          <w:b w:val="0"/>
          <w:i w:val="0"/>
          <w:color w:val="111827"/>
          <w:sz w:val="24"/>
        </w:rPr>
        <w:t>As formas de extinção dos atos administrativos aplicáveis, respectivamente, à praça de pedágio e ao restaurante 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Revogação e anulação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Caducidade e cassação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Cassação e caducidade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Anulação e revogação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Contraposição e renúncia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primeiro caso decorreu de norma legal nova superveniente e não de conveniência do Executivo (revogação); o segundo decorreu de sanção contra descumprimento culposo do particular, e não de defeito de validade originário (anulação).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Identifica rigorosamente as modalidades de extinção anômala dos atos: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Caducidade:</w:t>
            </w:r>
            <w:r>
              <w:rPr>
                <w:rFonts w:ascii="Arial" w:hAnsi="Arial"/>
                <w:b w:val="0"/>
                <w:i w:val="0"/>
                <w:color w:val="111827"/>
                <w:sz w:val="21"/>
              </w:rPr>
              <w:t xml:space="preserve"> Extinção do ato decorrente da superveniência de norma jurídica legal de hierarquia superior que torna incompatível a continuidade da situação jurídica outrora válida (a nova lei municipal de zoneamento proibiu o pedágio no local).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Cassação:</w:t>
            </w:r>
            <w:r>
              <w:rPr>
                <w:rFonts w:ascii="Arial" w:hAnsi="Arial"/>
                <w:b w:val="0"/>
                <w:i w:val="0"/>
                <w:color w:val="111827"/>
                <w:sz w:val="21"/>
              </w:rPr>
              <w:t xml:space="preserve"> Extinção do ato administrativo como penalidade aplicada em desfavor do particular beneficiário que passou a descumprir os requisitos e condicionantes legais obrigatórios que amparavam a autorização ou alvará (o restaurante comercializava comida estragada desrespeitando o alvará de funcionamento sanitário).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Inverteu a ordem de subsunção conceitual entre as duas situações hipotéticas.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Ignora a tipologia das extinções por caducidade e cassação.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Contraposição decorre de novo ato administrativo antagônico; renúncia decorre de manifestação unilateral do beneficiário.</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04 - Serviços Públicos, Bens Públicos e Responsabilidade Civil do Estado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Direito Administrativo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04_servicos_publicos_bens_e_responsabilidade_civil.md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Responsabilidade civil do Estado: evolução histórica, fundamentos e modalidades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Artigo 37, § 6º da Constituição Federal de 1988: responsabilidade objetiva das pessoas jurídicas de direito público e das de direito privado prestadoras de serviços públicos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Teoria do Risco Administrativo vs. Teoria do Risco Integral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Responsabilidade por ação vs. responsabilidade por omissão estatal (</w:t>
      </w:r>
      <w:r>
        <w:rPr>
          <w:rFonts w:ascii="Arial" w:hAnsi="Arial"/>
          <w:b w:val="0"/>
          <w:i/>
          <w:color w:val="111827"/>
          <w:sz w:val="22"/>
        </w:rPr>
        <w:t>faute du service</w:t>
      </w:r>
      <w:r>
        <w:rPr>
          <w:rFonts w:ascii="Arial" w:hAnsi="Arial"/>
          <w:b w:val="0"/>
          <w:i w:val="0"/>
          <w:color w:val="111827"/>
          <w:sz w:val="22"/>
        </w:rPr>
        <w:t xml:space="preserve"> e dever específico de custódia)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Causas excludentes e atenuantes do nexo de causalidade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Ação regressiva contra o agente público e Tema 940 do STF (Teoria da Dupla Garantia)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Serviços públicos: conceito, princípios, delegação a particulares (Lei nº 8.987/1995 e Lei nº 11.079/2004)</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Bens públicos: conceito, classificação (Código Civil, art. 99), afetação/desafetação e regime jurídico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Responsabilidade Civil Extracontratual do Estado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Evolução Histórica da Responsabilidade Estatal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 Art. 37, § 6º da CF/88 e os Elementos da Responsabilidade Objetiva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Teoria do Risco Administrativo: Excludentes e Atenuantes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Teoria do Risco Integral e suas Hipóteses Excepcionais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1.5 Responsabilidade por Omissão Estatal: Genérica vs. Específica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1.6 Ação Regressiva e a Teoria da Dupla Garantia (Tema 940 / STF)</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Regime Jurídico dos Serviços Públicos e sua Delegação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Princípios do Serviço Público Adequado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Concessão Comum e Permissão de Serviço Público (Lei nº 8.987/1995)</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Formas de Extinção das Concessões: Encampação vs. Caducidade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Parcerias Público-Privadas - PPPs (Lei nº 11.079/2004)</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Bens Públicos: Classificação, Afetação e Prerrogativas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Classificação Quanto à Destinação (Código Civil, art. 99)</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Fenômeno da Afetação e Desafetação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Prerrogativas do Regime Jurídico e a Imprescritibilidade Absoluta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Comentadas &amp; Exemplos (Padrão FCC)</w:t>
      </w:r>
    </w:p>
    <w:p>
      <w:pPr>
        <w:keepNext/>
        <w:spacing w:before="280" w:after="120"/>
      </w:pPr>
      <w:r>
        <w:rPr>
          <w:rFonts w:ascii="Arial" w:hAnsi="Arial"/>
          <w:b/>
          <w:i w:val="0"/>
          <w:color w:val="2C5282"/>
          <w:sz w:val="28"/>
        </w:rPr>
        <w:t>1. Responsabilidade Civil Extracontratual do Estado</w:t>
      </w:r>
    </w:p>
    <w:p>
      <w:pPr>
        <w:spacing w:line="360" w:lineRule="auto" w:before="0" w:after="80"/>
        <w:jc w:val="both"/>
      </w:pPr>
      <w:r>
        <w:rPr>
          <w:rFonts w:ascii="Arial" w:hAnsi="Arial"/>
          <w:b w:val="0"/>
          <w:i w:val="0"/>
          <w:color w:val="111827"/>
          <w:sz w:val="24"/>
        </w:rPr>
        <w:t>A responsabilidade civil extracontratual da Administração Pública consiste na obrigação jurídica que recai sobre o Estado de reparar os danos materiais, morais e estéticos causados a particulares por condutas comissivas ou omissivas de seus agentes públicos no exercício de suas atribuições ou a pretexto de exercê-las.</w:t>
      </w:r>
    </w:p>
    <w:p>
      <w:pPr>
        <w:keepNext/>
        <w:spacing w:before="200" w:after="80"/>
      </w:pPr>
      <w:r>
        <w:rPr>
          <w:rFonts w:ascii="Arial" w:hAnsi="Arial"/>
          <w:b/>
          <w:i w:val="0"/>
          <w:color w:val="2B6CB0"/>
          <w:sz w:val="24"/>
        </w:rPr>
        <w:t>1.1 Evolução Histórica da Responsabilidade Estatal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**Teoria da Irresponsabilidade Estatal (</w:t>
      </w:r>
      <w:r>
        <w:rPr>
          <w:rFonts w:ascii="Arial" w:hAnsi="Arial"/>
          <w:b w:val="0"/>
          <w:i/>
          <w:color w:val="111827"/>
          <w:sz w:val="22"/>
        </w:rPr>
        <w:t>The King can do no wrong</w:t>
      </w:r>
      <w:r>
        <w:rPr>
          <w:rFonts w:ascii="Arial" w:hAnsi="Arial"/>
          <w:b w:val="0"/>
          <w:i w:val="0"/>
          <w:color w:val="111827"/>
          <w:sz w:val="22"/>
        </w:rPr>
        <w:t>):** Predominou nos Estados Absolutistas. O monarca e o Estado não respondiam por quaisquer danos causados aos súditos.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Teorias Civilistas / Subjetivas (Culpa Comum):</w:t>
      </w:r>
      <w:r>
        <w:rPr>
          <w:rFonts w:ascii="Arial" w:hAnsi="Arial"/>
          <w:b w:val="0"/>
          <w:i w:val="0"/>
          <w:color w:val="111827"/>
          <w:sz w:val="22"/>
        </w:rPr>
        <w:t xml:space="preserve"> Surgiram com o advento do Estado Liberal de Direito. Exigiam que a vítima comprovasse a culpa individualizada do agente público (</w:t>
      </w:r>
      <w:r>
        <w:rPr>
          <w:rFonts w:ascii="Arial" w:hAnsi="Arial"/>
          <w:b w:val="0"/>
          <w:i/>
          <w:color w:val="111827"/>
          <w:sz w:val="22"/>
        </w:rPr>
        <w:t>culpa in eligendo</w:t>
      </w:r>
      <w:r>
        <w:rPr>
          <w:rFonts w:ascii="Arial" w:hAnsi="Arial"/>
          <w:b w:val="0"/>
          <w:i w:val="0"/>
          <w:color w:val="111827"/>
          <w:sz w:val="22"/>
        </w:rPr>
        <w:t xml:space="preserve"> ou </w:t>
      </w:r>
      <w:r>
        <w:rPr>
          <w:rFonts w:ascii="Arial" w:hAnsi="Arial"/>
          <w:b w:val="0"/>
          <w:i/>
          <w:color w:val="111827"/>
          <w:sz w:val="22"/>
        </w:rPr>
        <w:t>culpa in vigilando</w:t>
      </w:r>
      <w:r>
        <w:rPr>
          <w:rFonts w:ascii="Arial" w:hAnsi="Arial"/>
          <w:b w:val="0"/>
          <w:i w:val="0"/>
          <w:color w:val="111827"/>
          <w:sz w:val="22"/>
        </w:rPr>
        <w:t>), operando em extrema desvantagem processual para o particular.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**Teoria da Culpa Administrativa / Culpa do Serviço (</w:t>
      </w:r>
      <w:r>
        <w:rPr>
          <w:rFonts w:ascii="Arial" w:hAnsi="Arial"/>
          <w:b w:val="0"/>
          <w:i/>
          <w:color w:val="111827"/>
          <w:sz w:val="22"/>
        </w:rPr>
        <w:t>Faute du Service</w:t>
      </w:r>
      <w:r>
        <w:rPr>
          <w:rFonts w:ascii="Arial" w:hAnsi="Arial"/>
          <w:b w:val="0"/>
          <w:i w:val="0"/>
          <w:color w:val="111827"/>
          <w:sz w:val="22"/>
        </w:rPr>
        <w:t>):** Desvinculou a culpa da pessoa física do servidor. A responsabilidade continuava sendo subjetiva, mas bastava à vítima comprovar a falta do serviço estatal: o serviço não funcionou, funcionou mal ou funcionou com atraso intolerável.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Teoria Objetiva do Risco Administrativo:</w:t>
      </w:r>
      <w:r>
        <w:rPr>
          <w:rFonts w:ascii="Arial" w:hAnsi="Arial"/>
          <w:b w:val="0"/>
          <w:i w:val="0"/>
          <w:color w:val="111827"/>
          <w:sz w:val="22"/>
        </w:rPr>
        <w:t xml:space="preserve"> Consagrada pelo Direito Constitucional contemporâneo, dispensa integralmente a comprovação de dolo ou culpa estatal, fundando-se na causalidade material e na solidariedade social perante os riscos criados pela atividade administrativa.</w:t>
      </w:r>
    </w:p>
    <w:p>
      <w:pPr>
        <w:keepNext/>
        <w:spacing w:before="200" w:after="80"/>
      </w:pPr>
      <w:r>
        <w:rPr>
          <w:rFonts w:ascii="Arial" w:hAnsi="Arial"/>
          <w:b/>
          <w:i w:val="0"/>
          <w:color w:val="2B6CB0"/>
          <w:sz w:val="24"/>
        </w:rPr>
        <w:t>1.2 O Art. 37, § 6º da CF/88 e os Elementos da Responsabilidade Objetiva</w:t>
      </w:r>
    </w:p>
    <w:p>
      <w:pPr>
        <w:spacing w:line="240" w:lineRule="auto" w:before="40" w:after="40"/>
        <w:ind w:left="2268"/>
      </w:pPr>
      <w:r>
        <w:rPr>
          <w:rFonts w:ascii="Arial" w:hAnsi="Arial"/>
          <w:b w:val="0"/>
          <w:i/>
          <w:color w:val="111827"/>
          <w:sz w:val="20"/>
        </w:rPr>
        <w:t>"Art. 37, § 6º. As pessoas jurídicas de direito público e as de direito privado prestadoras de serviços públicos responderão pelos danos que seus agentes, nessa qualidade, causarem a terceiros, assegurado o direito de regresso contra o responsável nos casos de dolo ou culpa."</w:t>
      </w:r>
    </w:p>
    <w:p>
      <w:pPr>
        <w:spacing w:after="80"/>
      </w:pPr>
    </w:p>
    <w:p>
      <w:pPr>
        <w:spacing w:after="120"/>
      </w:pPr>
    </w:p>
    <w:p>
      <w:pPr>
        <w:keepNext/>
        <w:spacing w:before="120" w:after="40"/>
      </w:pPr>
      <w:r>
        <w:rPr>
          <w:rFonts w:ascii="Arial" w:hAnsi="Arial"/>
          <w:b/>
          <w:i/>
          <w:color w:val="334155"/>
          <w:sz w:val="22"/>
        </w:rPr>
        <w:t>Elementos Indispensáveis para a Responsabilização Objetiva: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Conduta Estatal:</w:t>
      </w:r>
      <w:r>
        <w:rPr>
          <w:rFonts w:ascii="Arial" w:hAnsi="Arial"/>
          <w:b w:val="0"/>
          <w:i w:val="0"/>
          <w:color w:val="111827"/>
          <w:sz w:val="22"/>
        </w:rPr>
        <w:t xml:space="preserve"> Ação ou comportamento imputável a um agente público (efetivo, comissionado, temporário ou terceiro delegatário) agindo nessa qualidade.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Dano Efetivo:</w:t>
      </w:r>
      <w:r>
        <w:rPr>
          <w:rFonts w:ascii="Arial" w:hAnsi="Arial"/>
          <w:b w:val="0"/>
          <w:i w:val="0"/>
          <w:color w:val="111827"/>
          <w:sz w:val="22"/>
        </w:rPr>
        <w:t xml:space="preserve"> Prejuízo certo, juridicamente tutelado, de natureza patrimonial, moral ou estética.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Nexo de Causalidade:</w:t>
      </w:r>
      <w:r>
        <w:rPr>
          <w:rFonts w:ascii="Arial" w:hAnsi="Arial"/>
          <w:b w:val="0"/>
          <w:i w:val="0"/>
          <w:color w:val="111827"/>
          <w:sz w:val="22"/>
        </w:rPr>
        <w:t xml:space="preserve"> Relação direta de causa e efeito entre a conduta oficial e o dano experimentado pela vítima (Teoria do Dano Direto e Imediato).</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REPERCUSSÃO GERAL STF:</w:t>
            </w:r>
          </w:p>
          <w:p>
            <w:pPr>
              <w:spacing w:line="288" w:lineRule="auto" w:before="40" w:after="40"/>
            </w:pPr>
            <w:r>
              <w:rPr>
                <w:rFonts w:ascii="Arial" w:hAnsi="Arial"/>
                <w:b w:val="0"/>
                <w:i w:val="0"/>
                <w:color w:val="111827"/>
                <w:sz w:val="21"/>
              </w:rPr>
              <w:t xml:space="preserve">A responsabilidade objetiva do art. 37, § 6º, aplica-se às </w:t>
            </w:r>
            <w:r>
              <w:rPr>
                <w:rFonts w:ascii="Arial" w:hAnsi="Arial"/>
                <w:b/>
                <w:i w:val="0"/>
                <w:color w:val="111827"/>
                <w:sz w:val="21"/>
              </w:rPr>
              <w:t>empresas prestadoras de serviços públicos</w:t>
            </w:r>
            <w:r>
              <w:rPr>
                <w:rFonts w:ascii="Arial" w:hAnsi="Arial"/>
                <w:b w:val="0"/>
                <w:i w:val="0"/>
                <w:color w:val="111827"/>
                <w:sz w:val="21"/>
              </w:rPr>
              <w:t xml:space="preserve"> (concessionárias e permissionárias) tanto em relação aos </w:t>
            </w:r>
            <w:r>
              <w:rPr>
                <w:rFonts w:ascii="Arial" w:hAnsi="Arial"/>
                <w:b/>
                <w:i w:val="0"/>
                <w:color w:val="111827"/>
                <w:sz w:val="21"/>
              </w:rPr>
              <w:t>usuários do serviço</w:t>
            </w:r>
            <w:r>
              <w:rPr>
                <w:rFonts w:ascii="Arial" w:hAnsi="Arial"/>
                <w:b w:val="0"/>
                <w:i w:val="0"/>
                <w:color w:val="111827"/>
                <w:sz w:val="21"/>
              </w:rPr>
              <w:t xml:space="preserve"> quanto em relação a </w:t>
            </w:r>
            <w:r>
              <w:rPr>
                <w:rFonts w:ascii="Arial" w:hAnsi="Arial"/>
                <w:b/>
                <w:i w:val="0"/>
                <w:color w:val="111827"/>
                <w:sz w:val="21"/>
              </w:rPr>
              <w:t>terceiros não usuários</w:t>
            </w:r>
            <w:r>
              <w:rPr>
                <w:rFonts w:ascii="Arial" w:hAnsi="Arial"/>
                <w:b w:val="0"/>
                <w:i w:val="0"/>
                <w:color w:val="111827"/>
                <w:sz w:val="21"/>
              </w:rPr>
              <w:t xml:space="preserve"> (vítimas de acidentes causados pelo serviço público - RE 591.874/STF).</w:t>
            </w:r>
          </w:p>
        </w:tc>
      </w:tr>
    </w:tbl>
    <w:p>
      <w:pPr>
        <w:spacing w:before="0" w:after="120"/>
      </w:pPr>
    </w:p>
    <w:p>
      <w:pPr>
        <w:keepNext/>
        <w:spacing w:before="200" w:after="80"/>
      </w:pPr>
      <w:r>
        <w:rPr>
          <w:rFonts w:ascii="Arial" w:hAnsi="Arial"/>
          <w:b/>
          <w:i w:val="0"/>
          <w:color w:val="2B6CB0"/>
          <w:sz w:val="24"/>
        </w:rPr>
        <w:t>1.3 Teoria do Risco Administrativo: Excludentes e Atenuantes</w:t>
      </w:r>
    </w:p>
    <w:p>
      <w:pPr>
        <w:spacing w:line="360" w:lineRule="auto" w:before="0" w:after="80"/>
        <w:jc w:val="both"/>
      </w:pPr>
      <w:r>
        <w:rPr>
          <w:rFonts w:ascii="Arial" w:hAnsi="Arial"/>
          <w:b w:val="0"/>
          <w:i w:val="0"/>
          <w:color w:val="111827"/>
          <w:sz w:val="24"/>
        </w:rPr>
        <w:t xml:space="preserve">O ordenamento jurídico brasileiro adota como </w:t>
      </w:r>
      <w:r>
        <w:rPr>
          <w:rFonts w:ascii="Arial" w:hAnsi="Arial"/>
          <w:b/>
          <w:i w:val="0"/>
          <w:color w:val="111827"/>
          <w:sz w:val="24"/>
        </w:rPr>
        <w:t>regra geral a Teoria do Risco Administrativo</w:t>
      </w:r>
      <w:r>
        <w:rPr>
          <w:rFonts w:ascii="Arial" w:hAnsi="Arial"/>
          <w:b w:val="0"/>
          <w:i w:val="0"/>
          <w:color w:val="111827"/>
          <w:sz w:val="24"/>
        </w:rPr>
        <w:t xml:space="preserve">. Essa teoria baseia-se na ideia de que a atividade estatal gera riscos inerentes para a coletividade, devendo o poder público arcar com os prejuízos decorrentes. Todavia, </w:t>
      </w:r>
      <w:r>
        <w:rPr>
          <w:rFonts w:ascii="Arial" w:hAnsi="Arial"/>
          <w:b/>
          <w:i w:val="0"/>
          <w:color w:val="111827"/>
          <w:sz w:val="24"/>
        </w:rPr>
        <w:t>NÃO se trata de responsabilidade absoluta</w:t>
      </w:r>
      <w:r>
        <w:rPr>
          <w:rFonts w:ascii="Arial" w:hAnsi="Arial"/>
          <w:b w:val="0"/>
          <w:i w:val="0"/>
          <w:color w:val="111827"/>
          <w:sz w:val="24"/>
        </w:rPr>
        <w:t>, admitindo-se a ruptura ou atenuação do nexo causal nas seguintes hipóteses: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Causas Excludentes do Nexo de Causalidade (Afastam 100% da Indenização):</w:t>
      </w:r>
    </w:p>
    <w:p>
      <w:pPr>
        <w:spacing w:line="276" w:lineRule="auto" w:before="20" w:after="40"/>
        <w:ind w:left="992"/>
      </w:pPr>
      <w:r>
        <w:rPr>
          <w:rFonts w:ascii="Arial" w:hAnsi="Arial"/>
          <w:b/>
          <w:color w:val="1B365D"/>
          <w:sz w:val="22"/>
        </w:rPr>
        <w:t xml:space="preserve">1. </w:t>
      </w:r>
      <w:r>
        <w:rPr>
          <w:rFonts w:ascii="Arial" w:hAnsi="Arial"/>
          <w:b w:val="0"/>
          <w:i/>
          <w:color w:val="111827"/>
          <w:sz w:val="22"/>
        </w:rPr>
        <w:t>Culpa Exclusiva da Vítima:</w:t>
      </w:r>
      <w:r>
        <w:rPr>
          <w:rFonts w:ascii="Arial" w:hAnsi="Arial"/>
          <w:b w:val="0"/>
          <w:i w:val="0"/>
          <w:color w:val="111827"/>
          <w:sz w:val="22"/>
        </w:rPr>
        <w:t xml:space="preserve"> O evento decorreu inteiramente do comportamento negligente, imprudente ou voluntário do próprio lesado (ex.: pedestre que se atira intencionalmente sob as rodas de um ônibus público em alta velocidade).</w:t>
      </w:r>
    </w:p>
    <w:p>
      <w:pPr>
        <w:spacing w:line="276" w:lineRule="auto" w:before="20" w:after="40"/>
        <w:ind w:left="992"/>
      </w:pPr>
      <w:r>
        <w:rPr>
          <w:rFonts w:ascii="Arial" w:hAnsi="Arial"/>
          <w:b/>
          <w:color w:val="1B365D"/>
          <w:sz w:val="22"/>
        </w:rPr>
        <w:t xml:space="preserve">2. </w:t>
      </w:r>
      <w:r>
        <w:rPr>
          <w:rFonts w:ascii="Arial" w:hAnsi="Arial"/>
          <w:b w:val="0"/>
          <w:i/>
          <w:color w:val="111827"/>
          <w:sz w:val="22"/>
        </w:rPr>
        <w:t>Caso Fortuito ou Força Maior Absoluta:</w:t>
      </w:r>
      <w:r>
        <w:rPr>
          <w:rFonts w:ascii="Arial" w:hAnsi="Arial"/>
          <w:b w:val="0"/>
          <w:i w:val="0"/>
          <w:color w:val="111827"/>
          <w:sz w:val="22"/>
        </w:rPr>
        <w:t xml:space="preserve"> Eventos imprevisíveis da natureza com violência desmedida (raios imprevisíveis, terremotos, trombas d'água fora de qualquer série histórica), desde que o Estado não tenha sido omisso em adotar medidas preventivas exigíveis.</w:t>
      </w:r>
    </w:p>
    <w:p>
      <w:pPr>
        <w:spacing w:line="276" w:lineRule="auto" w:before="20" w:after="40"/>
        <w:ind w:left="992"/>
      </w:pPr>
      <w:r>
        <w:rPr>
          <w:rFonts w:ascii="Arial" w:hAnsi="Arial"/>
          <w:b/>
          <w:color w:val="1B365D"/>
          <w:sz w:val="22"/>
        </w:rPr>
        <w:t xml:space="preserve">3. </w:t>
      </w:r>
      <w:r>
        <w:rPr>
          <w:rFonts w:ascii="Arial" w:hAnsi="Arial"/>
          <w:b w:val="0"/>
          <w:i/>
          <w:color w:val="111827"/>
          <w:sz w:val="22"/>
        </w:rPr>
        <w:t>Fato Exclusivo de Terceiro:</w:t>
      </w:r>
      <w:r>
        <w:rPr>
          <w:rFonts w:ascii="Arial" w:hAnsi="Arial"/>
          <w:b w:val="0"/>
          <w:i w:val="0"/>
          <w:color w:val="111827"/>
          <w:sz w:val="22"/>
        </w:rPr>
        <w:t xml:space="preserve"> Dano provocado exclusivamente por ação autônoma e imprevisível de outrem sem qualquer concurso da conduta estatal (ex.: assalto à mão armada ocorrido dentro de um ônibus coletivo com disparo de arma de fogo deflagrado pelo criminoso).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Causas Atenuantes do Nexo de Causalidade:</w:t>
      </w:r>
    </w:p>
    <w:p>
      <w:pPr>
        <w:spacing w:line="276" w:lineRule="auto" w:before="20" w:after="40"/>
        <w:ind w:left="992"/>
      </w:pPr>
      <w:r>
        <w:rPr>
          <w:rFonts w:ascii="Arial" w:hAnsi="Arial"/>
          <w:b/>
          <w:color w:val="2B6CB0"/>
          <w:sz w:val="22"/>
        </w:rPr>
        <w:t xml:space="preserve">• </w:t>
      </w:r>
      <w:r>
        <w:rPr>
          <w:rFonts w:ascii="Arial" w:hAnsi="Arial"/>
          <w:b w:val="0"/>
          <w:i/>
          <w:color w:val="111827"/>
          <w:sz w:val="22"/>
        </w:rPr>
        <w:t>Culpa Concorrente da Vítima:</w:t>
      </w:r>
      <w:r>
        <w:rPr>
          <w:rFonts w:ascii="Arial" w:hAnsi="Arial"/>
          <w:b w:val="0"/>
          <w:i w:val="0"/>
          <w:color w:val="111827"/>
          <w:sz w:val="22"/>
        </w:rPr>
        <w:t xml:space="preserve"> A vítima e o agente público concorreram simultaneamente para a eclosão do evento danoso. O Estado continua obrigado a indenizar, mas o montante indenizatório é </w:t>
      </w:r>
      <w:r>
        <w:rPr>
          <w:rFonts w:ascii="Arial" w:hAnsi="Arial"/>
          <w:b/>
          <w:i w:val="0"/>
          <w:color w:val="111827"/>
          <w:sz w:val="22"/>
        </w:rPr>
        <w:t>reduzido proporcionalmente</w:t>
      </w:r>
      <w:r>
        <w:rPr>
          <w:rFonts w:ascii="Arial" w:hAnsi="Arial"/>
          <w:b w:val="0"/>
          <w:i w:val="0"/>
          <w:color w:val="111827"/>
          <w:sz w:val="22"/>
        </w:rPr>
        <w:t xml:space="preserve"> ao grau de culpa da vítima.</w:t>
      </w:r>
    </w:p>
    <w:p>
      <w:pPr>
        <w:keepNext/>
        <w:spacing w:before="200" w:after="80"/>
      </w:pPr>
      <w:r>
        <w:rPr>
          <w:rFonts w:ascii="Arial" w:hAnsi="Arial"/>
          <w:b/>
          <w:i w:val="0"/>
          <w:color w:val="2B6CB0"/>
          <w:sz w:val="24"/>
        </w:rPr>
        <w:t>1.4 Teoria do Risco Integral e suas Hipóteses Excepcionais</w:t>
      </w:r>
    </w:p>
    <w:p>
      <w:pPr>
        <w:spacing w:line="360" w:lineRule="auto" w:before="0" w:after="80"/>
        <w:jc w:val="both"/>
      </w:pPr>
      <w:r>
        <w:rPr>
          <w:rFonts w:ascii="Arial" w:hAnsi="Arial"/>
          <w:b w:val="0"/>
          <w:i w:val="0"/>
          <w:color w:val="111827"/>
          <w:sz w:val="24"/>
        </w:rPr>
        <w:t xml:space="preserve">Na </w:t>
      </w:r>
      <w:r>
        <w:rPr>
          <w:rFonts w:ascii="Arial" w:hAnsi="Arial"/>
          <w:b/>
          <w:i w:val="0"/>
          <w:color w:val="111827"/>
          <w:sz w:val="24"/>
        </w:rPr>
        <w:t>Teoria do Risco Integral</w:t>
      </w:r>
      <w:r>
        <w:rPr>
          <w:rFonts w:ascii="Arial" w:hAnsi="Arial"/>
          <w:b w:val="0"/>
          <w:i w:val="0"/>
          <w:color w:val="111827"/>
          <w:sz w:val="24"/>
        </w:rPr>
        <w:t xml:space="preserve">, a obrigação estatal de indenizar é cega e absoluta. O Estado atua como garantidor universal de riscos, </w:t>
      </w:r>
      <w:r>
        <w:rPr>
          <w:rFonts w:ascii="Arial" w:hAnsi="Arial"/>
          <w:b/>
          <w:i w:val="0"/>
          <w:color w:val="111827"/>
          <w:sz w:val="24"/>
        </w:rPr>
        <w:t>sendo vedada a invocação de qualquer causa excludente</w:t>
      </w:r>
      <w:r>
        <w:rPr>
          <w:rFonts w:ascii="Arial" w:hAnsi="Arial"/>
          <w:b w:val="0"/>
          <w:i w:val="0"/>
          <w:color w:val="111827"/>
          <w:sz w:val="24"/>
        </w:rPr>
        <w:t xml:space="preserve"> (o poder público é condenado mesmo diante de caso fortuito, força maior ou culpa exclusiva da vítima).</w:t>
      </w:r>
    </w:p>
    <w:p>
      <w:pPr>
        <w:spacing w:line="360" w:lineRule="auto" w:before="0" w:after="80"/>
        <w:jc w:val="both"/>
      </w:pPr>
      <w:r>
        <w:rPr>
          <w:rFonts w:ascii="Arial" w:hAnsi="Arial"/>
          <w:b w:val="0"/>
          <w:i w:val="0"/>
          <w:color w:val="111827"/>
          <w:sz w:val="24"/>
        </w:rPr>
        <w:t xml:space="preserve">O ordenamento constitucional e legal brasileiro reconhece a incidência do risco integral em apenas </w:t>
      </w:r>
      <w:r>
        <w:rPr>
          <w:rFonts w:ascii="Arial" w:hAnsi="Arial"/>
          <w:b/>
          <w:i w:val="0"/>
          <w:color w:val="111827"/>
          <w:sz w:val="24"/>
        </w:rPr>
        <w:t>três hipóteses taxativas</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Dano Nuclear:</w:t>
      </w:r>
      <w:r>
        <w:rPr>
          <w:rFonts w:ascii="Arial" w:hAnsi="Arial"/>
          <w:b w:val="0"/>
          <w:i w:val="0"/>
          <w:color w:val="111827"/>
          <w:sz w:val="22"/>
        </w:rPr>
        <w:t xml:space="preserve"> Responsabilidade civil por acidentes radiológicos ou nucleares (CF/88, art. 21, XXIII, "d");</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Atos de Guerra e Terrorismo Aéreo:</w:t>
      </w:r>
      <w:r>
        <w:rPr>
          <w:rFonts w:ascii="Arial" w:hAnsi="Arial"/>
          <w:b w:val="0"/>
          <w:i w:val="0"/>
          <w:color w:val="111827"/>
          <w:sz w:val="22"/>
        </w:rPr>
        <w:t xml:space="preserve"> Danos a terceiros decorrentes de atentados terroristas contra aeronaves comerciais de matrícula brasileira (Lei Federal nº 10.744/2003);</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Dano Ambiental:</w:t>
      </w:r>
      <w:r>
        <w:rPr>
          <w:rFonts w:ascii="Arial" w:hAnsi="Arial"/>
          <w:b w:val="0"/>
          <w:i w:val="0"/>
          <w:color w:val="111827"/>
          <w:sz w:val="22"/>
        </w:rPr>
        <w:t xml:space="preserve"> Jurisprudência vinculante consolidada do Superior Tribunal de Justiça (Tema Repetitivo 707/STJ) para degradações ecológicas graves.</w:t>
      </w:r>
    </w:p>
    <w:p>
      <w:pPr>
        <w:keepNext/>
        <w:spacing w:before="200" w:after="80"/>
      </w:pPr>
      <w:r>
        <w:rPr>
          <w:rFonts w:ascii="Arial" w:hAnsi="Arial"/>
          <w:b/>
          <w:i w:val="0"/>
          <w:color w:val="2B6CB0"/>
          <w:sz w:val="24"/>
        </w:rPr>
        <w:t>1.5 Responsabilidade por Omissão Estatal: Genérica vs. Específica</w:t>
      </w:r>
    </w:p>
    <w:p>
      <w:pPr>
        <w:spacing w:line="360" w:lineRule="auto" w:before="0" w:after="80"/>
        <w:jc w:val="both"/>
      </w:pPr>
      <w:r>
        <w:rPr>
          <w:rFonts w:ascii="Arial" w:hAnsi="Arial"/>
          <w:b w:val="0"/>
          <w:i w:val="0"/>
          <w:color w:val="111827"/>
          <w:sz w:val="24"/>
        </w:rPr>
        <w:t>Quando o dano decorre de um não-fazer da Administração Pública, a jurisprudência estabelece rígida bifurcação metodológica:</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Omissão Genérica (Responsabilidade Subjetiva):</w:t>
      </w:r>
      <w:r>
        <w:rPr>
          <w:rFonts w:ascii="Arial" w:hAnsi="Arial"/>
          <w:b w:val="0"/>
          <w:i w:val="0"/>
          <w:color w:val="111827"/>
          <w:sz w:val="22"/>
        </w:rPr>
        <w:t xml:space="preserve"> O Estado descumpre seu dever genérico de proteção da ordem social (ex.: furto de veículo particular estacionado em via pública comum; alagamento pontual em chuva sazonal). A vítima deve provar a ocorrência de culpa anônima do serviço (</w:t>
      </w:r>
      <w:r>
        <w:rPr>
          <w:rFonts w:ascii="Arial" w:hAnsi="Arial"/>
          <w:b w:val="0"/>
          <w:i/>
          <w:color w:val="111827"/>
          <w:sz w:val="22"/>
        </w:rPr>
        <w:t>faute du service</w:t>
      </w:r>
      <w:r>
        <w:rPr>
          <w:rFonts w:ascii="Arial" w:hAnsi="Arial"/>
          <w:b w:val="0"/>
          <w:i w:val="0"/>
          <w:color w:val="111827"/>
          <w:sz w:val="22"/>
        </w:rPr>
        <w:t>), demonstrando que o poder público foi negligente diante de um dever exigível.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Omissão Específica (Responsabilidade Objetiva - Tema 592/STF):</w:t>
      </w:r>
      <w:r>
        <w:rPr>
          <w:rFonts w:ascii="Arial" w:hAnsi="Arial"/>
          <w:b w:val="0"/>
          <w:i w:val="0"/>
          <w:color w:val="111827"/>
          <w:sz w:val="22"/>
        </w:rPr>
        <w:t xml:space="preserve"> Ocorre quando o Estado atua na </w:t>
      </w:r>
      <w:r>
        <w:rPr>
          <w:rFonts w:ascii="Arial" w:hAnsi="Arial"/>
          <w:b/>
          <w:i w:val="0"/>
          <w:color w:val="111827"/>
          <w:sz w:val="22"/>
        </w:rPr>
        <w:t>posição de garante</w:t>
      </w:r>
      <w:r>
        <w:rPr>
          <w:rFonts w:ascii="Arial" w:hAnsi="Arial"/>
          <w:b w:val="0"/>
          <w:i w:val="0"/>
          <w:color w:val="111827"/>
          <w:sz w:val="22"/>
        </w:rPr>
        <w:t xml:space="preserve">, detendo a pessoa ou a coisa sob sua imediata custódia física institucional (ex.: morte ou lesão corporal de detento em estabelecimento penitenciário; acidente com criança no interior de escola pública municipal; suicídio de paciente internado em hospital psiquiátrico público). A responsabilidade é </w:t>
      </w:r>
      <w:r>
        <w:rPr>
          <w:rFonts w:ascii="Arial" w:hAnsi="Arial"/>
          <w:b/>
          <w:i w:val="0"/>
          <w:color w:val="111827"/>
          <w:sz w:val="22"/>
        </w:rPr>
        <w:t>OBJETIVA</w:t>
      </w:r>
      <w:r>
        <w:rPr>
          <w:rFonts w:ascii="Arial" w:hAnsi="Arial"/>
          <w:b w:val="0"/>
          <w:i w:val="0"/>
          <w:color w:val="111827"/>
          <w:sz w:val="22"/>
        </w:rPr>
        <w:t>; o Estado só se exonera se comprovar que a morte ou o dano decorreu de causa natural ou que o evento era faticamente inevitável mesmo com o cumprimento de todos os protocolos regulares de vigilância.</w:t>
      </w:r>
    </w:p>
    <w:p>
      <w:pPr>
        <w:keepNext/>
        <w:spacing w:before="200" w:after="80"/>
      </w:pPr>
      <w:r>
        <w:rPr>
          <w:rFonts w:ascii="Arial" w:hAnsi="Arial"/>
          <w:b/>
          <w:i w:val="0"/>
          <w:color w:val="2B6CB0"/>
          <w:sz w:val="24"/>
        </w:rPr>
        <w:t>1.6 Ação Regressiva e a Teoria da Dupla Garantia (Tema 940 / STF)</w:t>
      </w:r>
    </w:p>
    <w:p>
      <w:pPr>
        <w:spacing w:line="360" w:lineRule="auto" w:before="0" w:after="80"/>
        <w:jc w:val="both"/>
      </w:pPr>
      <w:r>
        <w:rPr>
          <w:rFonts w:ascii="Arial" w:hAnsi="Arial"/>
          <w:b w:val="0"/>
          <w:i w:val="0"/>
          <w:color w:val="111827"/>
          <w:sz w:val="24"/>
        </w:rPr>
        <w:t>O Supremo Tribunal Federal, ao julgar o RE 1.027.633 sob a sistemática da repercussão geral (</w:t>
      </w:r>
      <w:r>
        <w:rPr>
          <w:rFonts w:ascii="Arial" w:hAnsi="Arial"/>
          <w:b/>
          <w:i w:val="0"/>
          <w:color w:val="111827"/>
          <w:sz w:val="24"/>
        </w:rPr>
        <w:t>Tema 940</w:t>
      </w:r>
      <w:r>
        <w:rPr>
          <w:rFonts w:ascii="Arial" w:hAnsi="Arial"/>
          <w:b w:val="0"/>
          <w:i w:val="0"/>
          <w:color w:val="111827"/>
          <w:sz w:val="24"/>
        </w:rPr>
        <w:t>), pacificou a controvérsia sobre a legitimidade passiva nas ações indenizatórias fundamentadas no art. 37, § 6º, da CF/88:</w:t>
      </w:r>
    </w:p>
    <w:p>
      <w:pPr>
        <w:spacing w:line="240" w:lineRule="auto" w:before="40" w:after="40"/>
        <w:ind w:left="2268"/>
      </w:pPr>
      <w:r>
        <w:rPr>
          <w:rFonts w:ascii="Arial" w:hAnsi="Arial"/>
          <w:b w:val="0"/>
          <w:i w:val="0"/>
          <w:color w:val="111827"/>
          <w:sz w:val="20"/>
        </w:rPr>
        <w:t xml:space="preserve">*"A teor do art. 37, § 6º, da Constituição Federal, a ação por danos causados por agente público deve ser ajuizada contra o Estado ou a pessoa jurídica de direito privado prestadora de serviço público, </w:t>
      </w:r>
      <w:r>
        <w:rPr>
          <w:rFonts w:ascii="Arial" w:hAnsi="Arial"/>
          <w:b/>
          <w:i w:val="0"/>
          <w:color w:val="111827"/>
          <w:sz w:val="20"/>
        </w:rPr>
        <w:t>sendo parte ilegítima para figurar no polo passivo o autor do ato</w:t>
      </w:r>
      <w:r>
        <w:rPr>
          <w:rFonts w:ascii="Arial" w:hAnsi="Arial"/>
          <w:b w:val="0"/>
          <w:i w:val="0"/>
          <w:color w:val="111827"/>
          <w:sz w:val="20"/>
        </w:rPr>
        <w:t>, assegurado o direito de regresso contra o responsável nos casos de dolo ou culpa."*</w:t>
      </w:r>
    </w:p>
    <w:p>
      <w:pPr>
        <w:spacing w:after="80"/>
      </w:pPr>
    </w:p>
    <w:p>
      <w:pPr>
        <w:keepNext/>
        <w:spacing w:before="120" w:after="40"/>
      </w:pPr>
      <w:r>
        <w:rPr>
          <w:rFonts w:ascii="Arial" w:hAnsi="Arial"/>
          <w:b/>
          <w:i/>
          <w:color w:val="334155"/>
          <w:sz w:val="22"/>
        </w:rPr>
        <w:t>A Teoria da Dupla Garantia: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Primeira Garantia (Ao Cidadão Vítima):</w:t>
      </w:r>
      <w:r>
        <w:rPr>
          <w:rFonts w:ascii="Arial" w:hAnsi="Arial"/>
          <w:b w:val="0"/>
          <w:i w:val="0"/>
          <w:color w:val="111827"/>
          <w:sz w:val="22"/>
        </w:rPr>
        <w:t xml:space="preserve"> Assegura que o particular lesionado demandará contra o Estado ou concessionária sob regime de responsabilidade objetiva (sem ter que provar a culpa do servidor) e com a certeza de solvência financeira pública.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Segunda Garantia (Ao Agente Público):</w:t>
      </w:r>
      <w:r>
        <w:rPr>
          <w:rFonts w:ascii="Arial" w:hAnsi="Arial"/>
          <w:b w:val="0"/>
          <w:i w:val="0"/>
          <w:color w:val="111827"/>
          <w:sz w:val="22"/>
        </w:rPr>
        <w:t xml:space="preserve"> Protege o servidor contra ações temerárias de administrados inconformados, assegurando-lhe que </w:t>
      </w:r>
      <w:r>
        <w:rPr>
          <w:rFonts w:ascii="Arial" w:hAnsi="Arial"/>
          <w:b/>
          <w:i w:val="0"/>
          <w:color w:val="111827"/>
          <w:sz w:val="22"/>
        </w:rPr>
        <w:t>jamais poderá ser réu direto</w:t>
      </w:r>
      <w:r>
        <w:rPr>
          <w:rFonts w:ascii="Arial" w:hAnsi="Arial"/>
          <w:b w:val="0"/>
          <w:i w:val="0"/>
          <w:color w:val="111827"/>
          <w:sz w:val="22"/>
        </w:rPr>
        <w:t xml:space="preserve"> na ação proposta pela vítima, nem compor litisconsórcio passivo originário com o Estado.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Regime da Ação Regressiva:</w:t>
      </w:r>
      <w:r>
        <w:rPr>
          <w:rFonts w:ascii="Arial" w:hAnsi="Arial"/>
          <w:b w:val="0"/>
          <w:i w:val="0"/>
          <w:color w:val="111827"/>
          <w:sz w:val="22"/>
        </w:rPr>
        <w:t xml:space="preserve"> O Estado, após ser definitivamente condenado e efetuar o pagamento da indenização à vítima, tem o </w:t>
      </w:r>
      <w:r>
        <w:rPr>
          <w:rFonts w:ascii="Arial" w:hAnsi="Arial"/>
          <w:b/>
          <w:i w:val="0"/>
          <w:color w:val="111827"/>
          <w:sz w:val="22"/>
        </w:rPr>
        <w:t>dever de ajuizar ação regressiva</w:t>
      </w:r>
      <w:r>
        <w:rPr>
          <w:rFonts w:ascii="Arial" w:hAnsi="Arial"/>
          <w:b w:val="0"/>
          <w:i w:val="0"/>
          <w:color w:val="111827"/>
          <w:sz w:val="22"/>
        </w:rPr>
        <w:t xml:space="preserve"> contra o servidor causador do dano. No âmbito da ação de regresso, a responsabilidade do servidor é </w:t>
      </w:r>
      <w:r>
        <w:rPr>
          <w:rFonts w:ascii="Arial" w:hAnsi="Arial"/>
          <w:b/>
          <w:i w:val="0"/>
          <w:color w:val="111827"/>
          <w:sz w:val="22"/>
        </w:rPr>
        <w:t>SUBJETIVA</w:t>
      </w:r>
      <w:r>
        <w:rPr>
          <w:rFonts w:ascii="Arial" w:hAnsi="Arial"/>
          <w:b w:val="0"/>
          <w:i w:val="0"/>
          <w:color w:val="111827"/>
          <w:sz w:val="22"/>
        </w:rPr>
        <w:t xml:space="preserve">, dependendo da comprovação cabal de que ele agiu com </w:t>
      </w:r>
      <w:r>
        <w:rPr>
          <w:rFonts w:ascii="Arial" w:hAnsi="Arial"/>
          <w:b/>
          <w:i w:val="0"/>
          <w:color w:val="111827"/>
          <w:sz w:val="22"/>
        </w:rPr>
        <w:t>dolo ou culpa</w:t>
      </w:r>
      <w:r>
        <w:rPr>
          <w:rFonts w:ascii="Arial" w:hAnsi="Arial"/>
          <w:b w:val="0"/>
          <w:i w:val="0"/>
          <w:color w:val="111827"/>
          <w:sz w:val="22"/>
        </w:rPr>
        <w:t xml:space="preserve"> (negligência, imprudência ou imperícia).</w:t>
      </w:r>
    </w:p>
    <w:p>
      <w:pPr>
        <w:keepNext/>
        <w:spacing w:before="280" w:after="120"/>
      </w:pPr>
      <w:r>
        <w:rPr>
          <w:rFonts w:ascii="Arial" w:hAnsi="Arial"/>
          <w:b/>
          <w:i w:val="0"/>
          <w:color w:val="2C5282"/>
          <w:sz w:val="28"/>
        </w:rPr>
        <w:t>2. Regime Jurídico dos Serviços Públicos e sua Delegação</w:t>
      </w:r>
    </w:p>
    <w:p>
      <w:pPr>
        <w:keepNext/>
        <w:spacing w:before="200" w:after="80"/>
      </w:pPr>
      <w:r>
        <w:rPr>
          <w:rFonts w:ascii="Arial" w:hAnsi="Arial"/>
          <w:b/>
          <w:i w:val="0"/>
          <w:color w:val="2B6CB0"/>
          <w:sz w:val="24"/>
        </w:rPr>
        <w:t>2.1 Princípios do Serviço Público Adequado</w:t>
      </w:r>
    </w:p>
    <w:p>
      <w:pPr>
        <w:spacing w:line="360" w:lineRule="auto" w:before="0" w:after="80"/>
        <w:jc w:val="both"/>
      </w:pPr>
      <w:r>
        <w:rPr>
          <w:rFonts w:ascii="Arial" w:hAnsi="Arial"/>
          <w:b w:val="0"/>
          <w:i w:val="0"/>
          <w:color w:val="111827"/>
          <w:sz w:val="24"/>
        </w:rPr>
        <w:t xml:space="preserve">A Lei Federal nº 8.987/1995 (art. 6º) prescreve que toda concessão ou permissão pressupõe a prestação de </w:t>
      </w:r>
      <w:r>
        <w:rPr>
          <w:rFonts w:ascii="Arial" w:hAnsi="Arial"/>
          <w:b/>
          <w:i w:val="0"/>
          <w:color w:val="111827"/>
          <w:sz w:val="24"/>
        </w:rPr>
        <w:t>serviço adequado</w:t>
      </w:r>
      <w:r>
        <w:rPr>
          <w:rFonts w:ascii="Arial" w:hAnsi="Arial"/>
          <w:b w:val="0"/>
          <w:i w:val="0"/>
          <w:color w:val="111827"/>
          <w:sz w:val="24"/>
        </w:rPr>
        <w:t>, assim entendido o que satisfaz as condições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Regularidade:</w:t>
      </w:r>
      <w:r>
        <w:rPr>
          <w:rFonts w:ascii="Arial" w:hAnsi="Arial"/>
          <w:b w:val="0"/>
          <w:i w:val="0"/>
          <w:color w:val="111827"/>
          <w:sz w:val="22"/>
        </w:rPr>
        <w:t xml:space="preserve"> Prestação sem oscilações arbitrárias de qualidade.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Continuidade:</w:t>
      </w:r>
      <w:r>
        <w:rPr>
          <w:rFonts w:ascii="Arial" w:hAnsi="Arial"/>
          <w:b w:val="0"/>
          <w:i w:val="0"/>
          <w:color w:val="111827"/>
          <w:sz w:val="22"/>
        </w:rPr>
        <w:t xml:space="preserve"> Não interrupção da atividade, admitida a suspensão motivada em hipóteses estritas de segurança técnica ou inadimplemento do usuário após aviso prévio formal.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Eficiência:</w:t>
      </w:r>
      <w:r>
        <w:rPr>
          <w:rFonts w:ascii="Arial" w:hAnsi="Arial"/>
          <w:b w:val="0"/>
          <w:i w:val="0"/>
          <w:color w:val="111827"/>
          <w:sz w:val="22"/>
        </w:rPr>
        <w:t xml:space="preserve"> Máxima produtividade e excelência técnica.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Segurança:</w:t>
      </w:r>
      <w:r>
        <w:rPr>
          <w:rFonts w:ascii="Arial" w:hAnsi="Arial"/>
          <w:b w:val="0"/>
          <w:i w:val="0"/>
          <w:color w:val="111827"/>
          <w:sz w:val="22"/>
        </w:rPr>
        <w:t xml:space="preserve"> Minimização de riscos aos usuários e ao meio ambiente.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Atualidade:</w:t>
      </w:r>
      <w:r>
        <w:rPr>
          <w:rFonts w:ascii="Arial" w:hAnsi="Arial"/>
          <w:b w:val="0"/>
          <w:i w:val="0"/>
          <w:color w:val="111827"/>
          <w:sz w:val="22"/>
        </w:rPr>
        <w:t xml:space="preserve"> Incorporação contínua de métodos modernos, equipamentos tecnológicos de ponta e expansão da rede.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Generalidade:</w:t>
      </w:r>
      <w:r>
        <w:rPr>
          <w:rFonts w:ascii="Arial" w:hAnsi="Arial"/>
          <w:b w:val="0"/>
          <w:i w:val="0"/>
          <w:color w:val="111827"/>
          <w:sz w:val="22"/>
        </w:rPr>
        <w:t xml:space="preserve"> Acesso universal e não discriminatório a todos os cidadãos.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Cortesia:</w:t>
      </w:r>
      <w:r>
        <w:rPr>
          <w:rFonts w:ascii="Arial" w:hAnsi="Arial"/>
          <w:b w:val="0"/>
          <w:i w:val="0"/>
          <w:color w:val="111827"/>
          <w:sz w:val="22"/>
        </w:rPr>
        <w:t xml:space="preserve"> Urbanidade no trato com os usuários.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Modicidade das Tarifas:</w:t>
      </w:r>
      <w:r>
        <w:rPr>
          <w:rFonts w:ascii="Arial" w:hAnsi="Arial"/>
          <w:b w:val="0"/>
          <w:i w:val="0"/>
          <w:color w:val="111827"/>
          <w:sz w:val="22"/>
        </w:rPr>
        <w:t xml:space="preserve"> Fixação de preços públicos acessíveis à população em equilíbrio econômico-financeiro.</w:t>
      </w:r>
    </w:p>
    <w:p>
      <w:pPr>
        <w:keepNext/>
        <w:spacing w:before="200" w:after="80"/>
      </w:pPr>
      <w:r>
        <w:rPr>
          <w:rFonts w:ascii="Arial" w:hAnsi="Arial"/>
          <w:b/>
          <w:i w:val="0"/>
          <w:color w:val="2B6CB0"/>
          <w:sz w:val="24"/>
        </w:rPr>
        <w:t>2.2 Concessão Comum e Permissão de Serviço Público (Lei nº 8.987/1995)</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Concessão Comum de Serviço Público:</w:t>
      </w:r>
      <w:r>
        <w:rPr>
          <w:rFonts w:ascii="Arial" w:hAnsi="Arial"/>
          <w:b w:val="0"/>
          <w:i w:val="0"/>
          <w:color w:val="111827"/>
          <w:sz w:val="22"/>
        </w:rPr>
        <w:t xml:space="preserve"> Delegação contratual bilateral formalizada com pessoa jurídica ou consórcio de empresas, mediante prévia licitação obrigatória, para exploração do serviço por prazo determinado, a expensas e risco da concessionária, remunerada unicamente pelas tarifas cobradas dos usuários.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Permissão de Serviço Público:</w:t>
      </w:r>
      <w:r>
        <w:rPr>
          <w:rFonts w:ascii="Arial" w:hAnsi="Arial"/>
          <w:b w:val="0"/>
          <w:i w:val="0"/>
          <w:color w:val="111827"/>
          <w:sz w:val="22"/>
        </w:rPr>
        <w:t xml:space="preserve"> Delegação formalizada mediante </w:t>
      </w:r>
      <w:r>
        <w:rPr>
          <w:rFonts w:ascii="Arial" w:hAnsi="Arial"/>
          <w:b/>
          <w:i w:val="0"/>
          <w:color w:val="111827"/>
          <w:sz w:val="22"/>
        </w:rPr>
        <w:t>contrato de adesão</w:t>
      </w:r>
      <w:r>
        <w:rPr>
          <w:rFonts w:ascii="Arial" w:hAnsi="Arial"/>
          <w:b w:val="0"/>
          <w:i w:val="0"/>
          <w:color w:val="111827"/>
          <w:sz w:val="22"/>
        </w:rPr>
        <w:t>, a título precário, após prévia licitação, admitindo como permitente pessoa física ou jurídica.</w:t>
      </w:r>
    </w:p>
    <w:p>
      <w:pPr>
        <w:keepNext/>
        <w:spacing w:before="200" w:after="80"/>
      </w:pPr>
      <w:r>
        <w:rPr>
          <w:rFonts w:ascii="Arial" w:hAnsi="Arial"/>
          <w:b/>
          <w:i w:val="0"/>
          <w:color w:val="2B6CB0"/>
          <w:sz w:val="24"/>
        </w:rPr>
        <w:t>2.3 Formas de Extinção das Concessões: Encampação vs. Caducidade</w:t>
      </w:r>
    </w:p>
    <w:p>
      <w:pPr>
        <w:spacing w:line="360" w:lineRule="auto" w:before="0" w:after="80"/>
        <w:jc w:val="both"/>
      </w:pPr>
      <w:r>
        <w:rPr>
          <w:rFonts w:ascii="Arial" w:hAnsi="Arial"/>
          <w:b w:val="0"/>
          <w:i w:val="0"/>
          <w:color w:val="111827"/>
          <w:sz w:val="24"/>
        </w:rPr>
        <w:t>A diferenciação entre as modalidades de extinção contratual na Lei nº 8.987/1995 é intensamente cobrada pela FCC:</w:t>
      </w: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Encampação (Resgate)</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Caducidade</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Causa Primária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Interesse público superveniente</w:t>
            </w:r>
            <w:r>
              <w:rPr>
                <w:rFonts w:ascii="Arial" w:hAnsi="Arial"/>
                <w:b w:val="0"/>
                <w:i w:val="0"/>
                <w:color w:val="111827"/>
                <w:sz w:val="19"/>
              </w:rPr>
              <w:t xml:space="preserve"> (conveniência administrativa)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Inadimplemento contratual culposo</w:t>
            </w:r>
            <w:r>
              <w:rPr>
                <w:rFonts w:ascii="Arial" w:hAnsi="Arial"/>
                <w:b w:val="0"/>
                <w:i w:val="0"/>
                <w:color w:val="111827"/>
                <w:sz w:val="19"/>
              </w:rPr>
              <w:t xml:space="preserve"> da concessionária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Culpa da Concessionária?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 xml:space="preserve"> (a empresa cumpria rigorosamente o contrato)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(prestação defeituosa, paralisações, descumprimento de prazos)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Exigência de Lei?</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exige </w:t>
            </w:r>
            <w:r>
              <w:rPr>
                <w:rFonts w:ascii="Arial" w:hAnsi="Arial"/>
                <w:b/>
                <w:i w:val="0"/>
                <w:color w:val="111827"/>
                <w:sz w:val="19"/>
              </w:rPr>
              <w:t>lei autorizativa específica</w:t>
            </w:r>
            <w:r>
              <w:rPr>
                <w:rFonts w:ascii="Arial" w:hAnsi="Arial"/>
                <w:b w:val="0"/>
                <w:i w:val="0"/>
                <w:color w:val="111827"/>
                <w:sz w:val="19"/>
              </w:rPr>
              <w:t xml:space="preserve"> do ente concedente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 xml:space="preserve">, declarada por </w:t>
            </w:r>
            <w:r>
              <w:rPr>
                <w:rFonts w:ascii="Arial" w:hAnsi="Arial"/>
                <w:b/>
                <w:i w:val="0"/>
                <w:color w:val="111827"/>
                <w:sz w:val="19"/>
              </w:rPr>
              <w:t>decreto</w:t>
            </w:r>
            <w:r>
              <w:rPr>
                <w:rFonts w:ascii="Arial" w:hAnsi="Arial"/>
                <w:b w:val="0"/>
                <w:i w:val="0"/>
                <w:color w:val="111827"/>
                <w:sz w:val="19"/>
              </w:rPr>
              <w:t xml:space="preserve"> do Chefe do Executivo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Indenização Prévia?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o pagamento de indenização deve ser </w:t>
            </w:r>
            <w:r>
              <w:rPr>
                <w:rFonts w:ascii="Arial" w:hAnsi="Arial"/>
                <w:b/>
                <w:i w:val="0"/>
                <w:color w:val="111827"/>
                <w:sz w:val="19"/>
              </w:rPr>
              <w:t>prévio</w:t>
            </w:r>
            <w:r>
              <w:rPr>
                <w:rFonts w:ascii="Arial" w:hAnsi="Arial"/>
                <w:b w:val="0"/>
                <w:i w:val="0"/>
                <w:color w:val="111827"/>
                <w:sz w:val="19"/>
              </w:rPr>
              <w:t xml:space="preserve"> à retomada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 indenização é apurada a posteriori descontadas multas contratuais</w:t>
            </w:r>
          </w:p>
        </w:tc>
      </w:tr>
    </w:tbl>
    <w:p>
      <w:pPr>
        <w:spacing w:after="120"/>
      </w:pPr>
    </w:p>
    <w:p>
      <w:pPr>
        <w:keepNext/>
        <w:spacing w:before="200" w:after="80"/>
      </w:pPr>
      <w:r>
        <w:rPr>
          <w:rFonts w:ascii="Arial" w:hAnsi="Arial"/>
          <w:b/>
          <w:i w:val="0"/>
          <w:color w:val="2B6CB0"/>
          <w:sz w:val="24"/>
        </w:rPr>
        <w:t>2.4 Parcerias Público-Privadas - PPPs (Lei nº 11.079/2004)</w:t>
      </w:r>
    </w:p>
    <w:p>
      <w:pPr>
        <w:spacing w:line="360" w:lineRule="auto" w:before="0" w:after="80"/>
        <w:jc w:val="both"/>
      </w:pPr>
      <w:r>
        <w:rPr>
          <w:rFonts w:ascii="Arial" w:hAnsi="Arial"/>
          <w:b w:val="0"/>
          <w:i w:val="0"/>
          <w:color w:val="111827"/>
          <w:sz w:val="24"/>
        </w:rPr>
        <w:t>As Parcerias Público-Privadas constituem concessões especiais destinadas a viabilizar investimentos vultosos de infraestrutura em colaboração com o capital privado: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Concessão Patrocinada (Art. 2º, § 1º):</w:t>
      </w:r>
      <w:r>
        <w:rPr>
          <w:rFonts w:ascii="Arial" w:hAnsi="Arial"/>
          <w:b w:val="0"/>
          <w:i w:val="0"/>
          <w:color w:val="111827"/>
          <w:sz w:val="22"/>
        </w:rPr>
        <w:t xml:space="preserve"> É a concessão de serviços públicos ou obras públicas em que a remuneração da concessionária envolve a combinação de </w:t>
      </w:r>
      <w:r>
        <w:rPr>
          <w:rFonts w:ascii="Arial" w:hAnsi="Arial"/>
          <w:b/>
          <w:i w:val="0"/>
          <w:color w:val="111827"/>
          <w:sz w:val="22"/>
        </w:rPr>
        <w:t>tarifa paga pelos usuários</w:t>
      </w:r>
      <w:r>
        <w:rPr>
          <w:rFonts w:ascii="Arial" w:hAnsi="Arial"/>
          <w:b w:val="0"/>
          <w:i w:val="0"/>
          <w:color w:val="111827"/>
          <w:sz w:val="22"/>
        </w:rPr>
        <w:t xml:space="preserve"> mais uma </w:t>
      </w:r>
      <w:r>
        <w:rPr>
          <w:rFonts w:ascii="Arial" w:hAnsi="Arial"/>
          <w:b/>
          <w:i w:val="0"/>
          <w:color w:val="111827"/>
          <w:sz w:val="22"/>
        </w:rPr>
        <w:t>contraprestação pecuniária complementar paga pelo parceiro público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Concessão Administrativa (Art. 2º, § 2º):</w:t>
      </w:r>
      <w:r>
        <w:rPr>
          <w:rFonts w:ascii="Arial" w:hAnsi="Arial"/>
          <w:b w:val="0"/>
          <w:i w:val="0"/>
          <w:color w:val="111827"/>
          <w:sz w:val="22"/>
        </w:rPr>
        <w:t xml:space="preserve"> É o contrato de prestação de serviços de que a </w:t>
      </w:r>
      <w:r>
        <w:rPr>
          <w:rFonts w:ascii="Arial" w:hAnsi="Arial"/>
          <w:b/>
          <w:i w:val="0"/>
          <w:color w:val="111827"/>
          <w:sz w:val="22"/>
        </w:rPr>
        <w:t>Administração Pública seja a usuária direta ou indireta</w:t>
      </w:r>
      <w:r>
        <w:rPr>
          <w:rFonts w:ascii="Arial" w:hAnsi="Arial"/>
          <w:b w:val="0"/>
          <w:i w:val="0"/>
          <w:color w:val="111827"/>
          <w:sz w:val="22"/>
        </w:rPr>
        <w:t xml:space="preserve">, ainda que envolva a execução de obra ou fornecimento e instalação de bens. A remuneração é </w:t>
      </w:r>
      <w:r>
        <w:rPr>
          <w:rFonts w:ascii="Arial" w:hAnsi="Arial"/>
          <w:b/>
          <w:i w:val="0"/>
          <w:color w:val="111827"/>
          <w:sz w:val="22"/>
        </w:rPr>
        <w:t>100% custeada pelo erário</w:t>
      </w:r>
      <w:r>
        <w:rPr>
          <w:rFonts w:ascii="Arial" w:hAnsi="Arial"/>
          <w:b w:val="0"/>
          <w:i w:val="0"/>
          <w:color w:val="111827"/>
          <w:sz w:val="22"/>
        </w:rPr>
        <w:t>, inexistindo cobrança de tarifas dos cidadãos (ex.: construção e operação de hospitais públicos do SUS, presídios, iluminação pública).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Vedações Legais Obrigatórias à Celebração de PPPs (Art. 2º, § 4º):</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Contratos cujo valor total seja </w:t>
      </w:r>
      <w:r>
        <w:rPr>
          <w:rFonts w:ascii="Arial" w:hAnsi="Arial"/>
          <w:b/>
          <w:i w:val="0"/>
          <w:color w:val="111827"/>
          <w:sz w:val="22"/>
        </w:rPr>
        <w:t>inferior a R$ 10.000.000,00 (dez milhões de reais)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Período de prestação de serviços </w:t>
      </w:r>
      <w:r>
        <w:rPr>
          <w:rFonts w:ascii="Arial" w:hAnsi="Arial"/>
          <w:b/>
          <w:i w:val="0"/>
          <w:color w:val="111827"/>
          <w:sz w:val="22"/>
        </w:rPr>
        <w:t>inferior a 5 (cinco) anos</w:t>
      </w:r>
      <w:r>
        <w:rPr>
          <w:rFonts w:ascii="Arial" w:hAnsi="Arial"/>
          <w:b w:val="0"/>
          <w:i w:val="0"/>
          <w:color w:val="111827"/>
          <w:sz w:val="22"/>
        </w:rPr>
        <w:t xml:space="preserve"> ou superior a 35 (trinta e cinco) anos;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Contratos que tenham por objeto único o fornecimento de mão de obra, a mera locação de equipamentos ou a execução isolada de obra pública sem prestação continuada de serviços.</w:t>
      </w:r>
    </w:p>
    <w:p>
      <w:pPr>
        <w:keepNext/>
        <w:spacing w:before="280" w:after="120"/>
      </w:pPr>
      <w:r>
        <w:rPr>
          <w:rFonts w:ascii="Arial" w:hAnsi="Arial"/>
          <w:b/>
          <w:i w:val="0"/>
          <w:color w:val="2C5282"/>
          <w:sz w:val="28"/>
        </w:rPr>
        <w:t>3. Bens Públicos: Classificação, Afetação e Prerrogativas</w:t>
      </w:r>
    </w:p>
    <w:p>
      <w:pPr>
        <w:spacing w:line="360" w:lineRule="auto" w:before="0" w:after="80"/>
        <w:jc w:val="both"/>
      </w:pPr>
      <w:r>
        <w:rPr>
          <w:rFonts w:ascii="Arial" w:hAnsi="Arial"/>
          <w:b w:val="0"/>
          <w:i w:val="0"/>
          <w:color w:val="111827"/>
          <w:sz w:val="24"/>
        </w:rPr>
        <w:t>Conforme o art. 98 do Código Civil, são bens públicos todos aqueles pertencentes às pessoas jurídicas de direito público interno (União, Estados, DF, Municípios e suas autarquias e fundações públicas de direito público). Todos os demais são bens privados.</w:t>
      </w:r>
    </w:p>
    <w:p>
      <w:pPr>
        <w:keepNext/>
        <w:spacing w:before="200" w:after="80"/>
      </w:pPr>
      <w:r>
        <w:rPr>
          <w:rFonts w:ascii="Arial" w:hAnsi="Arial"/>
          <w:b/>
          <w:i w:val="0"/>
          <w:color w:val="2B6CB0"/>
          <w:sz w:val="24"/>
        </w:rPr>
        <w:t>3.1 Classificação Quanto à Destinação (Código Civil, art. 99)</w:t>
      </w:r>
    </w:p>
    <w:p>
      <w:pPr>
        <w:spacing w:line="276" w:lineRule="auto" w:before="20" w:after="40"/>
        <w:ind w:left="425"/>
      </w:pPr>
      <w:r>
        <w:rPr>
          <w:rFonts w:ascii="Arial" w:hAnsi="Arial"/>
          <w:b/>
          <w:color w:val="2B6CB0"/>
          <w:sz w:val="22"/>
        </w:rPr>
        <w:t xml:space="preserve">• </w:t>
      </w:r>
      <w:r>
        <w:rPr>
          <w:rFonts w:ascii="Arial" w:hAnsi="Arial"/>
          <w:b/>
          <w:i w:val="0"/>
          <w:color w:val="111827"/>
          <w:sz w:val="22"/>
        </w:rPr>
        <w:t>Bens de Uso Comum do Povo (Art. 99, I):</w:t>
      </w:r>
      <w:r>
        <w:rPr>
          <w:rFonts w:ascii="Arial" w:hAnsi="Arial"/>
          <w:b w:val="0"/>
          <w:i w:val="0"/>
          <w:color w:val="111827"/>
          <w:sz w:val="22"/>
        </w:rPr>
        <w:t xml:space="preserve"> Destinados ao uso franqueado e indistinto de toda a coletividade (mares, rios, estradas, ruas, praças, praias). Podem ser utilizados gratuitamente ou mediante cobrança de tarifa/pedágio autorizada por lei.</w:t>
      </w:r>
    </w:p>
    <w:p>
      <w:pPr>
        <w:spacing w:line="276" w:lineRule="auto" w:before="20" w:after="40"/>
        <w:ind w:left="425"/>
      </w:pPr>
      <w:r>
        <w:rPr>
          <w:rFonts w:ascii="Arial" w:hAnsi="Arial"/>
          <w:b/>
          <w:color w:val="2B6CB0"/>
          <w:sz w:val="22"/>
        </w:rPr>
        <w:t xml:space="preserve">• </w:t>
      </w:r>
      <w:r>
        <w:rPr>
          <w:rFonts w:ascii="Arial" w:hAnsi="Arial"/>
          <w:b/>
          <w:i w:val="0"/>
          <w:color w:val="111827"/>
          <w:sz w:val="22"/>
        </w:rPr>
        <w:t>Bens de Uso Especial (Art. 99, II):</w:t>
      </w:r>
      <w:r>
        <w:rPr>
          <w:rFonts w:ascii="Arial" w:hAnsi="Arial"/>
          <w:b w:val="0"/>
          <w:i w:val="0"/>
          <w:color w:val="111827"/>
          <w:sz w:val="22"/>
        </w:rPr>
        <w:t xml:space="preserve"> Destinados à execução direta dos serviços públicos e ao funcionamento da máquina administrativa (edifícios de fóruns e tribunais, escolas públicas, hospitais estatais, viaturas policiais, quartéis).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Bens Dominicais ou Dominicais (Art. 99, III):</w:t>
      </w:r>
      <w:r>
        <w:rPr>
          <w:rFonts w:ascii="Arial" w:hAnsi="Arial"/>
          <w:b w:val="0"/>
          <w:i w:val="0"/>
          <w:color w:val="111827"/>
          <w:sz w:val="22"/>
        </w:rPr>
        <w:t xml:space="preserve"> Bens que constituem o patrimônio disponível do Estado sem destinação pública específica ou aplicação administrativa direta (terras devolutas, prédios públicos desativados, títulos da dívida pública, bens desapropriados e não afetados).</w:t>
      </w:r>
    </w:p>
    <w:p>
      <w:pPr>
        <w:keepNext/>
        <w:spacing w:before="200" w:after="80"/>
      </w:pPr>
      <w:r>
        <w:rPr>
          <w:rFonts w:ascii="Arial" w:hAnsi="Arial"/>
          <w:b/>
          <w:i w:val="0"/>
          <w:color w:val="2B6CB0"/>
          <w:sz w:val="24"/>
        </w:rPr>
        <w:t>3.2 Fenômeno da Afetação e Desafetação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Afetação:</w:t>
      </w:r>
      <w:r>
        <w:rPr>
          <w:rFonts w:ascii="Arial" w:hAnsi="Arial"/>
          <w:b w:val="0"/>
          <w:i w:val="0"/>
          <w:color w:val="111827"/>
          <w:sz w:val="22"/>
        </w:rPr>
        <w:t xml:space="preserve"> É a atribuição formal ou fática de uma destinação pública a determinado bem (o bem passa a ser de uso comum ou de uso especial). Enquanto afetado, o bem é </w:t>
      </w:r>
      <w:r>
        <w:rPr>
          <w:rFonts w:ascii="Arial" w:hAnsi="Arial"/>
          <w:b/>
          <w:i w:val="0"/>
          <w:color w:val="111827"/>
          <w:sz w:val="22"/>
        </w:rPr>
        <w:t>inalienável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Desafetação:</w:t>
      </w:r>
      <w:r>
        <w:rPr>
          <w:rFonts w:ascii="Arial" w:hAnsi="Arial"/>
          <w:b w:val="0"/>
          <w:i w:val="0"/>
          <w:color w:val="111827"/>
          <w:sz w:val="22"/>
        </w:rPr>
        <w:t xml:space="preserve"> É a retirada da destinação pública do bem, convertendo-o em bem dominical. Somente após a regular desafetação o bem público torna-se passível de alienação, observadas as exigências de autorização legislativa, interesse público justificado, avaliação prévia e procedimento licitatório.</w:t>
      </w:r>
    </w:p>
    <w:p>
      <w:pPr>
        <w:keepNext/>
        <w:spacing w:before="200" w:after="80"/>
      </w:pPr>
      <w:r>
        <w:rPr>
          <w:rFonts w:ascii="Arial" w:hAnsi="Arial"/>
          <w:b/>
          <w:i w:val="0"/>
          <w:color w:val="2B6CB0"/>
          <w:sz w:val="24"/>
        </w:rPr>
        <w:t>3.3 Prerrogativas do Regime Jurídico e a Imprescritibilidade Absoluta</w:t>
      </w:r>
    </w:p>
    <w:p>
      <w:pPr>
        <w:spacing w:line="360" w:lineRule="auto" w:before="0" w:after="80"/>
        <w:jc w:val="both"/>
      </w:pPr>
      <w:r>
        <w:rPr>
          <w:rFonts w:ascii="Arial" w:hAnsi="Arial"/>
          <w:b w:val="0"/>
          <w:i w:val="0"/>
          <w:color w:val="111827"/>
          <w:sz w:val="24"/>
        </w:rPr>
        <w:t>O regime jurídico dos bens públicos é informado por quatro prerrogativas estruturantes: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Inalienabilidade Relativa:</w:t>
      </w:r>
      <w:r>
        <w:rPr>
          <w:rFonts w:ascii="Arial" w:hAnsi="Arial"/>
          <w:b w:val="0"/>
          <w:i w:val="0"/>
          <w:color w:val="111827"/>
          <w:sz w:val="22"/>
        </w:rPr>
        <w:t xml:space="preserve"> Os bens de uso comum e de uso especial são inalienáveis enquanto conservarem sua qualificação pública. Os bens dominicais podem ser alienados, desde que cumpridos os requisitos da lei de licitações.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Impenhorabilidade:</w:t>
      </w:r>
      <w:r>
        <w:rPr>
          <w:rFonts w:ascii="Arial" w:hAnsi="Arial"/>
          <w:b w:val="0"/>
          <w:i w:val="0"/>
          <w:color w:val="111827"/>
          <w:sz w:val="22"/>
        </w:rPr>
        <w:t xml:space="preserve"> Os bens públicos não podem ser objeto de penhora ou constrição judicial para garantia de dívidas. A execução contra a Fazenda Pública opera-se exclusivamente sob o regime constitucional de </w:t>
      </w:r>
      <w:r>
        <w:rPr>
          <w:rFonts w:ascii="Arial" w:hAnsi="Arial"/>
          <w:b/>
          <w:i w:val="0"/>
          <w:color w:val="111827"/>
          <w:sz w:val="22"/>
        </w:rPr>
        <w:t>precatórios judiciais ou requisições de pequeno valor - RPV</w:t>
      </w:r>
      <w:r>
        <w:rPr>
          <w:rFonts w:ascii="Arial" w:hAnsi="Arial"/>
          <w:b w:val="0"/>
          <w:i w:val="0"/>
          <w:color w:val="111827"/>
          <w:sz w:val="22"/>
        </w:rPr>
        <w:t xml:space="preserve"> (CF, art. 100).</w:t>
      </w:r>
    </w:p>
    <w:p>
      <w:pPr>
        <w:spacing w:line="276" w:lineRule="auto" w:before="20" w:after="40"/>
        <w:ind w:left="425"/>
      </w:pPr>
      <w:r>
        <w:rPr>
          <w:rFonts w:ascii="Arial" w:hAnsi="Arial"/>
          <w:b/>
          <w:color w:val="1B365D"/>
          <w:sz w:val="22"/>
        </w:rPr>
        <w:t xml:space="preserve">3. </w:t>
      </w:r>
      <w:r>
        <w:rPr>
          <w:rFonts w:ascii="Arial" w:hAnsi="Arial"/>
          <w:b/>
          <w:i w:val="0"/>
          <w:color w:val="111827"/>
          <w:sz w:val="22"/>
        </w:rPr>
        <w:t>Imprescritibilidade Absoluta (Vedação de Usucapião):</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O art. 183, § 3º e o art. 191, parágrafo único, da Constituição Federal, corroborados pela </w:t>
      </w:r>
      <w:r>
        <w:rPr>
          <w:rFonts w:ascii="Arial" w:hAnsi="Arial"/>
          <w:b/>
          <w:i w:val="0"/>
          <w:color w:val="111827"/>
          <w:sz w:val="24"/>
        </w:rPr>
        <w:t>Súmula 340 do STF</w:t>
      </w:r>
      <w:r>
        <w:rPr>
          <w:rFonts w:ascii="Arial" w:hAnsi="Arial"/>
          <w:b w:val="0"/>
          <w:i w:val="0"/>
          <w:color w:val="111827"/>
          <w:sz w:val="24"/>
        </w:rPr>
        <w:t xml:space="preserve">, preceituam que </w:t>
      </w:r>
      <w:r>
        <w:rPr>
          <w:rFonts w:ascii="Arial" w:hAnsi="Arial"/>
          <w:b/>
          <w:i w:val="0"/>
          <w:color w:val="111827"/>
          <w:sz w:val="24"/>
        </w:rPr>
        <w:t>nenhum bem público, qualquer que seja sua classificação (inclusive os bens dominicais), pode ser adquirido por usucapião</w:t>
      </w:r>
      <w:r>
        <w:rPr>
          <w:rFonts w:ascii="Arial" w:hAnsi="Arial"/>
          <w:b w:val="0"/>
          <w:i w:val="0"/>
          <w:color w:val="111827"/>
          <w:sz w:val="24"/>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Natureza da Ocupação Irregular:</w:t>
      </w:r>
      <w:r>
        <w:rPr>
          <w:rFonts w:ascii="Arial" w:hAnsi="Arial"/>
          <w:b w:val="0"/>
          <w:i w:val="0"/>
          <w:color w:val="111827"/>
          <w:sz w:val="22"/>
        </w:rPr>
        <w:t xml:space="preserve"> O particular que ocupa área pública sem título legítimo é considerado </w:t>
      </w:r>
      <w:r>
        <w:rPr>
          <w:rFonts w:ascii="Arial" w:hAnsi="Arial"/>
          <w:b/>
          <w:i w:val="0"/>
          <w:color w:val="111827"/>
          <w:sz w:val="22"/>
        </w:rPr>
        <w:t>mero detentor clandestino</w:t>
      </w:r>
      <w:r>
        <w:rPr>
          <w:rFonts w:ascii="Arial" w:hAnsi="Arial"/>
          <w:b w:val="0"/>
          <w:i w:val="0"/>
          <w:color w:val="111827"/>
          <w:sz w:val="22"/>
        </w:rPr>
        <w:t>. Não exerce posse jurídica tutelável, não tem direito a interditos possessórios contra o Estado e não faz jus a retenção ou indenização por benfeitorias realizadas.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Não-Onerabilidade:</w:t>
      </w:r>
      <w:r>
        <w:rPr>
          <w:rFonts w:ascii="Arial" w:hAnsi="Arial"/>
          <w:b w:val="0"/>
          <w:i w:val="0"/>
          <w:color w:val="111827"/>
          <w:sz w:val="22"/>
        </w:rPr>
        <w:t xml:space="preserve"> Impossibilidade de que bens públicos sejam gravados com direitos reais de garantia em favor de terceiros (hipoteca, penhor, anticrese).</w:t>
      </w:r>
    </w:p>
    <w:p>
      <w:pPr>
        <w:keepNext/>
        <w:spacing w:before="280" w:after="120"/>
      </w:pPr>
      <w:r>
        <w:rPr>
          <w:rFonts w:ascii="Arial" w:hAnsi="Arial"/>
          <w:b/>
          <w:i w:val="0"/>
          <w:color w:val="2C5282"/>
          <w:sz w:val="28"/>
        </w:rPr>
        <w:t>4.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Federal de 1988 - Arts. 37, § 6º, 183, § 3º e 191</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Bases normativas fundamentais da responsabilidade objetiva do Estado e vedação expressa à usucapião de terras públicas.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8.987/1995 (Lei Geral de Concessões de Serviços Públicos)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Regulamento dos direitos dos usuários, concessões, permissões e hipóteses de extinção contratual (encampação e caducidade).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11.079/2004 (Marco das Parcerias Público-Privadas)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Dispositivos sobre concessões patrocinadas, concessões administrativas e limites operacionais de contratação.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Código Civil Brasileiro - Arts. 98 a 103 (Regime dos Bens Públicos)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Classificação dos bens públicos de uso comum, especial e dominicais, e normas de inalienabilidade.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STF - Tema 940 de Repercussão Geral (Dupla Garantia na Responsabilidade Civil)</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Tese que consolidou a ilegitimidade passiva originária do agente público em ações indenizatórias movidas pela vítima.</w:t>
      </w:r>
    </w:p>
    <w:p>
      <w:pPr>
        <w:keepNext/>
        <w:spacing w:before="280" w:after="120"/>
      </w:pPr>
      <w:r>
        <w:rPr>
          <w:rFonts w:ascii="Arial" w:hAnsi="Arial"/>
          <w:b/>
          <w:i w:val="0"/>
          <w:color w:val="2C5282"/>
          <w:sz w:val="28"/>
        </w:rPr>
        <w:t>5. Questões Comentadas &amp; Exemplos (Padrão FCC)</w:t>
      </w:r>
    </w:p>
    <w:p>
      <w:pPr>
        <w:keepNext/>
        <w:spacing w:before="200" w:after="80"/>
      </w:pPr>
      <w:r>
        <w:rPr>
          <w:rFonts w:ascii="Arial" w:hAnsi="Arial"/>
          <w:b/>
          <w:i w:val="0"/>
          <w:color w:val="2B6CB0"/>
          <w:sz w:val="24"/>
        </w:rPr>
        <w:t>Questão 1 (FCC - Analista de Controle Externo / Adaptada TCE-GO)</w:t>
      </w:r>
    </w:p>
    <w:p>
      <w:pPr>
        <w:spacing w:line="360" w:lineRule="auto" w:before="0" w:after="80"/>
        <w:jc w:val="both"/>
      </w:pPr>
      <w:r>
        <w:rPr>
          <w:rFonts w:ascii="Arial" w:hAnsi="Arial"/>
          <w:b w:val="0"/>
          <w:i w:val="0"/>
          <w:color w:val="111827"/>
          <w:sz w:val="24"/>
        </w:rPr>
        <w:t>Uma viatura oficial pertencente ao Tribunal de Contas, conduzida em horário de expediente por um motorista oficial devidamente habilitado, abalroou o automóvel particular de uma cidadã em razão de uma manobra imprudente realizada pelo servidor no trânsito. A proprietária do veículo particular ajuizou ação ordinária de indenização por danos materiais exclusivamente em face do motorista servidor público, requerendo sua condenação direta com fundamento no art. 37, § 6º, da Constituição Federal.</w:t>
      </w:r>
    </w:p>
    <w:p>
      <w:pPr>
        <w:spacing w:line="360" w:lineRule="auto" w:before="0" w:after="80"/>
        <w:jc w:val="both"/>
      </w:pPr>
      <w:r>
        <w:rPr>
          <w:rFonts w:ascii="Arial" w:hAnsi="Arial"/>
          <w:b w:val="0"/>
          <w:i w:val="0"/>
          <w:color w:val="111827"/>
          <w:sz w:val="24"/>
        </w:rPr>
        <w:t>À luz da jurisprudência firmada pelo Supremo Tribunal Federal em regime de repercussão geral (</w:t>
      </w:r>
      <w:r>
        <w:rPr>
          <w:rFonts w:ascii="Arial" w:hAnsi="Arial"/>
          <w:b/>
          <w:i w:val="0"/>
          <w:color w:val="111827"/>
          <w:sz w:val="24"/>
        </w:rPr>
        <w:t>Tema 940</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ação foi proposta corretamente, visto que a vítima tem a prerrogativa constitucional de optar por processar o servidor, o Estado ou ambos em litisconsórcio passivo.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motorista oficial é parte passiva ilegítima na relação processual originária, devendo a ação indenizatória ser ajuizada contra o Estado, que responde objetivamente e terá direito de regresso contra o servidor nos casos de dolo ou culpa.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Estado responde de forma puramente subsidiária, devendo a execução incidir primeiramente sobre os bens particulares do servidor condutor da viatura.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responsabilidade do Estado resta excluída pelo simples fato de o servidor não ter agido com dolo de causar o dano patrimonial.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ilegitimidade do servidor cessa caso a vítima comprove perante o juízo que o Tribunal de Contas não dispõe de dotação orçamentária para precatórios.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jurisprudência vinculante do Supremo Tribunal Federal vedou a propositura de ação indenizatória exclusivamente em face do servidor causador do ato, bem como a formação de litisconsórcio passivo facultativo entre a Fazenda Pública e o agente estatal.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a tese fixada pelo STF no Tema 940 da Repercussão Geral (RE 1.027.633), com amparo na </w:t>
            </w:r>
            <w:r>
              <w:rPr>
                <w:rFonts w:ascii="Arial" w:hAnsi="Arial"/>
                <w:b/>
                <w:i w:val="0"/>
                <w:color w:val="111827"/>
                <w:sz w:val="21"/>
              </w:rPr>
              <w:t>Teoria da Dupla Garantia</w:t>
            </w:r>
            <w:r>
              <w:rPr>
                <w:rFonts w:ascii="Arial" w:hAnsi="Arial"/>
                <w:b w:val="0"/>
                <w:i w:val="0"/>
                <w:color w:val="111827"/>
                <w:sz w:val="21"/>
              </w:rPr>
              <w:t xml:space="preserve">: </w:t>
            </w:r>
            <w:r>
              <w:rPr>
                <w:rFonts w:ascii="Arial" w:hAnsi="Arial"/>
                <w:b w:val="0"/>
                <w:i/>
                <w:color w:val="111827"/>
                <w:sz w:val="21"/>
              </w:rPr>
              <w:t>"a ação por danos causados por agente público deve ser ajuizada contra o Estado ou a pessoa jurídica de direito privado prestadora de serviço público, sendo parte ilegítima para figurar no polo passivo o autor do ato, assegurado o direito de regresso contra o responsável nos casos de dolo ou culpa."</w:t>
            </w:r>
            <w:r>
              <w:rPr>
                <w:rFonts w:ascii="Arial" w:hAnsi="Arial"/>
                <w:b w:val="0"/>
                <w:i w:val="0"/>
                <w:color w:val="111827"/>
                <w:sz w:val="21"/>
              </w:rPr>
              <w:t xml:space="preserve"> O particular demanda contra o Estado sob responsabilidade objetiva; o Estado, se condenado, aciona o servidor em via regressiva sob responsabilidade subjetiva (dolo ou culpa).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responsabilidade do Estado perante a vítima é direta, primária e solidária institucionalmente, descabendo benefício de ordem patrimonial contra o servidor.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responsabilidade estatal é de natureza objetiva, aperfeiçoando-se com a demonstração da conduta, do dano e do nexo de causalidade, dispensando dolo ou culpa da Administração.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As regras financeiras de precatórios decorrem do art. 100 da CF/88 e não transferem legitimidade passiva para a pessoa física do servidor.</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Procurador do Estado / Adaptada)</w:t>
      </w:r>
    </w:p>
    <w:p>
      <w:pPr>
        <w:spacing w:line="360" w:lineRule="auto" w:before="0" w:after="80"/>
        <w:jc w:val="both"/>
      </w:pPr>
      <w:r>
        <w:rPr>
          <w:rFonts w:ascii="Arial" w:hAnsi="Arial"/>
          <w:b w:val="0"/>
          <w:i w:val="0"/>
          <w:color w:val="111827"/>
          <w:sz w:val="24"/>
        </w:rPr>
        <w:t>O Estado de Goiás celebrou contrato de concessão de serviço público rodoviário com determinado consórcio de empresas de engenharia pelo prazo de 25 anos. Transcorridos sete anos de execução regular, o Poder Concedente estadual verificou que, por conveniência estratégica de interesse público, seria mais vantajoso reassumir a administração direta da rodovia estadual, não existindo qualquer falta, infração ou atraso por parte do consórcio concessionário.</w:t>
      </w:r>
    </w:p>
    <w:p>
      <w:pPr>
        <w:spacing w:line="360" w:lineRule="auto" w:before="0" w:after="80"/>
        <w:jc w:val="both"/>
      </w:pPr>
      <w:r>
        <w:rPr>
          <w:rFonts w:ascii="Arial" w:hAnsi="Arial"/>
          <w:b w:val="0"/>
          <w:i w:val="0"/>
          <w:color w:val="111827"/>
          <w:sz w:val="24"/>
        </w:rPr>
        <w:t>Nessas circunstâncias, a extinção antecipada do contrato de concessão por motivos de conveniência e interesse público operou-se por meio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Caducidade, precedida de instauração de processo administrativo sancionador com aplicação de penalidade contratual.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Rescisão judicial em ação movida pela Fazenda Pública perante a Vara da Fazenda Estadual.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Encampação, dependente de edição de lei autorizativa específica e do pagamento de prévia indenização à concessionária.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Anulação, com desfazimento retroativo de todos os atos da concessão rodoviária.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Caducidade, que dispensa autorização legislativa ou pagamento de indenização prévia.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caducidade é a extinção do contrato decorrente de inadimplemento culposo ou prestação defeituosa por parte da própria concessionária. Como a concessionária cumpria rigorosamente o contrato, descabe caducidade.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rescisão judicial é a modalidade de extinção proposta pela concessionária em face da Administração em virtude de descumprimento de cláusulas pelo poder público (art. 39 da Lei 8.987/95).</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Nos termos do art. 37 da Lei Federal nº 8.987/1995, a </w:t>
            </w:r>
            <w:r>
              <w:rPr>
                <w:rFonts w:ascii="Arial" w:hAnsi="Arial"/>
                <w:b/>
                <w:i w:val="0"/>
                <w:color w:val="111827"/>
                <w:sz w:val="21"/>
              </w:rPr>
              <w:t>encampação</w:t>
            </w:r>
            <w:r>
              <w:rPr>
                <w:rFonts w:ascii="Arial" w:hAnsi="Arial"/>
                <w:b w:val="0"/>
                <w:i w:val="0"/>
                <w:color w:val="111827"/>
                <w:sz w:val="21"/>
              </w:rPr>
              <w:t xml:space="preserve"> (ou resgate) é a retomada coativa do serviço pelo poder concedente durante o prazo da concessão por motivo de </w:t>
            </w:r>
            <w:r>
              <w:rPr>
                <w:rFonts w:ascii="Arial" w:hAnsi="Arial"/>
                <w:b/>
                <w:i w:val="0"/>
                <w:color w:val="111827"/>
                <w:sz w:val="21"/>
              </w:rPr>
              <w:t>interesse público relevante</w:t>
            </w:r>
            <w:r>
              <w:rPr>
                <w:rFonts w:ascii="Arial" w:hAnsi="Arial"/>
                <w:b w:val="0"/>
                <w:i w:val="0"/>
                <w:color w:val="111827"/>
                <w:sz w:val="21"/>
              </w:rPr>
              <w:t xml:space="preserve">, exigindo imperativamente </w:t>
            </w:r>
            <w:r>
              <w:rPr>
                <w:rFonts w:ascii="Arial" w:hAnsi="Arial"/>
                <w:b/>
                <w:i w:val="0"/>
                <w:color w:val="111827"/>
                <w:sz w:val="21"/>
              </w:rPr>
              <w:t>lei autorizativa específica</w:t>
            </w:r>
            <w:r>
              <w:rPr>
                <w:rFonts w:ascii="Arial" w:hAnsi="Arial"/>
                <w:b w:val="0"/>
                <w:i w:val="0"/>
                <w:color w:val="111827"/>
                <w:sz w:val="21"/>
              </w:rPr>
              <w:t xml:space="preserve"> e </w:t>
            </w:r>
            <w:r>
              <w:rPr>
                <w:rFonts w:ascii="Arial" w:hAnsi="Arial"/>
                <w:b/>
                <w:i w:val="0"/>
                <w:color w:val="111827"/>
                <w:sz w:val="21"/>
              </w:rPr>
              <w:t>pagamento prévio de justa indenização</w:t>
            </w:r>
            <w:r>
              <w:rPr>
                <w:rFonts w:ascii="Arial" w:hAnsi="Arial"/>
                <w:b w:val="0"/>
                <w:i w:val="0"/>
                <w:color w:val="111827"/>
                <w:sz w:val="21"/>
              </w:rPr>
              <w:t xml:space="preserve"> à concessionária pelos investimentos em bens reversíveis ainda não amortizados.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anulação aplica-se exclusivamente a hipóteses de vício originário de ilegalidade no certame licitatório ou no termo de contrato.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Confunde encampação com caducidade e nega a exigência de lei e indenização prévia.</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3 (FCC - Auditor de Controle Externo / Adaptada)</w:t>
      </w:r>
    </w:p>
    <w:p>
      <w:pPr>
        <w:spacing w:line="360" w:lineRule="auto" w:before="0" w:after="80"/>
        <w:jc w:val="both"/>
      </w:pPr>
      <w:r>
        <w:rPr>
          <w:rFonts w:ascii="Arial" w:hAnsi="Arial"/>
          <w:b w:val="0"/>
          <w:i w:val="0"/>
          <w:color w:val="111827"/>
          <w:sz w:val="24"/>
        </w:rPr>
        <w:t>Durante o período noturno de custódia em estabelecimento prisional estadual sob controle da Secretaria de Administração Penitenciária, um detento provisório foi assassinado por asfixia por companheiros de cela. A família do falecido ingressou com ação de indenização contra o Estado alegando responsabilidade civil estatal. Em contestação, o Estado sustentou ausência de responsabilidade, sob o fundamento de que a morte decorreu de ato exclusivo de terceiros (homicídio entre presos).</w:t>
      </w:r>
    </w:p>
    <w:p>
      <w:pPr>
        <w:spacing w:line="360" w:lineRule="auto" w:before="0" w:after="80"/>
        <w:jc w:val="both"/>
      </w:pPr>
      <w:r>
        <w:rPr>
          <w:rFonts w:ascii="Arial" w:hAnsi="Arial"/>
          <w:b w:val="0"/>
          <w:i w:val="0"/>
          <w:color w:val="111827"/>
          <w:sz w:val="24"/>
        </w:rPr>
        <w:t>Em conformidade com a tese firmada pelo Supremo Tribunal Federal em regime de repercussão geral (</w:t>
      </w:r>
      <w:r>
        <w:rPr>
          <w:rFonts w:ascii="Arial" w:hAnsi="Arial"/>
          <w:b/>
          <w:i w:val="0"/>
          <w:color w:val="111827"/>
          <w:sz w:val="24"/>
        </w:rPr>
        <w:t>Tema 592</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Estado responde de forma subjetiva, devendo os autores da ação comprovar dolo pessoal do Diretor do presídio.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Em caso de inobservância de seu dever específico de proteção e custódia previsto no art. 5º, XLIX, da CF/88, o Estado é civilmente responsável por morte de detento, operando a responsabilidade de forma objetiva, salvo se demonstrar que a morte decorreu de causa natural ou impossível de ser evitada mesmo com a vigilância adequada.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morte de preso no interior de estabelecimento prisional é hipótese automática de caso fortuito absoluto que rompe em definitivo o nexo de causalidade.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responsabilidade estatal somente incide caso o estabelecimento penitenciário seja administrado sob regime de parceria público-privada.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Estado responde com base na Teoria do Risco Integral, não admitindo qualquer prova pericial contrária em juízo.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Na violação de dever de custódia específica, o regime adotado pelo Pretório Excelso é objetivo, dispensando a prova de dolo do gestor penitenciário.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a tese vinculante firmada pelo STF no Tema 592 de Repercussão Geral (RE 841.526): </w:t>
            </w:r>
            <w:r>
              <w:rPr>
                <w:rFonts w:ascii="Arial" w:hAnsi="Arial"/>
                <w:b w:val="0"/>
                <w:i/>
                <w:color w:val="111827"/>
                <w:sz w:val="21"/>
              </w:rPr>
              <w:t>"Em caso de inobservância do seu dever específico de proteção previsto no art. 5º, inciso XLIX, da Constituição Federal, o Estado é responsável pela morte de detento."</w:t>
            </w:r>
            <w:r>
              <w:rPr>
                <w:rFonts w:ascii="Arial" w:hAnsi="Arial"/>
                <w:b w:val="0"/>
                <w:i w:val="0"/>
                <w:color w:val="111827"/>
                <w:sz w:val="21"/>
              </w:rPr>
              <w:t xml:space="preserve"> O recolhimento de cidadão a estabelecimento prisional coloca o Estado na condição de garantidor estrito de sua integridade física, tipificando </w:t>
            </w:r>
            <w:r>
              <w:rPr>
                <w:rFonts w:ascii="Arial" w:hAnsi="Arial"/>
                <w:b/>
                <w:i w:val="0"/>
                <w:color w:val="111827"/>
                <w:sz w:val="21"/>
              </w:rPr>
              <w:t>omissão estatal específica de natureza objetiva</w:t>
            </w:r>
            <w:r>
              <w:rPr>
                <w:rFonts w:ascii="Arial" w:hAnsi="Arial"/>
                <w:b w:val="0"/>
                <w:i w:val="0"/>
                <w:color w:val="111827"/>
                <w:sz w:val="21"/>
              </w:rPr>
              <w:t>. O Estado só afasta o dever reparatório se comprovar pericialmente que a morte decorreu de causa estritamente natural ou que era faticamente impossível impedi-la mesmo adotados todos os procedimentos de vigilância e cautela cabíveis.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homicídio de detento em cela coletiva durante a custódia não corporifica caso fortuito ou excludente automática de fato de terceiro.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dever constitucional de custódia incide sobre presídios sob gestão direta do poder público ou sob regime delegado.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ordenamento jurídico pátrio adota a teoria do risco administrativo e não do risco integral para a custódia de presos, admitindo comprovação de causas naturais inevitáveis.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Analista Judiciário)</w:t>
      </w:r>
    </w:p>
    <w:p>
      <w:pPr>
        <w:spacing w:line="360" w:lineRule="auto" w:before="0" w:after="80"/>
        <w:jc w:val="both"/>
      </w:pPr>
      <w:r>
        <w:rPr>
          <w:rFonts w:ascii="Arial" w:hAnsi="Arial"/>
          <w:b w:val="0"/>
          <w:i w:val="0"/>
          <w:color w:val="111827"/>
          <w:sz w:val="24"/>
        </w:rPr>
        <w:t>Determinada área de terras devolutas pertencente ao patrimônio do Estado de Goiás encontra-se sem destinação pública específica há várias décadas. Um particular invadiu o imóvel em 2005, construiu moradia residencial e exerceu posse mansa, pacífica e contínua sobre a gleba por mais de quinze anos ininterruptos. Em 2024, o particular ajuizou ação de usucapião extraordinária contra o Estado pleiteando a declaração de aquisição da propriedade do bem.</w:t>
      </w:r>
    </w:p>
    <w:p>
      <w:pPr>
        <w:spacing w:line="360" w:lineRule="auto" w:before="0" w:after="80"/>
        <w:jc w:val="both"/>
      </w:pPr>
      <w:r>
        <w:rPr>
          <w:rFonts w:ascii="Arial" w:hAnsi="Arial"/>
          <w:b w:val="0"/>
          <w:i w:val="0"/>
          <w:color w:val="111827"/>
          <w:sz w:val="24"/>
        </w:rPr>
        <w:t>Com base na disciplina constitucional e do Código Civil sobre bens públicos: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pretensão do particular é legítima, pois os bens dominicais desprovidos de afetação pública sujeitam-se a usucapião extraordinária após quinze anos de posse.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Os bens públicos dominicais, assim como os de uso comum e os de uso especial, são dotados de imprescritibilidade absoluta, sendo insuscetíveis de aquisição por usucapião.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imóvel converteu-se tacitamente em bem privado em virtude do abandono imobiliário prolongado pela Administração.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usucapião é cabível desde que o particular comprove a realização de benfeitorias úteis e o pagamento de tributos municipais.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Caberá ao particular a manutenção da posse direta em desfavor da Fazenda Pública, impedindo a reintegração de posse pelo Estado.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regra constitucional e sumular é taxativa: nenhum bem público é passível de usucapião, independentemente de se encontrar ou não afetado.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Constituição da República de 1988 estabelece categoricamente nos arts. 183, § 3º (imóveis urbanos) e 191, parágrafo único (imóveis rurais) que os imóveis públicos não serão adquiridos por usucapião. Em idêntico sentido, a </w:t>
            </w:r>
            <w:r>
              <w:rPr>
                <w:rFonts w:ascii="Arial" w:hAnsi="Arial"/>
                <w:b/>
                <w:i w:val="0"/>
                <w:color w:val="111827"/>
                <w:sz w:val="21"/>
              </w:rPr>
              <w:t>Súmula 340 do STF</w:t>
            </w:r>
            <w:r>
              <w:rPr>
                <w:rFonts w:ascii="Arial" w:hAnsi="Arial"/>
                <w:b w:val="0"/>
                <w:i w:val="0"/>
                <w:color w:val="111827"/>
                <w:sz w:val="21"/>
              </w:rPr>
              <w:t xml:space="preserve"> consagra: </w:t>
            </w:r>
            <w:r>
              <w:rPr>
                <w:rFonts w:ascii="Arial" w:hAnsi="Arial"/>
                <w:b w:val="0"/>
                <w:i/>
                <w:color w:val="111827"/>
                <w:sz w:val="21"/>
              </w:rPr>
              <w:t>"Desde a vigência do Código Civil, os bens dominicais, como os demais bens públicos, não podem ser adquiridos por usucapião."</w:t>
            </w:r>
            <w:r>
              <w:rPr>
                <w:rFonts w:ascii="Arial" w:hAnsi="Arial"/>
                <w:b w:val="0"/>
                <w:i w:val="0"/>
                <w:color w:val="111827"/>
                <w:sz w:val="21"/>
              </w:rPr>
              <w:t xml:space="preserve"> A imprescritibilidade é atributo absoluto aplicável a todos os bens públicos, constituindo a ocupação irregular mera </w:t>
            </w:r>
            <w:r>
              <w:rPr>
                <w:rFonts w:ascii="Arial" w:hAnsi="Arial"/>
                <w:b/>
                <w:i w:val="0"/>
                <w:color w:val="111827"/>
                <w:sz w:val="21"/>
              </w:rPr>
              <w:t>detenção clandestina</w:t>
            </w:r>
            <w:r>
              <w:rPr>
                <w:rFonts w:ascii="Arial" w:hAnsi="Arial"/>
                <w:b w:val="0"/>
                <w:i w:val="0"/>
                <w:color w:val="111827"/>
                <w:sz w:val="21"/>
              </w:rPr>
              <w:t xml:space="preserve"> insuscetível de gerar efeitos aquisitivos ou tutela possessória contra a Administração.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inércia administrativa não gera perda de propriedade imobiliária pública nem desafetação em proveito de invasor privado.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Benfeitorias realizadas em ocupação clandestina de terras públicas não geram direito a retenção nem autorizam usucapião contra a Fazenda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mero detentor não possui legitimidade para opor embargos de retenção ou impedir a expedição do mandado de reintegração de posse pleiteado pelo Estado.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Técnico de Controle Externo / Administrativa)</w:t>
      </w:r>
    </w:p>
    <w:p>
      <w:pPr>
        <w:spacing w:line="360" w:lineRule="auto" w:before="0" w:after="80"/>
        <w:jc w:val="both"/>
      </w:pPr>
      <w:r>
        <w:rPr>
          <w:rFonts w:ascii="Arial" w:hAnsi="Arial"/>
          <w:b w:val="0"/>
          <w:i w:val="0"/>
          <w:color w:val="111827"/>
          <w:sz w:val="24"/>
        </w:rPr>
        <w:t>O Governo do Estado pretende estruturar um projeto de infraestrutura hospitalar sob o regime de Parceria Público-Privada (PPP), no qual a concessionária privada será responsável pela construção de um complexo médico-hospitalar e pela prestação dos serviços de conservação predial e gestão de equipamentos médicos. O hospital atenderá exclusivamente pelo Sistema Único de Saúde (SUS), sendo 100% dos custos da contraprestação remunerados diretamente pelo Poder Público estadual, sem nenhuma cobrança de tarifa dos usuários atendidos.</w:t>
      </w:r>
    </w:p>
    <w:p>
      <w:pPr>
        <w:spacing w:line="360" w:lineRule="auto" w:before="0" w:after="80"/>
        <w:jc w:val="both"/>
      </w:pPr>
      <w:r>
        <w:rPr>
          <w:rFonts w:ascii="Arial" w:hAnsi="Arial"/>
          <w:b w:val="0"/>
          <w:i w:val="0"/>
          <w:color w:val="111827"/>
          <w:sz w:val="24"/>
        </w:rPr>
        <w:t>À luz da Lei Federal nº 11.079/2004 (Lei das PPPs), a contratação descrita qualifica-se como: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Concessão patrocinada, visto que envolve a exploração de infraestrutura hospitalar pública com financiamento privado.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Concessão administrativa, caracterizada pelo fato de a Administração Pública ser a usuária direta ou indireta do serviço, respondendo pela contraprestação pecuniária integral sem tarifa cobrada do usuário.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Concessão comum de serviço público regida estritamente pela Lei nº 8.987/1995.</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Contrato de gestão de Organização Social dispensado de prévia licitação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Empreitada por preço unitário regida exclusivamente pelas regras gerais da Lei de Licitações.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concessão patrocinada exige imperativamente a existência de tarifa cobrada dos usuários, complementada por contraprestação pecuniária do parceiro público (art. 2º, § 1º, da Lei 11.079/2004). Como os pacientes do SUS nada pagam, não se trata de concessão patrocinada.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2º, § 2º, da Lei Federal nº 11.079/2004 define textualmente: </w:t>
            </w:r>
            <w:r>
              <w:rPr>
                <w:rFonts w:ascii="Arial" w:hAnsi="Arial"/>
                <w:b w:val="0"/>
                <w:i/>
                <w:color w:val="111827"/>
                <w:sz w:val="21"/>
              </w:rPr>
              <w:t>"Concessão administrativa é o contrato de prestação de serviços de que a Administração Pública seja a usuária direta ou indireta, ainda que envolva a execução de obra ou fornecimento e instalação de bens."</w:t>
            </w:r>
            <w:r>
              <w:rPr>
                <w:rFonts w:ascii="Arial" w:hAnsi="Arial"/>
                <w:b w:val="0"/>
                <w:i w:val="0"/>
                <w:color w:val="111827"/>
                <w:sz w:val="21"/>
              </w:rPr>
              <w:t xml:space="preserve"> Na concessão administrativa, a remuneração da concessionária privada decorre inteiramente da contraprestação pecuniária paga pelo poder público, prestando o serviço público de forma inteiramente gratuita para os usuários finais.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concessão comum da Lei 8.987/95 fundamenta-se estritamente na cobrança de tarifa do usuário, sem contraprestação ordinária regular do Estado.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modelo de OS mediante contrato de gestão é regido pelo Terceiro Setor e não constitui parceria público-privada.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empreitada é mera contratação de obra civil isolada da Lei 14.133/2021, sem transferência da gestão continuada de serviços e infraestrutura.</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05 - Controle da Administração Pública e Improbidade Administrativa (Lei 8.429/1992 e Lei 14.230/2021)</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Direito Administrativo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05_controle_da_administracao_e_improbidade_administrativa.md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Controle da Administração Pública: conceito, fundamentos e classificações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Classificação quanto à origem (Interno e Externo), momento (Prévio, Concomitante e Posterior) e aspecto (Legalidade e Mérito)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Controle Legislativo e a atuação constitucional do Tribunal de Contas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Controle Judicial: limites da atuação do Judiciário sobre o mérito administrativo e princípios da razoabilidade e proporcionalidade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Instrumentos de controle judicial: Mandado de Segurança, Ação Popular e Ação Civil Pública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Lei de Improbidade Administrativa (Lei Federal nº 8.429/1992 com redação dada pela Lei Federal nº 14.230/2021 e alterações)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Sujeitos ativo e passivo dos atos de improbidade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Elemento subjetivo: extinção da modalidade culposa e exigência de dolo específico (Tema 1.199 do STF)</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Tipologia dos atos de improbidade: Enriquecimento Ilícito (art. 9º), Prejuízo ao Erário (art. 10) e Atentado aos Princípios (art. 11)</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Sanções cominadas e regime prescricional unificado e intercorrente</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Teoria Geral do Controle da Administração Pública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Fundamento Republicano e Sistema de Freios e Contrapesos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Classificação Quanto à Origem: Controle Interno vs. Controle Externo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Classificação Quanto ao Momento: Prévio, Concomitante e Posterior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Classificação Quanto ao Aspecto: Controle de Legalidade vs. Mérito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 Controle Legislativo e a Atuação dos Tribunais de Contas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A Função Constitucional do Tribunal de Contas (CF/88, arts. 70 a 75)</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Natureza das Decisões e Título Executivo Extrajudicial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O Controle Judicial dos Atos Administrativos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Limites do Controle Judicial sobre o Mérito Administrativo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Anulação por Desvio de Finalidade e a Teoria dos Motivos Determinantes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Ações Constitucionais de Controle: Mandado de Segurança, Ação Popular e ACP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A Nova Lei de Improbidade Administrativa (Lei 8.429/1992 e Lei 14.230/2021)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Sujeitos Ativos e Passivos da Improbidade Administrativa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O Elemento Subjetivo e a Extinção da Culpa (Tema 1.199 / STF)</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Proibição do Crime de Hermenêutica no Âmbito da LIA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Tipologia dos Atos de Improbidade e Quadro Sancionatório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Enriquecimento Ilícito (Art. 9º da LIA)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Prejuízo ao Erário (Art. 10 da LIA)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Atentado aos Princípios da Administração (Art. 11 da LIA - Rol Taxativo)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5.4 Matriz Comparativa de Sanções do Artigo 12 da LIA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5.5 Regime Prescricional Geral e Intercorrente (Art. 23 da LIA)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&amp; Exemplos (Padrão FCC)</w:t>
      </w:r>
    </w:p>
    <w:p>
      <w:pPr>
        <w:keepNext/>
        <w:spacing w:before="280" w:after="120"/>
      </w:pPr>
      <w:r>
        <w:rPr>
          <w:rFonts w:ascii="Arial" w:hAnsi="Arial"/>
          <w:b/>
          <w:i w:val="0"/>
          <w:color w:val="2C5282"/>
          <w:sz w:val="28"/>
        </w:rPr>
        <w:t>1. Teoria Geral do Controle da Administração Pública</w:t>
      </w:r>
    </w:p>
    <w:p>
      <w:pPr>
        <w:spacing w:line="360" w:lineRule="auto" w:before="0" w:after="80"/>
        <w:jc w:val="both"/>
      </w:pPr>
      <w:r>
        <w:rPr>
          <w:rFonts w:ascii="Arial" w:hAnsi="Arial"/>
          <w:b w:val="0"/>
          <w:i w:val="0"/>
          <w:color w:val="111827"/>
          <w:sz w:val="24"/>
        </w:rPr>
        <w:t>O controle da Administração Pública compreende o conjunto de mecanismos jurídicos e institucionais mediante os quais se fiscaliza, orienta, corrige e revisa a atuação dos órgãos, agentes e entidades do Estado, com vistas a assegurar a observância da legalidade, moralidade, economicidade e a consecução do interesse coletivo.</w:t>
      </w:r>
    </w:p>
    <w:p>
      <w:pPr>
        <w:keepNext/>
        <w:spacing w:before="200" w:after="80"/>
      </w:pPr>
      <w:r>
        <w:rPr>
          <w:rFonts w:ascii="Arial" w:hAnsi="Arial"/>
          <w:b/>
          <w:i w:val="0"/>
          <w:color w:val="2B6CB0"/>
          <w:sz w:val="24"/>
        </w:rPr>
        <w:t>1.1 Fundamento Republicano e Sistema de Freios e Contrapesos</w:t>
      </w:r>
    </w:p>
    <w:p>
      <w:pPr>
        <w:spacing w:line="360" w:lineRule="auto" w:before="0" w:after="80"/>
        <w:jc w:val="both"/>
      </w:pPr>
      <w:r>
        <w:rPr>
          <w:rFonts w:ascii="Arial" w:hAnsi="Arial"/>
          <w:b w:val="0"/>
          <w:i w:val="0"/>
          <w:color w:val="111827"/>
          <w:sz w:val="24"/>
        </w:rPr>
        <w:t>No Estado Democrático de Direito, nenhum poder estatal é absoluto ou imune a fiscalização. O controle administrativo fundamenta-se:</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No </w:t>
      </w:r>
      <w:r>
        <w:rPr>
          <w:rFonts w:ascii="Arial" w:hAnsi="Arial"/>
          <w:b/>
          <w:i w:val="0"/>
          <w:color w:val="111827"/>
          <w:sz w:val="22"/>
        </w:rPr>
        <w:t>Princípio Republicano</w:t>
      </w:r>
      <w:r>
        <w:rPr>
          <w:rFonts w:ascii="Arial" w:hAnsi="Arial"/>
          <w:b w:val="0"/>
          <w:i w:val="0"/>
          <w:color w:val="111827"/>
          <w:sz w:val="22"/>
        </w:rPr>
        <w:t xml:space="preserve"> (prestação de contas obrigatória de todo aquele que gere recursos públicos);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No </w:t>
      </w:r>
      <w:r>
        <w:rPr>
          <w:rFonts w:ascii="Arial" w:hAnsi="Arial"/>
          <w:b/>
          <w:i w:val="0"/>
          <w:color w:val="111827"/>
          <w:sz w:val="22"/>
        </w:rPr>
        <w:t>Princípio da Indisponibilidade do Interesse Público</w:t>
      </w:r>
      <w:r>
        <w:rPr>
          <w:rFonts w:ascii="Arial" w:hAnsi="Arial"/>
          <w:b w:val="0"/>
          <w:i w:val="0"/>
          <w:color w:val="111827"/>
          <w:sz w:val="22"/>
        </w:rPr>
        <w:t xml:space="preserve"> (o administrador gere patrimônio alheio);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No **Sistema de Freios e Contrapesos (</w:t>
      </w:r>
      <w:r>
        <w:rPr>
          <w:rFonts w:ascii="Arial" w:hAnsi="Arial"/>
          <w:b w:val="0"/>
          <w:i/>
          <w:color w:val="111827"/>
          <w:sz w:val="22"/>
        </w:rPr>
        <w:t>Checks and Balances</w:t>
      </w:r>
      <w:r>
        <w:rPr>
          <w:rFonts w:ascii="Arial" w:hAnsi="Arial"/>
          <w:b w:val="0"/>
          <w:i w:val="0"/>
          <w:color w:val="111827"/>
          <w:sz w:val="22"/>
        </w:rPr>
        <w:t>)**, consagrado pelo art. 2º da CF/88, segundo o qual os Poderes Legislativo, Executivo e Judiciário são harmônicos e independentes, exercendo controles recíprocos uns sobre os outros.</w:t>
      </w:r>
    </w:p>
    <w:p>
      <w:pPr>
        <w:spacing w:after="120"/>
      </w:pPr>
    </w:p>
    <w:p>
      <w:pPr>
        <w:keepNext/>
        <w:spacing w:before="200" w:after="80"/>
      </w:pPr>
      <w:r>
        <w:rPr>
          <w:rFonts w:ascii="Arial" w:hAnsi="Arial"/>
          <w:b/>
          <w:i w:val="0"/>
          <w:color w:val="2B6CB0"/>
          <w:sz w:val="24"/>
        </w:rPr>
        <w:t>1.2 Classificação Quanto à Origem: Controle Interno vs. Controle Externo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Controle Interno (CF/88, art. 74):</w:t>
      </w:r>
      <w:r>
        <w:rPr>
          <w:rFonts w:ascii="Arial" w:hAnsi="Arial"/>
          <w:b w:val="0"/>
          <w:i w:val="0"/>
          <w:color w:val="111827"/>
          <w:sz w:val="22"/>
        </w:rPr>
        <w:t xml:space="preserve"> Exercido por cada um dos Poderes (Executivo, Legislativo e Judiciário) e pelo Ministério Público sobre sua própria estrutura administrativa e órgãos subordinados. Funda-se na hierarquia e na autotutela. Suas finalidades constitucionais compreendem: avaliar o cumprimento de metas do PPA, comprovar a legalidade da gestão orçamentária, exercer o controle de operações de crédito e apoiar o controle externo em sua missão institucional.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Controle Externo (CF/88, art. 70 a 75):</w:t>
      </w:r>
      <w:r>
        <w:rPr>
          <w:rFonts w:ascii="Arial" w:hAnsi="Arial"/>
          <w:b w:val="0"/>
          <w:i w:val="0"/>
          <w:color w:val="111827"/>
          <w:sz w:val="22"/>
        </w:rPr>
        <w:t xml:space="preserve"> Exercido por um Poder sobre a atuação administrativa de outro Poder ou sobre terceiros gestores de recursos públicos. No plano federativo, é titularizado privativamente pelo </w:t>
      </w:r>
      <w:r>
        <w:rPr>
          <w:rFonts w:ascii="Arial" w:hAnsi="Arial"/>
          <w:b/>
          <w:i w:val="0"/>
          <w:color w:val="111827"/>
          <w:sz w:val="22"/>
        </w:rPr>
        <w:t>Poder Legislativo</w:t>
      </w:r>
      <w:r>
        <w:rPr>
          <w:rFonts w:ascii="Arial" w:hAnsi="Arial"/>
          <w:b w:val="0"/>
          <w:i w:val="0"/>
          <w:color w:val="111827"/>
          <w:sz w:val="22"/>
        </w:rPr>
        <w:t xml:space="preserve"> (Assembleia Legislativa / Congresso Nacional), com o auxílio técnico, operacional e constitucional autônomo do </w:t>
      </w:r>
      <w:r>
        <w:rPr>
          <w:rFonts w:ascii="Arial" w:hAnsi="Arial"/>
          <w:b/>
          <w:i w:val="0"/>
          <w:color w:val="111827"/>
          <w:sz w:val="22"/>
        </w:rPr>
        <w:t>Tribunal de Contas</w:t>
      </w:r>
      <w:r>
        <w:rPr>
          <w:rFonts w:ascii="Arial" w:hAnsi="Arial"/>
          <w:b w:val="0"/>
          <w:i w:val="0"/>
          <w:color w:val="111827"/>
          <w:sz w:val="22"/>
        </w:rPr>
        <w:t>. Também abrange o controle jurisdicional repressivo exercido pelo Poder Judiciário.</w:t>
      </w:r>
    </w:p>
    <w:p>
      <w:pPr>
        <w:keepNext/>
        <w:spacing w:before="200" w:after="80"/>
      </w:pPr>
      <w:r>
        <w:rPr>
          <w:rFonts w:ascii="Arial" w:hAnsi="Arial"/>
          <w:b/>
          <w:i w:val="0"/>
          <w:color w:val="2B6CB0"/>
          <w:sz w:val="24"/>
        </w:rPr>
        <w:t>1.3 Classificação Quanto ao Momento: Prévio, Concomitante e Posterior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**Controle Prévio (Preventivo ou </w:t>
      </w:r>
      <w:r>
        <w:rPr>
          <w:rFonts w:ascii="Arial" w:hAnsi="Arial"/>
          <w:b w:val="0"/>
          <w:i/>
          <w:color w:val="111827"/>
          <w:sz w:val="22"/>
        </w:rPr>
        <w:t>a priori</w:t>
      </w:r>
      <w:r>
        <w:rPr>
          <w:rFonts w:ascii="Arial" w:hAnsi="Arial"/>
          <w:b w:val="0"/>
          <w:i w:val="0"/>
          <w:color w:val="111827"/>
          <w:sz w:val="22"/>
        </w:rPr>
        <w:t>):** Realizado antes da consumação ou produção de efeitos do ato administrativo, com o objetivo de prevenir irregularidades e evitar lesões ao erário (ex.: apreciação prévia de editais de concessão vultosos pelo TCE; aprovação legislativa de indicados a cargos de agências reguladoras).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**Controle Concomitante (Simultâneo ou </w:t>
      </w:r>
      <w:r>
        <w:rPr>
          <w:rFonts w:ascii="Arial" w:hAnsi="Arial"/>
          <w:b w:val="0"/>
          <w:i/>
          <w:color w:val="111827"/>
          <w:sz w:val="22"/>
        </w:rPr>
        <w:t>pari passu</w:t>
      </w:r>
      <w:r>
        <w:rPr>
          <w:rFonts w:ascii="Arial" w:hAnsi="Arial"/>
          <w:b w:val="0"/>
          <w:i w:val="0"/>
          <w:color w:val="111827"/>
          <w:sz w:val="22"/>
        </w:rPr>
        <w:t xml:space="preserve">):** Realizado simultaneamente à execução material da atividade administrativa, em tempo real (ex.: auditorias de acompanhamento de execução orçamentária; fiscalizações e vistorias </w:t>
      </w:r>
      <w:r>
        <w:rPr>
          <w:rFonts w:ascii="Arial" w:hAnsi="Arial"/>
          <w:b w:val="0"/>
          <w:i/>
          <w:color w:val="111827"/>
          <w:sz w:val="22"/>
        </w:rPr>
        <w:t>in loco</w:t>
      </w:r>
      <w:r>
        <w:rPr>
          <w:rFonts w:ascii="Arial" w:hAnsi="Arial"/>
          <w:b w:val="0"/>
          <w:i w:val="0"/>
          <w:color w:val="111827"/>
          <w:sz w:val="22"/>
        </w:rPr>
        <w:t xml:space="preserve"> em canteiros de obras rodoviárias estaduais).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**Controle Posterior (Corretivo ou </w:t>
      </w:r>
      <w:r>
        <w:rPr>
          <w:rFonts w:ascii="Arial" w:hAnsi="Arial"/>
          <w:b w:val="0"/>
          <w:i/>
          <w:color w:val="111827"/>
          <w:sz w:val="22"/>
        </w:rPr>
        <w:t>a posteriori</w:t>
      </w:r>
      <w:r>
        <w:rPr>
          <w:rFonts w:ascii="Arial" w:hAnsi="Arial"/>
          <w:b w:val="0"/>
          <w:i w:val="0"/>
          <w:color w:val="111827"/>
          <w:sz w:val="22"/>
        </w:rPr>
        <w:t>):** Realizado após a consumação integral do ato administrativo ou do encerramento do exercício financeiro, visando sancionar faltas, anular ilegalidades ou certificar a higidez das contas (ex.: julgamento de tomadas de contas especiais; auditorias de conformidade posteriores; homologação ou rejeição das contas de gestores).</w:t>
      </w:r>
    </w:p>
    <w:p>
      <w:pPr>
        <w:keepNext/>
        <w:spacing w:before="200" w:after="80"/>
      </w:pPr>
      <w:r>
        <w:rPr>
          <w:rFonts w:ascii="Arial" w:hAnsi="Arial"/>
          <w:b/>
          <w:i w:val="0"/>
          <w:color w:val="2B6CB0"/>
          <w:sz w:val="24"/>
        </w:rPr>
        <w:t>1.4 Classificação Quanto ao Aspecto: Controle de Legalidade vs. Mérito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Controle de Legalidade / Legitimidade:</w:t>
      </w:r>
      <w:r>
        <w:rPr>
          <w:rFonts w:ascii="Arial" w:hAnsi="Arial"/>
          <w:b w:val="0"/>
          <w:i w:val="0"/>
          <w:color w:val="111827"/>
          <w:sz w:val="22"/>
        </w:rPr>
        <w:t xml:space="preserve"> Avalia a conformidade formal e material do ato administrativo com a Constituição, leis, decretos, súmulas vinculantes e princípios de direito público (razoabilidade, proporcionalidade e moralidade). Pode ser exercido pela própria Administração, pelo Tribunal de Contas e pelo Poder Judiciário.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Controle de Mérito:</w:t>
      </w:r>
      <w:r>
        <w:rPr>
          <w:rFonts w:ascii="Arial" w:hAnsi="Arial"/>
          <w:b w:val="0"/>
          <w:i w:val="0"/>
          <w:color w:val="111827"/>
          <w:sz w:val="22"/>
        </w:rPr>
        <w:t xml:space="preserve"> Avalia a </w:t>
      </w:r>
      <w:r>
        <w:rPr>
          <w:rFonts w:ascii="Arial" w:hAnsi="Arial"/>
          <w:b/>
          <w:i w:val="0"/>
          <w:color w:val="111827"/>
          <w:sz w:val="22"/>
        </w:rPr>
        <w:t>conveniência e oportunidade</w:t>
      </w:r>
      <w:r>
        <w:rPr>
          <w:rFonts w:ascii="Arial" w:hAnsi="Arial"/>
          <w:b w:val="0"/>
          <w:i w:val="0"/>
          <w:color w:val="111827"/>
          <w:sz w:val="22"/>
        </w:rPr>
        <w:t xml:space="preserve"> da decisão administrativa tomada dentro da margem de discricionariedade permitida pela lei. É atribuição </w:t>
      </w:r>
      <w:r>
        <w:rPr>
          <w:rFonts w:ascii="Arial" w:hAnsi="Arial"/>
          <w:b/>
          <w:i w:val="0"/>
          <w:color w:val="111827"/>
          <w:sz w:val="22"/>
        </w:rPr>
        <w:t>privativa e exclusiva da própria Administração Pública</w:t>
      </w:r>
      <w:r>
        <w:rPr>
          <w:rFonts w:ascii="Arial" w:hAnsi="Arial"/>
          <w:b w:val="0"/>
          <w:i w:val="0"/>
          <w:color w:val="111827"/>
          <w:sz w:val="22"/>
        </w:rPr>
        <w:t>, sendo vedado ao Judiciário ou ao Tribunal de Contas substituir o juízo de mérito do administrador.</w:t>
      </w:r>
    </w:p>
    <w:p>
      <w:pPr>
        <w:keepNext/>
        <w:spacing w:before="280" w:after="120"/>
      </w:pPr>
      <w:r>
        <w:rPr>
          <w:rFonts w:ascii="Arial" w:hAnsi="Arial"/>
          <w:b/>
          <w:i w:val="0"/>
          <w:color w:val="2C5282"/>
          <w:sz w:val="28"/>
        </w:rPr>
        <w:t>2. O Controle Legislativo e a Atuação dos Tribunais de Contas</w:t>
      </w:r>
    </w:p>
    <w:p>
      <w:pPr>
        <w:keepNext/>
        <w:spacing w:before="200" w:after="80"/>
      </w:pPr>
      <w:r>
        <w:rPr>
          <w:rFonts w:ascii="Arial" w:hAnsi="Arial"/>
          <w:b/>
          <w:i w:val="0"/>
          <w:color w:val="2B6CB0"/>
          <w:sz w:val="24"/>
        </w:rPr>
        <w:t>2.1 A Função Constitucional do Tribunal de Contas (CF/88, arts. 70 a 75)</w:t>
      </w:r>
    </w:p>
    <w:p>
      <w:pPr>
        <w:spacing w:line="360" w:lineRule="auto" w:before="0" w:after="80"/>
        <w:jc w:val="both"/>
      </w:pPr>
      <w:r>
        <w:rPr>
          <w:rFonts w:ascii="Arial" w:hAnsi="Arial"/>
          <w:b w:val="0"/>
          <w:i w:val="0"/>
          <w:color w:val="111827"/>
          <w:sz w:val="24"/>
        </w:rPr>
        <w:t>O controle externo a cargo do Poder Legislativo é exercido com o auxílio técnico do Tribunal de Contas do Estado (TCE-GO). As Cortes de Contas ostentam envergadura e autonomia constitucional direta, exercendo competências indelegáveis: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Julgamento de Contas dos Administradores Públicos (Art. 71, II):</w:t>
      </w:r>
      <w:r>
        <w:rPr>
          <w:rFonts w:ascii="Arial" w:hAnsi="Arial"/>
          <w:b w:val="0"/>
          <w:i w:val="0"/>
          <w:color w:val="111827"/>
          <w:sz w:val="22"/>
        </w:rPr>
        <w:t xml:space="preserve"> Julgar as contas de todos os ordenadores de despesa, dirigentes de estatais e gestores responsáveis por dinheiros, bens e valores públicos estaduais.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Apreciação das Contas do Chefe do Executivo (Art. 71, I):</w:t>
      </w:r>
      <w:r>
        <w:rPr>
          <w:rFonts w:ascii="Arial" w:hAnsi="Arial"/>
          <w:b w:val="0"/>
          <w:i w:val="0"/>
          <w:color w:val="111827"/>
          <w:sz w:val="22"/>
        </w:rPr>
        <w:t xml:space="preserve"> Emitir </w:t>
      </w:r>
      <w:r>
        <w:rPr>
          <w:rFonts w:ascii="Arial" w:hAnsi="Arial"/>
          <w:b/>
          <w:i w:val="0"/>
          <w:color w:val="111827"/>
          <w:sz w:val="22"/>
        </w:rPr>
        <w:t>parecer prévio</w:t>
      </w:r>
      <w:r>
        <w:rPr>
          <w:rFonts w:ascii="Arial" w:hAnsi="Arial"/>
          <w:b w:val="0"/>
          <w:i w:val="0"/>
          <w:color w:val="111827"/>
          <w:sz w:val="22"/>
        </w:rPr>
        <w:t xml:space="preserve"> conclusivo sobre as contas anuais prestadas pelo Governador do Estado (o julgamento definitivo cabe à Assembleia Legislativa).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Fiscalização Operacional e Financeira (Art. 71, IV):</w:t>
      </w:r>
      <w:r>
        <w:rPr>
          <w:rFonts w:ascii="Arial" w:hAnsi="Arial"/>
          <w:b w:val="0"/>
          <w:i w:val="0"/>
          <w:color w:val="111827"/>
          <w:sz w:val="22"/>
        </w:rPr>
        <w:t xml:space="preserve"> Realizar inspeções e auditorias de natureza contábil, financeira, orçamentária, operacional e patrimonial.</w:t>
      </w:r>
    </w:p>
    <w:p>
      <w:pPr>
        <w:spacing w:line="276" w:lineRule="auto" w:before="20" w:after="40"/>
        <w:ind w:left="425"/>
      </w:pPr>
      <w:r>
        <w:rPr>
          <w:rFonts w:ascii="Arial" w:hAnsi="Arial"/>
          <w:b/>
          <w:color w:val="1B365D"/>
          <w:sz w:val="22"/>
        </w:rPr>
        <w:t xml:space="preserve">4. </w:t>
      </w:r>
      <w:r>
        <w:rPr>
          <w:rFonts w:ascii="Arial" w:hAnsi="Arial"/>
          <w:b/>
          <w:i w:val="0"/>
          <w:color w:val="111827"/>
          <w:sz w:val="22"/>
        </w:rPr>
        <w:t>Fiscalização de Atos de Admissão e Aposentadoria (Art. 71, III):</w:t>
      </w:r>
      <w:r>
        <w:rPr>
          <w:rFonts w:ascii="Arial" w:hAnsi="Arial"/>
          <w:b w:val="0"/>
          <w:i w:val="0"/>
          <w:color w:val="111827"/>
          <w:sz w:val="22"/>
        </w:rPr>
        <w:t xml:space="preserve"> Apreciar, para fins de registro, a legalidade dos atos de admissão de pessoal (salvo cargos comissionados) e de concessão inicial de aposentadorias, reformas e pensões.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Aplicação de Sanções (Art. 71, VIII):</w:t>
      </w:r>
      <w:r>
        <w:rPr>
          <w:rFonts w:ascii="Arial" w:hAnsi="Arial"/>
          <w:b w:val="0"/>
          <w:i w:val="0"/>
          <w:color w:val="111827"/>
          <w:sz w:val="22"/>
        </w:rPr>
        <w:t xml:space="preserve"> Aplicar aos responsáveis as sanções previstas em sua Lei Orgânica, incluindo multas pecuniárias, imputação de débito e inabilitação temporária para o exercício de cargo em comissão.</w:t>
      </w:r>
    </w:p>
    <w:p>
      <w:pPr>
        <w:keepNext/>
        <w:spacing w:before="200" w:after="80"/>
      </w:pPr>
      <w:r>
        <w:rPr>
          <w:rFonts w:ascii="Arial" w:hAnsi="Arial"/>
          <w:b/>
          <w:i w:val="0"/>
          <w:color w:val="2B6CB0"/>
          <w:sz w:val="24"/>
        </w:rPr>
        <w:t>2.2 Natureza das Decisões e Título Executivo Extrajudicial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Eficácia de Título Executivo (CF/88, art. 71, § 3º):</w:t>
      </w:r>
      <w:r>
        <w:rPr>
          <w:rFonts w:ascii="Arial" w:hAnsi="Arial"/>
          <w:b w:val="0"/>
          <w:i w:val="0"/>
          <w:color w:val="111827"/>
          <w:sz w:val="22"/>
        </w:rPr>
        <w:t xml:space="preserve"> As decisões do Tribunal de Contas de que resulte imputação de débito ou cominação de multa pecuniária possuem </w:t>
      </w:r>
      <w:r>
        <w:rPr>
          <w:rFonts w:ascii="Arial" w:hAnsi="Arial"/>
          <w:b/>
          <w:i w:val="0"/>
          <w:color w:val="111827"/>
          <w:sz w:val="22"/>
        </w:rPr>
        <w:t>eficácia de título executivo extrajudicial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Execução do Título:</w:t>
      </w:r>
      <w:r>
        <w:rPr>
          <w:rFonts w:ascii="Arial" w:hAnsi="Arial"/>
          <w:b w:val="0"/>
          <w:i w:val="0"/>
          <w:color w:val="111827"/>
          <w:sz w:val="22"/>
        </w:rPr>
        <w:t xml:space="preserve"> A cobrança judicial não é executada pelo próprio Tribunal de Contas, mas sim pelo ente público lesado (a Procuradoria-Geral do Estado - PGE promove a competente Ação de Execução Fiscal perante a Vara da Fazenda Pública).</w:t>
      </w:r>
    </w:p>
    <w:p>
      <w:pPr>
        <w:keepNext/>
        <w:spacing w:before="280" w:after="120"/>
      </w:pPr>
      <w:r>
        <w:rPr>
          <w:rFonts w:ascii="Arial" w:hAnsi="Arial"/>
          <w:b/>
          <w:i w:val="0"/>
          <w:color w:val="2C5282"/>
          <w:sz w:val="28"/>
        </w:rPr>
        <w:t>3. O Controle Judicial dos Atos Administrativos</w:t>
      </w:r>
    </w:p>
    <w:p>
      <w:pPr>
        <w:spacing w:line="360" w:lineRule="auto" w:before="0" w:after="80"/>
        <w:jc w:val="both"/>
      </w:pPr>
      <w:r>
        <w:rPr>
          <w:rFonts w:ascii="Arial" w:hAnsi="Arial"/>
          <w:b w:val="0"/>
          <w:i w:val="0"/>
          <w:color w:val="111827"/>
          <w:sz w:val="24"/>
        </w:rPr>
        <w:t xml:space="preserve">Em razão do princípio da inafastabilidade da tutela jurisdicional (CF/88, art. 5º, XXXV: </w:t>
      </w:r>
      <w:r>
        <w:rPr>
          <w:rFonts w:ascii="Arial" w:hAnsi="Arial"/>
          <w:b w:val="0"/>
          <w:i/>
          <w:color w:val="111827"/>
          <w:sz w:val="24"/>
        </w:rPr>
        <w:t>"a lei não excluirá da apreciação do Poder Judiciário lesão ou ameaça a direito"</w:t>
      </w:r>
      <w:r>
        <w:rPr>
          <w:rFonts w:ascii="Arial" w:hAnsi="Arial"/>
          <w:b w:val="0"/>
          <w:i w:val="0"/>
          <w:color w:val="111827"/>
          <w:sz w:val="24"/>
        </w:rPr>
        <w:t>), o Brasil adota o sistema de jurisdição una (sistema inglês), cabendo unicamente ao Poder Judiciário dizer o direito com força definitiva de coisa julgada material.</w:t>
      </w:r>
    </w:p>
    <w:p>
      <w:pPr>
        <w:keepNext/>
        <w:spacing w:before="200" w:after="80"/>
      </w:pPr>
      <w:r>
        <w:rPr>
          <w:rFonts w:ascii="Arial" w:hAnsi="Arial"/>
          <w:b/>
          <w:i w:val="0"/>
          <w:color w:val="2B6CB0"/>
          <w:sz w:val="24"/>
        </w:rPr>
        <w:t>3.1 Limites do Controle Judicial sobre o Mérito Administrativo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Veto de Substituição de Mérito:</w:t>
      </w:r>
      <w:r>
        <w:rPr>
          <w:rFonts w:ascii="Arial" w:hAnsi="Arial"/>
          <w:b w:val="0"/>
          <w:i w:val="0"/>
          <w:color w:val="111827"/>
          <w:sz w:val="22"/>
        </w:rPr>
        <w:t xml:space="preserve"> O juiz não pode substituir a valoração legítima de conveniência e oportunidade do administrador eleito ou concursado (ex.: escolher entre asfaltar a rua A ou reformar o posto de saúde B, quando ambas as opções são legais e orçamentariamente viáveis).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Proibição de Revogação Judicial:</w:t>
      </w:r>
      <w:r>
        <w:rPr>
          <w:rFonts w:ascii="Arial" w:hAnsi="Arial"/>
          <w:b w:val="0"/>
          <w:i w:val="0"/>
          <w:color w:val="111827"/>
          <w:sz w:val="22"/>
        </w:rPr>
        <w:t xml:space="preserve"> O Poder Judiciário, no exercício de sua função jurisdicional, </w:t>
      </w:r>
      <w:r>
        <w:rPr>
          <w:rFonts w:ascii="Arial" w:hAnsi="Arial"/>
          <w:b/>
          <w:i w:val="0"/>
          <w:color w:val="111827"/>
          <w:sz w:val="22"/>
        </w:rPr>
        <w:t>NUNCA revoga atos do Poder Executivo</w:t>
      </w:r>
      <w:r>
        <w:rPr>
          <w:rFonts w:ascii="Arial" w:hAnsi="Arial"/>
          <w:b w:val="0"/>
          <w:i w:val="0"/>
          <w:color w:val="111827"/>
          <w:sz w:val="22"/>
        </w:rPr>
        <w:t xml:space="preserve">. O Judiciário apenas </w:t>
      </w:r>
      <w:r>
        <w:rPr>
          <w:rFonts w:ascii="Arial" w:hAnsi="Arial"/>
          <w:b/>
          <w:i w:val="0"/>
          <w:color w:val="111827"/>
          <w:sz w:val="22"/>
        </w:rPr>
        <w:t>anula</w:t>
      </w:r>
      <w:r>
        <w:rPr>
          <w:rFonts w:ascii="Arial" w:hAnsi="Arial"/>
          <w:b w:val="0"/>
          <w:i w:val="0"/>
          <w:color w:val="111827"/>
          <w:sz w:val="22"/>
        </w:rPr>
        <w:t xml:space="preserve"> atos administrativos que padeçam de vícios de ilegalidade originária.</w:t>
      </w:r>
    </w:p>
    <w:p>
      <w:pPr>
        <w:keepNext/>
        <w:spacing w:before="200" w:after="80"/>
      </w:pPr>
      <w:r>
        <w:rPr>
          <w:rFonts w:ascii="Arial" w:hAnsi="Arial"/>
          <w:b/>
          <w:i w:val="0"/>
          <w:color w:val="2B6CB0"/>
          <w:sz w:val="24"/>
        </w:rPr>
        <w:t>3.2 Anulação por Desvio de Finalidade e a Teoria dos Motivos Determinantes</w:t>
      </w:r>
    </w:p>
    <w:p>
      <w:pPr>
        <w:spacing w:line="360" w:lineRule="auto" w:before="0" w:after="80"/>
        <w:jc w:val="both"/>
      </w:pPr>
      <w:r>
        <w:rPr>
          <w:rFonts w:ascii="Arial" w:hAnsi="Arial"/>
          <w:b w:val="0"/>
          <w:i w:val="0"/>
          <w:color w:val="111827"/>
          <w:sz w:val="24"/>
        </w:rPr>
        <w:t>O controle judicial sobre atos discricionários não se restringe à literalidade da lei, alcançando a legalidade ampla e os princípios constitucionais: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Desvio de Finalidade:</w:t>
      </w:r>
      <w:r>
        <w:rPr>
          <w:rFonts w:ascii="Arial" w:hAnsi="Arial"/>
          <w:b w:val="0"/>
          <w:i w:val="0"/>
          <w:color w:val="111827"/>
          <w:sz w:val="22"/>
        </w:rPr>
        <w:t xml:space="preserve"> O Judiciário deve decretar a anulação do ato se restar demonstrado que a autoridade usou de sua competência legal para perseguir um desafeto pessoal, satisfazer capricho ou favorecer correligionários.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Teoria dos Motivos Determinantes:</w:t>
      </w:r>
      <w:r>
        <w:rPr>
          <w:rFonts w:ascii="Arial" w:hAnsi="Arial"/>
          <w:b w:val="0"/>
          <w:i w:val="0"/>
          <w:color w:val="111827"/>
          <w:sz w:val="22"/>
        </w:rPr>
        <w:t xml:space="preserve"> Se a motivação alegada no ato for comprovadamente falsa, inexistente ou contraditória com os fatos da realidade, o ato é nulo por vício de motivo, devendo o Judiciário anulá-lo com efeitos retroativos (</w:t>
      </w:r>
      <w:r>
        <w:rPr>
          <w:rFonts w:ascii="Arial" w:hAnsi="Arial"/>
          <w:b w:val="0"/>
          <w:i/>
          <w:color w:val="111827"/>
          <w:sz w:val="22"/>
        </w:rPr>
        <w:t>ex tunc</w:t>
      </w:r>
      <w:r>
        <w:rPr>
          <w:rFonts w:ascii="Arial" w:hAnsi="Arial"/>
          <w:b w:val="0"/>
          <w:i w:val="0"/>
          <w:color w:val="111827"/>
          <w:sz w:val="22"/>
        </w:rPr>
        <w:t>).</w:t>
      </w:r>
    </w:p>
    <w:p>
      <w:pPr>
        <w:keepNext/>
        <w:spacing w:before="200" w:after="80"/>
      </w:pPr>
      <w:r>
        <w:rPr>
          <w:rFonts w:ascii="Arial" w:hAnsi="Arial"/>
          <w:b/>
          <w:i w:val="0"/>
          <w:color w:val="2B6CB0"/>
          <w:sz w:val="24"/>
        </w:rPr>
        <w:t>3.3 Ações Constitucionais de Controle: Mandado de Segurança, Ação Popular e ACP</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Ação Constitucional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Base Normativa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Legitimidade Ativa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Objeto / Finalidade Principal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Particularidades Processuais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Mandado de Segurança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CF, art. 5º, LXIX; Lei 12.016/2009</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Pessoa física ou jurídica titular do direito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Proteger </w:t>
            </w:r>
            <w:r>
              <w:rPr>
                <w:rFonts w:ascii="Arial" w:hAnsi="Arial"/>
                <w:b/>
                <w:i w:val="0"/>
                <w:color w:val="111827"/>
                <w:sz w:val="19"/>
              </w:rPr>
              <w:t>direito líquido e certo</w:t>
            </w:r>
            <w:r>
              <w:rPr>
                <w:rFonts w:ascii="Arial" w:hAnsi="Arial"/>
                <w:b w:val="0"/>
                <w:i w:val="0"/>
                <w:color w:val="111827"/>
                <w:sz w:val="19"/>
              </w:rPr>
              <w:t xml:space="preserve">, não amparado por </w:t>
            </w:r>
            <w:r>
              <w:rPr>
                <w:rFonts w:ascii="Arial" w:hAnsi="Arial"/>
                <w:b w:val="0"/>
                <w:i/>
                <w:color w:val="111827"/>
                <w:sz w:val="19"/>
              </w:rPr>
              <w:t>habeas corpus</w:t>
            </w:r>
            <w:r>
              <w:rPr>
                <w:rFonts w:ascii="Arial" w:hAnsi="Arial"/>
                <w:b w:val="0"/>
                <w:i w:val="0"/>
                <w:color w:val="111827"/>
                <w:sz w:val="19"/>
              </w:rPr>
              <w:t xml:space="preserve"> ou </w:t>
            </w:r>
            <w:r>
              <w:rPr>
                <w:rFonts w:ascii="Arial" w:hAnsi="Arial"/>
                <w:b w:val="0"/>
                <w:i/>
                <w:color w:val="111827"/>
                <w:sz w:val="19"/>
              </w:rPr>
              <w:t>habeas data</w:t>
            </w:r>
            <w:r>
              <w:rPr>
                <w:rFonts w:ascii="Arial" w:hAnsi="Arial"/>
                <w:b w:val="0"/>
                <w:i w:val="0"/>
                <w:color w:val="111827"/>
                <w:sz w:val="19"/>
              </w:rPr>
              <w:t>, contra ato ilegal ou abuso de poder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Exige </w:t>
            </w:r>
            <w:r>
              <w:rPr>
                <w:rFonts w:ascii="Arial" w:hAnsi="Arial"/>
                <w:b/>
                <w:i w:val="0"/>
                <w:color w:val="111827"/>
                <w:sz w:val="19"/>
              </w:rPr>
              <w:t>prova documental pré-constituída</w:t>
            </w:r>
            <w:r>
              <w:rPr>
                <w:rFonts w:ascii="Arial" w:hAnsi="Arial"/>
                <w:b w:val="0"/>
                <w:i w:val="0"/>
                <w:color w:val="111827"/>
                <w:sz w:val="19"/>
              </w:rPr>
              <w:t>; não admite dilação probatória; prazo decadencial de 120 dias.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Ação Popular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CF, art. 5º, LXXIII; Lei 4.717/1965</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Qualquer cidadão brasileiro</w:t>
            </w:r>
            <w:r>
              <w:rPr>
                <w:rFonts w:ascii="Arial" w:hAnsi="Arial"/>
                <w:b w:val="0"/>
                <w:i w:val="0"/>
                <w:color w:val="111827"/>
                <w:sz w:val="19"/>
              </w:rPr>
              <w:t xml:space="preserve"> no gozo de seus direitos políticos (título de eleitor)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Anular ato lesivo ao </w:t>
            </w:r>
            <w:r>
              <w:rPr>
                <w:rFonts w:ascii="Arial" w:hAnsi="Arial"/>
                <w:b/>
                <w:i w:val="0"/>
                <w:color w:val="111827"/>
                <w:sz w:val="19"/>
              </w:rPr>
              <w:t>patrimônio público</w:t>
            </w:r>
            <w:r>
              <w:rPr>
                <w:rFonts w:ascii="Arial" w:hAnsi="Arial"/>
                <w:b w:val="0"/>
                <w:i w:val="0"/>
                <w:color w:val="111827"/>
                <w:sz w:val="19"/>
              </w:rPr>
              <w:t xml:space="preserve">, à </w:t>
            </w:r>
            <w:r>
              <w:rPr>
                <w:rFonts w:ascii="Arial" w:hAnsi="Arial"/>
                <w:b/>
                <w:i w:val="0"/>
                <w:color w:val="111827"/>
                <w:sz w:val="19"/>
              </w:rPr>
              <w:t>moralidade administrativa</w:t>
            </w:r>
            <w:r>
              <w:rPr>
                <w:rFonts w:ascii="Arial" w:hAnsi="Arial"/>
                <w:b w:val="0"/>
                <w:i w:val="0"/>
                <w:color w:val="111827"/>
                <w:sz w:val="19"/>
              </w:rPr>
              <w:t xml:space="preserve">, ao </w:t>
            </w:r>
            <w:r>
              <w:rPr>
                <w:rFonts w:ascii="Arial" w:hAnsi="Arial"/>
                <w:b/>
                <w:i w:val="0"/>
                <w:color w:val="111827"/>
                <w:sz w:val="19"/>
              </w:rPr>
              <w:t>meio ambiente</w:t>
            </w:r>
            <w:r>
              <w:rPr>
                <w:rFonts w:ascii="Arial" w:hAnsi="Arial"/>
                <w:b w:val="0"/>
                <w:i w:val="0"/>
                <w:color w:val="111827"/>
                <w:sz w:val="19"/>
              </w:rPr>
              <w:t xml:space="preserve"> e ao </w:t>
            </w:r>
            <w:r>
              <w:rPr>
                <w:rFonts w:ascii="Arial" w:hAnsi="Arial"/>
                <w:b/>
                <w:i w:val="0"/>
                <w:color w:val="111827"/>
                <w:sz w:val="19"/>
              </w:rPr>
              <w:t>patrimônio histórico e cultural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Autor fica </w:t>
            </w:r>
            <w:r>
              <w:rPr>
                <w:rFonts w:ascii="Arial" w:hAnsi="Arial"/>
                <w:b/>
                <w:i w:val="0"/>
                <w:color w:val="111827"/>
                <w:sz w:val="19"/>
              </w:rPr>
              <w:t>isento de custas judiciais e sucumbência</w:t>
            </w:r>
            <w:r>
              <w:rPr>
                <w:rFonts w:ascii="Arial" w:hAnsi="Arial"/>
                <w:b w:val="0"/>
                <w:i w:val="0"/>
                <w:color w:val="111827"/>
                <w:sz w:val="19"/>
              </w:rPr>
              <w:t>, salvo comprovada má-fé.</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Ação Civil Pública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CF, art. 129, III; Lei 7.347/1985</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Ministério Público, Defensoria Pública, Entes Federados, Autarquias e Associações constituídas há mais de 1 ano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Tutela de </w:t>
            </w:r>
            <w:r>
              <w:rPr>
                <w:rFonts w:ascii="Arial" w:hAnsi="Arial"/>
                <w:b/>
                <w:i w:val="0"/>
                <w:color w:val="111827"/>
                <w:sz w:val="19"/>
              </w:rPr>
              <w:t>direitos difusos, coletivos e individuais homogêneos</w:t>
            </w:r>
            <w:r>
              <w:rPr>
                <w:rFonts w:ascii="Arial" w:hAnsi="Arial"/>
                <w:b w:val="0"/>
                <w:i w:val="0"/>
                <w:color w:val="111827"/>
                <w:sz w:val="19"/>
              </w:rPr>
              <w:t xml:space="preserve"> (meio ambiente, patrimônio público, consumidor)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Permite condenação em dinheiro (revertida a fundo público) e obrigação de fazer/não fazer.</w:t>
            </w:r>
          </w:p>
        </w:tc>
      </w:tr>
    </w:tbl>
    <w:p>
      <w:pPr>
        <w:spacing w:after="120"/>
      </w:pPr>
    </w:p>
    <w:p>
      <w:pPr>
        <w:keepNext/>
        <w:spacing w:before="280" w:after="120"/>
      </w:pPr>
      <w:r>
        <w:rPr>
          <w:rFonts w:ascii="Arial" w:hAnsi="Arial"/>
          <w:b/>
          <w:i w:val="0"/>
          <w:color w:val="2C5282"/>
          <w:sz w:val="28"/>
        </w:rPr>
        <w:t>4. A Nova Lei de Improbidade Administrativa (Lei 8.429/1992 e Lei 14.230/2021)</w:t>
      </w:r>
    </w:p>
    <w:p>
      <w:pPr>
        <w:spacing w:line="360" w:lineRule="auto" w:before="0" w:after="80"/>
        <w:jc w:val="both"/>
      </w:pPr>
      <w:r>
        <w:rPr>
          <w:rFonts w:ascii="Arial" w:hAnsi="Arial"/>
          <w:b w:val="0"/>
          <w:i w:val="0"/>
          <w:color w:val="111827"/>
          <w:sz w:val="24"/>
        </w:rPr>
        <w:t>A Lei Federal nº 14.230/2021 promoveu a mais profunda reforma na Lei de Improbidade Administrativa (LIA - Lei nº 8.429/1992), transformando o diploma em um estatuto de Direito Administrativo Sancionador rígido, com garantias processuais do direito punitivo.</w:t>
      </w:r>
    </w:p>
    <w:p>
      <w:pPr>
        <w:keepNext/>
        <w:spacing w:before="200" w:after="80"/>
      </w:pPr>
      <w:r>
        <w:rPr>
          <w:rFonts w:ascii="Arial" w:hAnsi="Arial"/>
          <w:b/>
          <w:i w:val="0"/>
          <w:color w:val="2B6CB0"/>
          <w:sz w:val="24"/>
        </w:rPr>
        <w:t>4.1 Sujeitos Ativos e Passivos da Improbidade Administrativa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Sujeito Ativo (Art. 2º):</w:t>
      </w:r>
      <w:r>
        <w:rPr>
          <w:rFonts w:ascii="Arial" w:hAnsi="Arial"/>
          <w:b w:val="0"/>
          <w:i w:val="0"/>
          <w:color w:val="111827"/>
          <w:sz w:val="22"/>
        </w:rPr>
        <w:t xml:space="preserve"> Considera-se agente público para os efeitos desta Lei o agente político, o servidor público e todo aquele que exerce, ainda que transitoriamente ou sem remuneração, por eleição, nomeação, designação, contratação ou qualquer outra forma de investidura ou vínculo, mandato, cargo, emprego ou função nas entidades públicas.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Particular em Concurso (Art. 3º):</w:t>
      </w:r>
      <w:r>
        <w:rPr>
          <w:rFonts w:ascii="Arial" w:hAnsi="Arial"/>
          <w:b w:val="0"/>
          <w:i w:val="0"/>
          <w:color w:val="111827"/>
          <w:sz w:val="22"/>
        </w:rPr>
        <w:t xml:space="preserve"> As disposições da LIA aplicam-se àquele que, mesmo não sendo agente público, </w:t>
      </w:r>
      <w:r>
        <w:rPr>
          <w:rFonts w:ascii="Arial" w:hAnsi="Arial"/>
          <w:b/>
          <w:i w:val="0"/>
          <w:color w:val="111827"/>
          <w:sz w:val="22"/>
        </w:rPr>
        <w:t>induza ou concorra dolosamente</w:t>
      </w:r>
      <w:r>
        <w:rPr>
          <w:rFonts w:ascii="Arial" w:hAnsi="Arial"/>
          <w:b w:val="0"/>
          <w:i w:val="0"/>
          <w:color w:val="111827"/>
          <w:sz w:val="22"/>
        </w:rPr>
        <w:t xml:space="preserve"> para a prática do ato de improbidade.  </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Regra Consolidada STJ/STF:</w:t>
      </w:r>
      <w:r>
        <w:rPr>
          <w:rFonts w:ascii="Arial" w:hAnsi="Arial"/>
          <w:b w:val="0"/>
          <w:i w:val="0"/>
          <w:color w:val="111827"/>
          <w:sz w:val="20"/>
        </w:rPr>
        <w:t xml:space="preserve"> Não é cabível ação de improbidade exclusivamente em face de particular desacompanhado de agente público no polo passivo!</w:t>
      </w:r>
    </w:p>
    <w:p>
      <w:pPr>
        <w:spacing w:after="80"/>
      </w:pPr>
    </w:p>
    <w:p>
      <w:pPr>
        <w:keepNext/>
        <w:spacing w:before="200" w:after="80"/>
      </w:pPr>
      <w:r>
        <w:rPr>
          <w:rFonts w:ascii="Arial" w:hAnsi="Arial"/>
          <w:b/>
          <w:i w:val="0"/>
          <w:color w:val="2B6CB0"/>
          <w:sz w:val="24"/>
        </w:rPr>
        <w:t>4.2 O Elemento Subjetivo e a Extinção da Culpa (Tema 1.199 / STF)</w:t>
      </w:r>
    </w:p>
    <w:p>
      <w:pPr>
        <w:spacing w:line="360" w:lineRule="auto" w:before="0" w:after="80"/>
        <w:jc w:val="both"/>
      </w:pPr>
      <w:r>
        <w:rPr>
          <w:rFonts w:ascii="Arial" w:hAnsi="Arial"/>
          <w:b w:val="0"/>
          <w:i w:val="0"/>
          <w:color w:val="111827"/>
          <w:sz w:val="24"/>
        </w:rPr>
        <w:t xml:space="preserve">A alteração mais radical da Lei nº 14.230/2021 consistiu na </w:t>
      </w:r>
      <w:r>
        <w:rPr>
          <w:rFonts w:ascii="Arial" w:hAnsi="Arial"/>
          <w:b/>
          <w:i w:val="0"/>
          <w:color w:val="111827"/>
          <w:sz w:val="24"/>
        </w:rPr>
        <w:t>abolição total e expressa da modalidade culposa</w:t>
      </w:r>
      <w:r>
        <w:rPr>
          <w:rFonts w:ascii="Arial" w:hAnsi="Arial"/>
          <w:b w:val="0"/>
          <w:i w:val="0"/>
          <w:color w:val="111827"/>
          <w:sz w:val="24"/>
        </w:rPr>
        <w:t xml:space="preserve"> para todos os atos de improbidade administrativa.</w:t>
      </w:r>
    </w:p>
    <w:p>
      <w:pPr>
        <w:keepNext/>
        <w:spacing w:before="120" w:after="40"/>
      </w:pPr>
      <w:r>
        <w:rPr>
          <w:rFonts w:ascii="Arial" w:hAnsi="Arial"/>
          <w:b/>
          <w:i/>
          <w:color w:val="334155"/>
          <w:sz w:val="22"/>
        </w:rPr>
        <w:t>Tese Vinculante do Tema 1.199 do STF (RE 1.205.746):</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Exigência de Dolo Específico:</w:t>
      </w:r>
      <w:r>
        <w:rPr>
          <w:rFonts w:ascii="Arial" w:hAnsi="Arial"/>
          <w:b w:val="0"/>
          <w:i w:val="0"/>
          <w:color w:val="111827"/>
          <w:sz w:val="22"/>
        </w:rPr>
        <w:t xml:space="preserve"> É necessária a comprovação de responsabilidade subjetiva com </w:t>
      </w:r>
      <w:r>
        <w:rPr>
          <w:rFonts w:ascii="Arial" w:hAnsi="Arial"/>
          <w:b/>
          <w:i w:val="0"/>
          <w:color w:val="111827"/>
          <w:sz w:val="22"/>
        </w:rPr>
        <w:t>dolo específico</w:t>
      </w:r>
      <w:r>
        <w:rPr>
          <w:rFonts w:ascii="Arial" w:hAnsi="Arial"/>
          <w:b w:val="0"/>
          <w:i w:val="0"/>
          <w:color w:val="111827"/>
          <w:sz w:val="22"/>
        </w:rPr>
        <w:t xml:space="preserve"> para a tipificação de qualquer ato de improbidade administrativa (artigos 9º, 10 e 11). Não basta dolo genérico; exige-se a demonstração da vontade livre e consciente de alcançar o resultado ilícito, acompanhada do fim especial de agir.</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Extinção da Culpa (Inclusive Culpa Grave):</w:t>
      </w:r>
      <w:r>
        <w:rPr>
          <w:rFonts w:ascii="Arial" w:hAnsi="Arial"/>
          <w:b w:val="0"/>
          <w:i w:val="0"/>
          <w:color w:val="111827"/>
          <w:sz w:val="22"/>
        </w:rPr>
        <w:t xml:space="preserve"> A negligência crassa, a imprudência, a imperícia ou o erro de gestão administrativa, ainda que inescusáveis, </w:t>
      </w:r>
      <w:r>
        <w:rPr>
          <w:rFonts w:ascii="Arial" w:hAnsi="Arial"/>
          <w:b/>
          <w:i w:val="0"/>
          <w:color w:val="111827"/>
          <w:sz w:val="22"/>
        </w:rPr>
        <w:t>NÃO configuram improbidade administrativa</w:t>
      </w:r>
      <w:r>
        <w:rPr>
          <w:rFonts w:ascii="Arial" w:hAnsi="Arial"/>
          <w:b w:val="0"/>
          <w:i w:val="0"/>
          <w:color w:val="111827"/>
          <w:sz w:val="22"/>
        </w:rPr>
        <w:t>. O agente negligente pode responder disciplinarmente no estatuto funcional ou em ação regressiva civil comum de reparação ao erário, mas não sob a pecha desonrosa da improbidade.</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Direito Intertemporal: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Processos com trânsito em julgado:</w:t>
      </w:r>
      <w:r>
        <w:rPr>
          <w:rFonts w:ascii="Arial" w:hAnsi="Arial"/>
          <w:b w:val="0"/>
          <w:i w:val="0"/>
          <w:color w:val="111827"/>
          <w:sz w:val="22"/>
        </w:rPr>
        <w:t xml:space="preserve"> A nova lei </w:t>
      </w:r>
      <w:r>
        <w:rPr>
          <w:rFonts w:ascii="Arial" w:hAnsi="Arial"/>
          <w:b/>
          <w:i w:val="0"/>
          <w:color w:val="111827"/>
          <w:sz w:val="22"/>
        </w:rPr>
        <w:t>NÃO retroage</w:t>
      </w:r>
      <w:r>
        <w:rPr>
          <w:rFonts w:ascii="Arial" w:hAnsi="Arial"/>
          <w:b w:val="0"/>
          <w:i w:val="0"/>
          <w:color w:val="111827"/>
          <w:sz w:val="22"/>
        </w:rPr>
        <w:t xml:space="preserve"> para desconstituir condenações culposas já consolidadas pela coisa julgada material.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Processos em andamento:</w:t>
      </w:r>
      <w:r>
        <w:rPr>
          <w:rFonts w:ascii="Arial" w:hAnsi="Arial"/>
          <w:b w:val="0"/>
          <w:i w:val="0"/>
          <w:color w:val="111827"/>
          <w:sz w:val="22"/>
        </w:rPr>
        <w:t xml:space="preserve"> A revogação da culpa </w:t>
      </w:r>
      <w:r>
        <w:rPr>
          <w:rFonts w:ascii="Arial" w:hAnsi="Arial"/>
          <w:b/>
          <w:i w:val="0"/>
          <w:color w:val="111827"/>
          <w:sz w:val="22"/>
        </w:rPr>
        <w:t>aplica-se imediatamente e de forma retroativa</w:t>
      </w:r>
      <w:r>
        <w:rPr>
          <w:rFonts w:ascii="Arial" w:hAnsi="Arial"/>
          <w:b w:val="0"/>
          <w:i w:val="0"/>
          <w:color w:val="111827"/>
          <w:sz w:val="22"/>
        </w:rPr>
        <w:t xml:space="preserve"> a todas as ações de improbidade em curso em qualquer grau de jurisdição.</w:t>
      </w:r>
    </w:p>
    <w:p>
      <w:pPr>
        <w:spacing w:after="120"/>
      </w:pPr>
    </w:p>
    <w:p>
      <w:pPr>
        <w:keepNext/>
        <w:spacing w:before="200" w:after="80"/>
      </w:pPr>
      <w:r>
        <w:rPr>
          <w:rFonts w:ascii="Arial" w:hAnsi="Arial"/>
          <w:b/>
          <w:i w:val="0"/>
          <w:color w:val="2B6CB0"/>
          <w:sz w:val="24"/>
        </w:rPr>
        <w:t>4.3 Proibição do Crime de Hermenêutica no Âmbito da LIA</w:t>
      </w:r>
    </w:p>
    <w:p>
      <w:pPr>
        <w:spacing w:line="360" w:lineRule="auto" w:before="0" w:after="80"/>
        <w:jc w:val="both"/>
      </w:pPr>
      <w:r>
        <w:rPr>
          <w:rFonts w:ascii="Arial" w:hAnsi="Arial"/>
          <w:b w:val="0"/>
          <w:i w:val="0"/>
          <w:color w:val="111827"/>
          <w:sz w:val="24"/>
        </w:rPr>
        <w:t xml:space="preserve">O art. 1º, § 8º, da LIA estabelece expressamente que </w:t>
      </w:r>
      <w:r>
        <w:rPr>
          <w:rFonts w:ascii="Arial" w:hAnsi="Arial"/>
          <w:b/>
          <w:i w:val="0"/>
          <w:color w:val="111827"/>
          <w:sz w:val="24"/>
        </w:rPr>
        <w:t>não configura improbidade a ação ou omissão decorrente de divergência interpretativa da lei</w:t>
      </w:r>
      <w:r>
        <w:rPr>
          <w:rFonts w:ascii="Arial" w:hAnsi="Arial"/>
          <w:b w:val="0"/>
          <w:i w:val="0"/>
          <w:color w:val="111827"/>
          <w:sz w:val="24"/>
        </w:rPr>
        <w:t>, baseada em jurisprudência, ainda que não pacificada, mesmo que não venha a ser posteriormente a prevalecente nos tribunais judiciais ou de contas.</w:t>
      </w:r>
    </w:p>
    <w:p>
      <w:pPr>
        <w:keepNext/>
        <w:spacing w:before="280" w:after="120"/>
      </w:pPr>
      <w:r>
        <w:rPr>
          <w:rFonts w:ascii="Arial" w:hAnsi="Arial"/>
          <w:b/>
          <w:i w:val="0"/>
          <w:color w:val="2C5282"/>
          <w:sz w:val="28"/>
        </w:rPr>
        <w:t>5. Tipologia dos Atos de Improbidade e Quadro Sancionatório</w:t>
      </w:r>
    </w:p>
    <w:p>
      <w:pPr>
        <w:keepNext/>
        <w:spacing w:before="200" w:after="80"/>
      </w:pPr>
      <w:r>
        <w:rPr>
          <w:rFonts w:ascii="Arial" w:hAnsi="Arial"/>
          <w:b/>
          <w:i w:val="0"/>
          <w:color w:val="2B6CB0"/>
          <w:sz w:val="24"/>
        </w:rPr>
        <w:t>5.1 Enriquecimento Ilícito (Art. 9º da LIA)</w:t>
      </w:r>
    </w:p>
    <w:p>
      <w:pPr>
        <w:spacing w:line="360" w:lineRule="auto" w:before="0" w:after="80"/>
        <w:jc w:val="both"/>
      </w:pPr>
      <w:r>
        <w:rPr>
          <w:rFonts w:ascii="Arial" w:hAnsi="Arial"/>
          <w:b w:val="0"/>
          <w:i w:val="0"/>
          <w:color w:val="111827"/>
          <w:sz w:val="24"/>
        </w:rPr>
        <w:t>Ocorre quando o agente aufere qualquer tipo de vantagem patrimonial indevida em razão do exercício de cargo, mandato, função ou emprego público.</w:t>
      </w:r>
    </w:p>
    <w:p>
      <w:pPr>
        <w:spacing w:line="276" w:lineRule="auto" w:before="20" w:after="40"/>
        <w:ind w:left="425"/>
      </w:pPr>
      <w:r>
        <w:rPr>
          <w:rFonts w:ascii="Arial" w:hAnsi="Arial"/>
          <w:b/>
          <w:color w:val="2B6CB0"/>
          <w:sz w:val="22"/>
        </w:rPr>
        <w:t xml:space="preserve">• </w:t>
      </w:r>
      <w:r>
        <w:rPr>
          <w:rFonts w:ascii="Arial" w:hAnsi="Arial"/>
          <w:b w:val="0"/>
          <w:i/>
          <w:color w:val="111827"/>
          <w:sz w:val="22"/>
        </w:rPr>
        <w:t>Exemplos:</w:t>
      </w:r>
      <w:r>
        <w:rPr>
          <w:rFonts w:ascii="Arial" w:hAnsi="Arial"/>
          <w:b w:val="0"/>
          <w:i w:val="0"/>
          <w:color w:val="111827"/>
          <w:sz w:val="22"/>
        </w:rPr>
        <w:t xml:space="preserve"> Receber propina, comissão ou presente oneroso; utilizar bens, veículos ou servidores públicos em obras ou serviços particulares; incorporar ao patrimônio pessoal bens públicos; evolução patrimonial desproporcional à renda declarada.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Natureza do Rol:</w:t>
      </w:r>
      <w:r>
        <w:rPr>
          <w:rFonts w:ascii="Arial" w:hAnsi="Arial"/>
          <w:b w:val="0"/>
          <w:i w:val="0"/>
          <w:color w:val="111827"/>
          <w:sz w:val="22"/>
        </w:rPr>
        <w:t xml:space="preserve"> Rol </w:t>
      </w:r>
      <w:r>
        <w:rPr>
          <w:rFonts w:ascii="Arial" w:hAnsi="Arial"/>
          <w:b/>
          <w:i w:val="0"/>
          <w:color w:val="111827"/>
          <w:sz w:val="22"/>
        </w:rPr>
        <w:t>exemplificativo</w:t>
      </w:r>
      <w:r>
        <w:rPr>
          <w:rFonts w:ascii="Arial" w:hAnsi="Arial"/>
          <w:b w:val="0"/>
          <w:i w:val="0"/>
          <w:color w:val="111827"/>
          <w:sz w:val="22"/>
        </w:rPr>
        <w:t xml:space="preserve"> (</w:t>
      </w:r>
      <w:r>
        <w:rPr>
          <w:rFonts w:ascii="Arial" w:hAnsi="Arial"/>
          <w:b w:val="0"/>
          <w:i/>
          <w:color w:val="111827"/>
          <w:sz w:val="22"/>
        </w:rPr>
        <w:t>numerus apertus</w:t>
      </w:r>
      <w:r>
        <w:rPr>
          <w:rFonts w:ascii="Arial" w:hAnsi="Arial"/>
          <w:b w:val="0"/>
          <w:i w:val="0"/>
          <w:color w:val="111827"/>
          <w:sz w:val="22"/>
        </w:rPr>
        <w:t>).</w:t>
      </w:r>
    </w:p>
    <w:p>
      <w:pPr>
        <w:keepNext/>
        <w:spacing w:before="200" w:after="80"/>
      </w:pPr>
      <w:r>
        <w:rPr>
          <w:rFonts w:ascii="Arial" w:hAnsi="Arial"/>
          <w:b/>
          <w:i w:val="0"/>
          <w:color w:val="2B6CB0"/>
          <w:sz w:val="24"/>
        </w:rPr>
        <w:t>5.2 Prejuízo ao Erário (Art. 10 da LIA)</w:t>
      </w:r>
    </w:p>
    <w:p>
      <w:pPr>
        <w:spacing w:line="360" w:lineRule="auto" w:before="0" w:after="80"/>
        <w:jc w:val="both"/>
      </w:pPr>
      <w:r>
        <w:rPr>
          <w:rFonts w:ascii="Arial" w:hAnsi="Arial"/>
          <w:b w:val="0"/>
          <w:i w:val="0"/>
          <w:color w:val="111827"/>
          <w:sz w:val="24"/>
        </w:rPr>
        <w:t>Consiste em qualquer ação ou omissão dolosa que enseje, efetiva e comprovadamente, perda patrimonial, desvio, apropriação, malbaratamento ou dilapidação dos bens ou haveres públicos.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Exigência de Dano Efetivo e Real:</w:t>
      </w:r>
      <w:r>
        <w:rPr>
          <w:rFonts w:ascii="Arial" w:hAnsi="Arial"/>
          <w:b w:val="0"/>
          <w:i w:val="0"/>
          <w:color w:val="111827"/>
          <w:sz w:val="22"/>
        </w:rPr>
        <w:t xml:space="preserve"> A Lei nº 14.230/2021 **proibiu o dano presumido (</w:t>
      </w:r>
      <w:r>
        <w:rPr>
          <w:rFonts w:ascii="Arial" w:hAnsi="Arial"/>
          <w:b w:val="0"/>
          <w:i/>
          <w:color w:val="111827"/>
          <w:sz w:val="22"/>
        </w:rPr>
        <w:t>in re ipsa</w:t>
      </w:r>
      <w:r>
        <w:rPr>
          <w:rFonts w:ascii="Arial" w:hAnsi="Arial"/>
          <w:b w:val="0"/>
          <w:i w:val="0"/>
          <w:color w:val="111827"/>
          <w:sz w:val="22"/>
        </w:rPr>
        <w:t>)**. Para que haja condenação pelo art. 10, a acusação deve comprovar documental e pericialmente o prejuízo financeiro concreto experimentado pelos cofres públicos.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Natureza do Rol:</w:t>
      </w:r>
      <w:r>
        <w:rPr>
          <w:rFonts w:ascii="Arial" w:hAnsi="Arial"/>
          <w:b w:val="0"/>
          <w:i w:val="0"/>
          <w:color w:val="111827"/>
          <w:sz w:val="22"/>
        </w:rPr>
        <w:t xml:space="preserve"> Rol considerado </w:t>
      </w:r>
      <w:r>
        <w:rPr>
          <w:rFonts w:ascii="Arial" w:hAnsi="Arial"/>
          <w:b/>
          <w:i w:val="0"/>
          <w:color w:val="111827"/>
          <w:sz w:val="22"/>
        </w:rPr>
        <w:t>taxativo</w:t>
      </w:r>
      <w:r>
        <w:rPr>
          <w:rFonts w:ascii="Arial" w:hAnsi="Arial"/>
          <w:b w:val="0"/>
          <w:i w:val="0"/>
          <w:color w:val="111827"/>
          <w:sz w:val="22"/>
        </w:rPr>
        <w:t xml:space="preserve"> pela nova redação legal.</w:t>
      </w:r>
    </w:p>
    <w:p>
      <w:pPr>
        <w:keepNext/>
        <w:spacing w:before="200" w:after="80"/>
      </w:pPr>
      <w:r>
        <w:rPr>
          <w:rFonts w:ascii="Arial" w:hAnsi="Arial"/>
          <w:b/>
          <w:i w:val="0"/>
          <w:color w:val="2B6CB0"/>
          <w:sz w:val="24"/>
        </w:rPr>
        <w:t>5.3 Atentado aos Princípios da Administração (Art. 11 da LIA - Rol Taxativo)</w:t>
      </w:r>
    </w:p>
    <w:p>
      <w:pPr>
        <w:spacing w:line="360" w:lineRule="auto" w:before="0" w:after="80"/>
        <w:jc w:val="both"/>
      </w:pPr>
      <w:r>
        <w:rPr>
          <w:rFonts w:ascii="Arial" w:hAnsi="Arial"/>
          <w:b w:val="0"/>
          <w:i w:val="0"/>
          <w:color w:val="111827"/>
          <w:sz w:val="24"/>
        </w:rPr>
        <w:t>Trata de condutas dolosas que violam os deveres de honestidade, imparcialidade e legalidade expressamente descritos no texto da lei.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**ROL ESTRITAMENTE TAXATIVO (</w:t>
      </w:r>
      <w:r>
        <w:rPr>
          <w:rFonts w:ascii="Arial" w:hAnsi="Arial"/>
          <w:b w:val="0"/>
          <w:i/>
          <w:color w:val="111827"/>
          <w:sz w:val="22"/>
        </w:rPr>
        <w:t>Numerus Clausus</w:t>
      </w:r>
      <w:r>
        <w:rPr>
          <w:rFonts w:ascii="Arial" w:hAnsi="Arial"/>
          <w:b w:val="0"/>
          <w:i w:val="0"/>
          <w:color w:val="111827"/>
          <w:sz w:val="22"/>
        </w:rPr>
        <w:t>):** O art. 11 passou a ter um rol fechado. Somente configuram improbidade por violação a princípios as condutas literalmente previstas em seus incisos: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Inciso III:</w:t>
      </w:r>
      <w:r>
        <w:rPr>
          <w:rFonts w:ascii="Arial" w:hAnsi="Arial"/>
          <w:b w:val="0"/>
          <w:i w:val="0"/>
          <w:color w:val="111827"/>
          <w:sz w:val="22"/>
        </w:rPr>
        <w:t xml:space="preserve"> Revelar fato ou circunstância de que tem ciência em razão das atribuições e que deva permanecer em segredo;</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Inciso IV:</w:t>
      </w:r>
      <w:r>
        <w:rPr>
          <w:rFonts w:ascii="Arial" w:hAnsi="Arial"/>
          <w:b w:val="0"/>
          <w:i w:val="0"/>
          <w:color w:val="111827"/>
          <w:sz w:val="22"/>
        </w:rPr>
        <w:t xml:space="preserve"> Negar publicidade aos atos oficiais (salvo sigilo legal);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Inciso V:</w:t>
      </w:r>
      <w:r>
        <w:rPr>
          <w:rFonts w:ascii="Arial" w:hAnsi="Arial"/>
          <w:b w:val="0"/>
          <w:i w:val="0"/>
          <w:color w:val="111827"/>
          <w:sz w:val="22"/>
        </w:rPr>
        <w:t xml:space="preserve"> Frustrar a licitude de concurso público;</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Inciso VIII:</w:t>
      </w:r>
      <w:r>
        <w:rPr>
          <w:rFonts w:ascii="Arial" w:hAnsi="Arial"/>
          <w:b w:val="0"/>
          <w:i w:val="0"/>
          <w:color w:val="111827"/>
          <w:sz w:val="22"/>
        </w:rPr>
        <w:t xml:space="preserve"> Recusar cumprimento a lei federal sem declaração de inconstitucionalidade;</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Inciso XI:</w:t>
      </w:r>
      <w:r>
        <w:rPr>
          <w:rFonts w:ascii="Arial" w:hAnsi="Arial"/>
          <w:b w:val="0"/>
          <w:i w:val="0"/>
          <w:color w:val="111827"/>
          <w:sz w:val="22"/>
        </w:rPr>
        <w:t xml:space="preserve"> Praticar nepotismo (nomeação de cônjuge, companheiro ou parente até 3º grau).</w:t>
      </w:r>
    </w:p>
    <w:p>
      <w:pPr>
        <w:keepNext/>
        <w:spacing w:before="200" w:after="80"/>
      </w:pPr>
      <w:r>
        <w:rPr>
          <w:rFonts w:ascii="Arial" w:hAnsi="Arial"/>
          <w:b/>
          <w:i w:val="0"/>
          <w:color w:val="2B6CB0"/>
          <w:sz w:val="24"/>
        </w:rPr>
        <w:t>5.4 Matriz Comparativa de Sanções do Artigo 12 da LIA</w:t>
      </w:r>
    </w:p>
    <w:p>
      <w:pPr>
        <w:spacing w:after="120"/>
      </w:pP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rPr>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Tipo de Improbidade</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Natureza do Rol</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Suspensão dos Direitos Políticos</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Perda da Função Pública?</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Multa Civil Máxima</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Proibição de Contratar / Benefícios</w:t>
            </w: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Art. 9º (Enriquecimento Ilícito)</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Exemplificativo</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Até </w:t>
            </w:r>
            <w:r>
              <w:rPr>
                <w:rFonts w:ascii="Arial" w:hAnsi="Arial"/>
                <w:b/>
                <w:i w:val="0"/>
                <w:color w:val="111827"/>
                <w:sz w:val="19"/>
              </w:rPr>
              <w:t>14 anos</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(atinge o cargo exercido à época)</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Até o valor do </w:t>
            </w:r>
            <w:r>
              <w:rPr>
                <w:rFonts w:ascii="Arial" w:hAnsi="Arial"/>
                <w:b/>
                <w:i w:val="0"/>
                <w:color w:val="111827"/>
                <w:sz w:val="19"/>
              </w:rPr>
              <w:t>acréscimo patrimonial</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Até </w:t>
            </w:r>
            <w:r>
              <w:rPr>
                <w:rFonts w:ascii="Arial" w:hAnsi="Arial"/>
                <w:b/>
                <w:i w:val="0"/>
                <w:color w:val="111827"/>
                <w:sz w:val="19"/>
              </w:rPr>
              <w:t>14 anos</w:t>
            </w:r>
          </w:p>
        </w:tc>
      </w:tr>
      <w:tr>
        <w:trPr>
          <w:cantSplit/>
        </w:trPr>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Art. 10 (Prejuízo ao Erário)</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Taxativo</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Até </w:t>
            </w:r>
            <w:r>
              <w:rPr>
                <w:rFonts w:ascii="Arial" w:hAnsi="Arial"/>
                <w:b/>
                <w:i w:val="0"/>
                <w:color w:val="111827"/>
                <w:sz w:val="19"/>
              </w:rPr>
              <w:t>12 anos</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Até o valor do </w:t>
            </w:r>
            <w:r>
              <w:rPr>
                <w:rFonts w:ascii="Arial" w:hAnsi="Arial"/>
                <w:b/>
                <w:i w:val="0"/>
                <w:color w:val="111827"/>
                <w:sz w:val="19"/>
              </w:rPr>
              <w:t>dano efetivo</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Até </w:t>
            </w:r>
            <w:r>
              <w:rPr>
                <w:rFonts w:ascii="Arial" w:hAnsi="Arial"/>
                <w:b/>
                <w:i w:val="0"/>
                <w:color w:val="111827"/>
                <w:sz w:val="19"/>
              </w:rPr>
              <w:t>12 anos</w:t>
            </w: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Art. 11 (Atentado a Princípios)</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Estritamente Taxativo</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HÁ MAIS</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HÁ MAIS</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Até </w:t>
            </w:r>
            <w:r>
              <w:rPr>
                <w:rFonts w:ascii="Arial" w:hAnsi="Arial"/>
                <w:b/>
                <w:i w:val="0"/>
                <w:color w:val="111827"/>
                <w:sz w:val="19"/>
              </w:rPr>
              <w:t>24 vezes a remuneração</w:t>
            </w:r>
            <w:r>
              <w:rPr>
                <w:rFonts w:ascii="Arial" w:hAnsi="Arial"/>
                <w:b w:val="0"/>
                <w:i w:val="0"/>
                <w:color w:val="111827"/>
                <w:sz w:val="19"/>
              </w:rPr>
              <w:t xml:space="preserve"> do agente</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Até </w:t>
            </w:r>
            <w:r>
              <w:rPr>
                <w:rFonts w:ascii="Arial" w:hAnsi="Arial"/>
                <w:b/>
                <w:i w:val="0"/>
                <w:color w:val="111827"/>
                <w:sz w:val="19"/>
              </w:rPr>
              <w:t>4 anos</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CRÍTICO DE PROVA FCC:</w:t>
            </w:r>
          </w:p>
          <w:p>
            <w:pPr>
              <w:spacing w:line="288" w:lineRule="auto" w:before="40" w:after="40"/>
            </w:pPr>
            <w:r>
              <w:rPr>
                <w:rFonts w:ascii="Arial" w:hAnsi="Arial"/>
                <w:b w:val="0"/>
                <w:i w:val="0"/>
                <w:color w:val="111827"/>
                <w:sz w:val="21"/>
              </w:rPr>
              <w:t xml:space="preserve">A eliminação das penas de perda da função pública e suspensão dos direitos políticos no </w:t>
            </w:r>
            <w:r>
              <w:rPr>
                <w:rFonts w:ascii="Arial" w:hAnsi="Arial"/>
                <w:b/>
                <w:i w:val="0"/>
                <w:color w:val="111827"/>
                <w:sz w:val="21"/>
              </w:rPr>
              <w:t>artigo 11</w:t>
            </w:r>
            <w:r>
              <w:rPr>
                <w:rFonts w:ascii="Arial" w:hAnsi="Arial"/>
                <w:b w:val="0"/>
                <w:i w:val="0"/>
                <w:color w:val="111827"/>
                <w:sz w:val="21"/>
              </w:rPr>
              <w:t xml:space="preserve"> é uma das novidades mais exploradas pela FCC. O candidato desatualizado marca que houve perda de cargo por atentado a princípios, errando a questão. Para o art. 11 subsistem apenas a </w:t>
            </w:r>
            <w:r>
              <w:rPr>
                <w:rFonts w:ascii="Arial" w:hAnsi="Arial"/>
                <w:b/>
                <w:i w:val="0"/>
                <w:color w:val="111827"/>
                <w:sz w:val="21"/>
              </w:rPr>
              <w:t>multa civil de até 24 remunerações</w:t>
            </w:r>
            <w:r>
              <w:rPr>
                <w:rFonts w:ascii="Arial" w:hAnsi="Arial"/>
                <w:b w:val="0"/>
                <w:i w:val="0"/>
                <w:color w:val="111827"/>
                <w:sz w:val="21"/>
              </w:rPr>
              <w:t xml:space="preserve"> e a </w:t>
            </w:r>
            <w:r>
              <w:rPr>
                <w:rFonts w:ascii="Arial" w:hAnsi="Arial"/>
                <w:b/>
                <w:i w:val="0"/>
                <w:color w:val="111827"/>
                <w:sz w:val="21"/>
              </w:rPr>
              <w:t>proibição de contratar por até 4 anos</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5.5 Regime Prescricional Geral e Intercorrente (Art. 23 da LIA)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Prazo Prescricional Unificado:</w:t>
      </w:r>
      <w:r>
        <w:rPr>
          <w:rFonts w:ascii="Arial" w:hAnsi="Arial"/>
          <w:b w:val="0"/>
          <w:i w:val="0"/>
          <w:color w:val="111827"/>
          <w:sz w:val="22"/>
        </w:rPr>
        <w:t xml:space="preserve"> A ação para a aplicação das sanções da LIA prescreve em </w:t>
      </w:r>
      <w:r>
        <w:rPr>
          <w:rFonts w:ascii="Arial" w:hAnsi="Arial"/>
          <w:b/>
          <w:i w:val="0"/>
          <w:color w:val="111827"/>
          <w:sz w:val="22"/>
        </w:rPr>
        <w:t>8 (oito) anos</w:t>
      </w:r>
      <w:r>
        <w:rPr>
          <w:rFonts w:ascii="Arial" w:hAnsi="Arial"/>
          <w:b w:val="0"/>
          <w:i w:val="0"/>
          <w:color w:val="111827"/>
          <w:sz w:val="22"/>
        </w:rPr>
        <w:t>, contados a partir da data da ocorrência do fato ou, no caso de infrações permanentes, do dia em que cessou a permanência.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Prescrição Intercorrente (Art. 23, § 4º a § 8º):</w:t>
      </w:r>
      <w:r>
        <w:rPr>
          <w:rFonts w:ascii="Arial" w:hAnsi="Arial"/>
          <w:b w:val="0"/>
          <w:i w:val="0"/>
          <w:color w:val="111827"/>
          <w:sz w:val="22"/>
        </w:rPr>
        <w:t xml:space="preserve"> A instauração do inquérito civil ou da ação judicial interrompe a prescrição. Uma vez interrompida com o ajuizamento da ação, o prazo recomeça a correr pela metade: prescreve a pretensão se o processo judicial ficar paralisado por mais de </w:t>
      </w:r>
      <w:r>
        <w:rPr>
          <w:rFonts w:ascii="Arial" w:hAnsi="Arial"/>
          <w:b/>
          <w:i w:val="0"/>
          <w:color w:val="111827"/>
          <w:sz w:val="22"/>
        </w:rPr>
        <w:t>4 (quatro) anos</w:t>
      </w:r>
      <w:r>
        <w:rPr>
          <w:rFonts w:ascii="Arial" w:hAnsi="Arial"/>
          <w:b w:val="0"/>
          <w:i w:val="0"/>
          <w:color w:val="111827"/>
          <w:sz w:val="22"/>
        </w:rPr>
        <w:t xml:space="preserve"> entre marcos interruptivos (como publicação de sentenças ou acórdãos condenatórios).</w:t>
      </w:r>
    </w:p>
    <w:p>
      <w:pPr>
        <w:keepNext/>
        <w:spacing w:before="280" w:after="120"/>
      </w:pPr>
      <w:r>
        <w:rPr>
          <w:rFonts w:ascii="Arial" w:hAnsi="Arial"/>
          <w:b/>
          <w:i w:val="0"/>
          <w:color w:val="2C5282"/>
          <w:sz w:val="28"/>
        </w:rPr>
        <w:t>6.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8.429/1992 - Lei de Improbidade Administrativa</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Texto oficial compilado com as profundas alterações introduzidas pela Lei nº 14.230/2021.</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STF - Tema 1.199 da Repercussão Geral (Acórdão do RE 1.205.746)</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Julgamento histórico do STF que confirmou a extinção da improbidade culposa e definiu a retroatividade processual do dolo.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Federal de 1988 - Arts. 70 a 75 e Art. 37, § 4º</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Regramento constitucional do controle externo e das sanções políticas de improbidade administrativa.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4.717/1965 (Lei da Ação Popular)</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Estatuto da ação constitucional privativa do cidadão para defesa da moralidade e do patrimônio público.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7.347/1985 (Lei da Ação Civil Pública)</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Marco legal da tutela coletiva do patrimônio público e da probidade administrativa pelo Ministério Público.</w:t>
      </w:r>
    </w:p>
    <w:p>
      <w:pPr>
        <w:keepNext/>
        <w:spacing w:before="280" w:after="120"/>
      </w:pPr>
      <w:r>
        <w:rPr>
          <w:rFonts w:ascii="Arial" w:hAnsi="Arial"/>
          <w:b/>
          <w:i w:val="0"/>
          <w:color w:val="2C5282"/>
          <w:sz w:val="28"/>
        </w:rPr>
        <w:t>7. Questões Comentadas &amp; Exemplos (Padrão FCC)</w:t>
      </w:r>
    </w:p>
    <w:p>
      <w:pPr>
        <w:keepNext/>
        <w:spacing w:before="200" w:after="80"/>
      </w:pPr>
      <w:r>
        <w:rPr>
          <w:rFonts w:ascii="Arial" w:hAnsi="Arial"/>
          <w:b/>
          <w:i w:val="0"/>
          <w:color w:val="2B6CB0"/>
          <w:sz w:val="24"/>
        </w:rPr>
        <w:t>Questão 1 (FCC - Analista de Controle Externo / Adaptada TCE-GO)</w:t>
      </w:r>
    </w:p>
    <w:p>
      <w:pPr>
        <w:spacing w:line="360" w:lineRule="auto" w:before="0" w:after="80"/>
        <w:jc w:val="both"/>
      </w:pPr>
      <w:r>
        <w:rPr>
          <w:rFonts w:ascii="Arial" w:hAnsi="Arial"/>
          <w:b w:val="0"/>
          <w:i w:val="0"/>
          <w:color w:val="111827"/>
          <w:sz w:val="24"/>
        </w:rPr>
        <w:t>O Secretário Municipal de Saúde de determinado município goiano determinou a remoção ex officio de um enfermeiro concursado e estável para um posto de saúde isolado na zona rural. No ato formal de remoção, a autoridade consignou como motivação expressa a "premente necessidade de suprir grave carência de profissionais de enfermagem na referida unidade rural". O servidor ajuizou mandado de segurança perante o Poder Judiciário, instruído com certidões oficiais comprovando que o posto de saúde rural contava com equipe completa de enfermeiros sem demanda excedente, e que a remoção fora motivada por retaliação pessoal em razão de denúncia protocolada pelo enfermeiro no Conselho Regional.</w:t>
      </w:r>
    </w:p>
    <w:p>
      <w:pPr>
        <w:spacing w:line="360" w:lineRule="auto" w:before="0" w:after="80"/>
        <w:jc w:val="both"/>
      </w:pPr>
      <w:r>
        <w:rPr>
          <w:rFonts w:ascii="Arial" w:hAnsi="Arial"/>
          <w:b w:val="0"/>
          <w:i w:val="0"/>
          <w:color w:val="111827"/>
          <w:sz w:val="24"/>
        </w:rPr>
        <w:t>Diante do controle jurisdicional dos atos administrativos e da Teoria dos Motivos Determinantes: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ato de remoção é imune a qualquer controle jurisdicional, por consubstanciar exercício de mérito administrativo privativo do Poder Executivo municipal.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Poder Judiciário deve decretar a anulação do ato de remoção, pois a comprovação da falsidade do motivo determinante contamina o ato com vício insanável de legalidade (desvio de finalidade).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Caberia ao Poder Judiciário unicamente revogar o ato de remoção a partir do trânsito em julgado da sentença com efeitos meramente prospectivos.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Judiciário deve convalidar o ato e fixar uma nova justificativa substitutiva condizente com a conveniência do município.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falsidade do motivo alegado não gera nulidade caso a autoridade possuísse competência formal para assinar a portaria de remoção.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mérito administrativo não autoriza perseguição pessoal, retaliação nem encobre fraudes a princípios da moralidade e impessoalidade.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a </w:t>
            </w:r>
            <w:r>
              <w:rPr>
                <w:rFonts w:ascii="Arial" w:hAnsi="Arial"/>
                <w:b/>
                <w:i w:val="0"/>
                <w:color w:val="111827"/>
                <w:sz w:val="21"/>
              </w:rPr>
              <w:t>Teoria dos Motivos Determinantes</w:t>
            </w:r>
            <w:r>
              <w:rPr>
                <w:rFonts w:ascii="Arial" w:hAnsi="Arial"/>
                <w:b w:val="0"/>
                <w:i w:val="0"/>
                <w:color w:val="111827"/>
                <w:sz w:val="21"/>
              </w:rPr>
              <w:t xml:space="preserve">, a validade do ato administrativo fica irrevogavelmente vinculada à veracidade e consistência jurídica dos motivos fáticos declarados pela autoridade. Demonstrado perante o Judiciário que o motivo declarado no ato (carência de enfermeiros na zona rural) era cabalmente falso e que a verdadeira finalidade era a vingança pessoal contra o servidor, o ato padece de </w:t>
            </w:r>
            <w:r>
              <w:rPr>
                <w:rFonts w:ascii="Arial" w:hAnsi="Arial"/>
                <w:b/>
                <w:i w:val="0"/>
                <w:color w:val="111827"/>
                <w:sz w:val="21"/>
              </w:rPr>
              <w:t>vício de motivo</w:t>
            </w:r>
            <w:r>
              <w:rPr>
                <w:rFonts w:ascii="Arial" w:hAnsi="Arial"/>
                <w:b w:val="0"/>
                <w:i w:val="0"/>
                <w:color w:val="111827"/>
                <w:sz w:val="21"/>
              </w:rPr>
              <w:t xml:space="preserve"> e de </w:t>
            </w:r>
            <w:r>
              <w:rPr>
                <w:rFonts w:ascii="Arial" w:hAnsi="Arial"/>
                <w:b/>
                <w:i w:val="0"/>
                <w:color w:val="111827"/>
                <w:sz w:val="21"/>
              </w:rPr>
              <w:t>desvio de finalidade (ou de poder)</w:t>
            </w:r>
            <w:r>
              <w:rPr>
                <w:rFonts w:ascii="Arial" w:hAnsi="Arial"/>
                <w:b w:val="0"/>
                <w:i w:val="0"/>
                <w:color w:val="111827"/>
                <w:sz w:val="21"/>
              </w:rPr>
              <w:t xml:space="preserve">. O exame da veracidade fática dos motivos integra o </w:t>
            </w:r>
            <w:r>
              <w:rPr>
                <w:rFonts w:ascii="Arial" w:hAnsi="Arial"/>
                <w:b/>
                <w:i w:val="0"/>
                <w:color w:val="111827"/>
                <w:sz w:val="21"/>
              </w:rPr>
              <w:t>controle estrito de legalidade e moralidade</w:t>
            </w:r>
            <w:r>
              <w:rPr>
                <w:rFonts w:ascii="Arial" w:hAnsi="Arial"/>
                <w:b w:val="0"/>
                <w:i w:val="0"/>
                <w:color w:val="111827"/>
                <w:sz w:val="21"/>
              </w:rPr>
              <w:t xml:space="preserve">, devendo o Judiciário decretar a </w:t>
            </w:r>
            <w:r>
              <w:rPr>
                <w:rFonts w:ascii="Arial" w:hAnsi="Arial"/>
                <w:b/>
                <w:i w:val="0"/>
                <w:color w:val="111827"/>
                <w:sz w:val="21"/>
              </w:rPr>
              <w:t>anulação</w:t>
            </w:r>
            <w:r>
              <w:rPr>
                <w:rFonts w:ascii="Arial" w:hAnsi="Arial"/>
                <w:b w:val="0"/>
                <w:i w:val="0"/>
                <w:color w:val="111827"/>
                <w:sz w:val="21"/>
              </w:rPr>
              <w:t xml:space="preserve"> do ato com efeitos retroativos (</w:t>
            </w:r>
            <w:r>
              <w:rPr>
                <w:rFonts w:ascii="Arial" w:hAnsi="Arial"/>
                <w:b w:val="0"/>
                <w:i/>
                <w:color w:val="111827"/>
                <w:sz w:val="21"/>
              </w:rPr>
              <w:t>ex tunc</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Judiciário não pode revogar atos administrativos do Poder Executivo por critérios de mérito; sua atuação jurisdicional restringe-se à anulação de atos eivados de ilegalidade.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vício de finalidade é vício de nulidade absoluta e insanável, sendo vedada sua convalidação ou substituição judicial de motivos.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competência do agente não convalida a ilicitude do motivo e o desvio de poder.</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Auditor de Controle Externo / Adaptada)</w:t>
      </w:r>
    </w:p>
    <w:p>
      <w:pPr>
        <w:spacing w:line="360" w:lineRule="auto" w:before="0" w:after="80"/>
        <w:jc w:val="both"/>
      </w:pPr>
      <w:r>
        <w:rPr>
          <w:rFonts w:ascii="Arial" w:hAnsi="Arial"/>
          <w:b w:val="0"/>
          <w:i w:val="0"/>
          <w:color w:val="111827"/>
          <w:sz w:val="24"/>
        </w:rPr>
        <w:t>Durante procedimento licitatório no âmbito de uma autarquia estadual, o Diretor de Suprimentos autorizou a liquidação e o pagamento adiantado de faturas referentes a bens de consumo que não foram entregues pelo fornecedor, causando dano patrimonial efetivo ao erário estadual de R$ 300.000,00. Ficou categoricamente comprovado nos autos da ação que o Diretor agiu com negligência crassa e inobservância de normas básicas de conferência documental, mas sem conluio, sem percepção de propina e sem intenção deliberada (dolo) de causar o prejuízo.</w:t>
      </w:r>
    </w:p>
    <w:p>
      <w:pPr>
        <w:spacing w:line="360" w:lineRule="auto" w:before="0" w:after="80"/>
        <w:jc w:val="both"/>
      </w:pPr>
      <w:r>
        <w:rPr>
          <w:rFonts w:ascii="Arial" w:hAnsi="Arial"/>
          <w:b w:val="0"/>
          <w:i w:val="0"/>
          <w:color w:val="111827"/>
          <w:sz w:val="24"/>
        </w:rPr>
        <w:t xml:space="preserve">À luz da Lei Federal nº 8.429/1992 com a redação conferida pela Lei Federal nº 14.230/2021 e da tese firmada pelo Supremo Tribunal Federal no </w:t>
      </w:r>
      <w:r>
        <w:rPr>
          <w:rFonts w:ascii="Arial" w:hAnsi="Arial"/>
          <w:b/>
          <w:i w:val="0"/>
          <w:color w:val="111827"/>
          <w:sz w:val="24"/>
        </w:rPr>
        <w:t>Tema 1.199</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Diretor responderá por ato de improbidade administrativa causador de prejuízo ao erário (art. 10), cuja modalidade culposa permanece em pleno vigor no ordenamento jurídico pátrio.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conduta do agente é atípica na esfera da Lei de Improbidade Administrativa, em razão da revogação da modalidade culposa e da exigência indispensável de dolo específico para a caracterização de atos de improbidade.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Diretor responderá automaticamente por violação aos princípios administrativos (art. 11), para o qual a lei admite condenação por culpa grave inescusável.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ausência de dolo isenta o Diretor de qualquer dever de ressarcimento do dano civilmente e de qualquer penalidade disciplinar interna.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nova Lei de Improbidade Administrativa aplica-se apenas aos atos que resultem em enriquecimento ilícito pessoal do agente público.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Lei Federal nº 14.230/2021 revogou a modalidade culposa que existia no art. 10 da Lei nº 8.429/1992.</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Lei nº 14.230/2021 extirpou a modalidade culposa do sistema de improbidade administrativa brasileiro. Conforme tese fixada pelo STF no Tema 1.199 da Repercussão Geral, para todas as espécies de atos de improbidade (arts. 9º, 10 e 11) é indispensável a comprovação do </w:t>
            </w:r>
            <w:r>
              <w:rPr>
                <w:rFonts w:ascii="Arial" w:hAnsi="Arial"/>
                <w:b/>
                <w:i w:val="0"/>
                <w:color w:val="111827"/>
                <w:sz w:val="21"/>
              </w:rPr>
              <w:t>dolo específico</w:t>
            </w:r>
            <w:r>
              <w:rPr>
                <w:rFonts w:ascii="Arial" w:hAnsi="Arial"/>
                <w:b w:val="0"/>
                <w:i w:val="0"/>
                <w:color w:val="111827"/>
                <w:sz w:val="21"/>
              </w:rPr>
              <w:t xml:space="preserve"> (vontade livre e consciente de alcançar o resultado ilícito tipificado na lei). A negligência crassa ou culpa grave não configuram improbidade, tornando a conduta do Diretor </w:t>
            </w:r>
            <w:r>
              <w:rPr>
                <w:rFonts w:ascii="Arial" w:hAnsi="Arial"/>
                <w:b/>
                <w:i w:val="0"/>
                <w:color w:val="111827"/>
                <w:sz w:val="21"/>
              </w:rPr>
              <w:t>atípica perante a LIA</w:t>
            </w:r>
            <w:r>
              <w:rPr>
                <w:rFonts w:ascii="Arial" w:hAnsi="Arial"/>
                <w:b w:val="0"/>
                <w:i w:val="0"/>
                <w:color w:val="111827"/>
                <w:sz w:val="21"/>
              </w:rPr>
              <w:t xml:space="preserve"> (sem prejuízo de responder administrativamente perante a corregedoria e civilmente em ação de reparação de danos).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art. 11 possui rol taxativo e também exige dolo específico, não admitindo modalidade culposa.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atipicidade perante a LIA não afasta a obrigação civil comum de ressarcimento do erário nem a aplicação de sanções em processo administrativo disciplinar (PAD).</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LIA continua punindo atos de prejuízo ao erário e de atentado a princípios, desde que cometidos com dolo específico.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Procurador do Estado / Adaptada)</w:t>
      </w:r>
    </w:p>
    <w:p>
      <w:pPr>
        <w:spacing w:line="360" w:lineRule="auto" w:before="0" w:after="80"/>
        <w:jc w:val="both"/>
      </w:pPr>
      <w:r>
        <w:rPr>
          <w:rFonts w:ascii="Arial" w:hAnsi="Arial"/>
          <w:b w:val="0"/>
          <w:i w:val="0"/>
          <w:color w:val="111827"/>
          <w:sz w:val="24"/>
        </w:rPr>
        <w:t>Determinada autoridade estadual foi condenada judicialmente em ação de improbidade administrativa transitada em julgado com base estrita no art. 11 da Lei nº 8.429/1992, por ter violado o dever de imparcialidade e sigilo funcional ao divulgar trecho de documento reservado antes da respectiva publicação oficial.</w:t>
      </w:r>
    </w:p>
    <w:p>
      <w:pPr>
        <w:spacing w:line="360" w:lineRule="auto" w:before="0" w:after="80"/>
        <w:jc w:val="both"/>
      </w:pPr>
      <w:r>
        <w:rPr>
          <w:rFonts w:ascii="Arial" w:hAnsi="Arial"/>
          <w:b w:val="0"/>
          <w:i w:val="0"/>
          <w:color w:val="111827"/>
          <w:sz w:val="24"/>
        </w:rPr>
        <w:t>Em conformidade com o novo regime sancionatório estabelecido pela Lei Federal nº 14.230/2021 para os atos que atentam contra os princípios da Administração Pública (art. 11):</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autoridade está sujeita cumulativamente à perda da função pública e à suspensão dos direitos políticos por até oito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juízo competente poderá aplicar apenas as sanções de pagamento de multa civil de até 24 vezes o valor da remuneração e proibição de contratar com o poder público pelo prazo de até 4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sanções cominadas ao art. 11 são idênticas àquelas cominadas para os atos de enriquecimento ilícito do art. 9º.</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condenação por violação a princípios acarreta a indisponibilidade automática de todos os bens pessoais do agente condenado.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penalidade de cassação de aposentadoria é de imposição obrigatória e imediata em qualquer condenação do art. 11.</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Lei nº 14.230/2021 revogou as penalidades de perda da função pública e de suspensão de direitos políticos para as condenações fundamentadas exclusivamente no art. 11.</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a nova redação do art. 12, inciso III, da Lei nº 8.429/1992 (dada pela Lei nº 14.230/2021), as únicas sanções cominadas para a prática de atos de improbidade que atentam contra os princípios da Administração Pública (art. 11) são:</w:t>
            </w:r>
          </w:p>
          <w:p>
            <w:pPr>
              <w:spacing w:line="288" w:lineRule="auto" w:before="40" w:after="40"/>
            </w:pPr>
            <w:r>
              <w:rPr>
                <w:rFonts w:ascii="Arial" w:hAnsi="Arial"/>
                <w:b w:val="0"/>
                <w:i w:val="0"/>
                <w:color w:val="111827"/>
                <w:sz w:val="21"/>
              </w:rPr>
              <w:t xml:space="preserve">1. </w:t>
            </w:r>
            <w:r>
              <w:rPr>
                <w:rFonts w:ascii="Arial" w:hAnsi="Arial"/>
                <w:b/>
                <w:i w:val="0"/>
                <w:color w:val="111827"/>
                <w:sz w:val="21"/>
              </w:rPr>
              <w:t>Pagamento de multa civil de até 24 vezes o valor da remuneração</w:t>
            </w:r>
            <w:r>
              <w:rPr>
                <w:rFonts w:ascii="Arial" w:hAnsi="Arial"/>
                <w:b w:val="0"/>
                <w:i w:val="0"/>
                <w:color w:val="111827"/>
                <w:sz w:val="21"/>
              </w:rPr>
              <w:t xml:space="preserve"> percebida pelo agente; e</w:t>
            </w:r>
          </w:p>
          <w:p>
            <w:pPr>
              <w:spacing w:line="288" w:lineRule="auto" w:before="40" w:after="40"/>
            </w:pPr>
            <w:r>
              <w:rPr>
                <w:rFonts w:ascii="Arial" w:hAnsi="Arial"/>
                <w:b w:val="0"/>
                <w:i w:val="0"/>
                <w:color w:val="111827"/>
                <w:sz w:val="21"/>
              </w:rPr>
              <w:t xml:space="preserve">2. </w:t>
            </w:r>
            <w:r>
              <w:rPr>
                <w:rFonts w:ascii="Arial" w:hAnsi="Arial"/>
                <w:b/>
                <w:i w:val="0"/>
                <w:color w:val="111827"/>
                <w:sz w:val="21"/>
              </w:rPr>
              <w:t>Proibição de contratar com o poder público</w:t>
            </w:r>
            <w:r>
              <w:rPr>
                <w:rFonts w:ascii="Arial" w:hAnsi="Arial"/>
                <w:b w:val="0"/>
                <w:i w:val="0"/>
                <w:color w:val="111827"/>
                <w:sz w:val="21"/>
              </w:rPr>
              <w:t xml:space="preserve"> ou de receber benefícios ou incentivos fiscais/creditícios pelo prazo não superior a </w:t>
            </w:r>
            <w:r>
              <w:rPr>
                <w:rFonts w:ascii="Arial" w:hAnsi="Arial"/>
                <w:b/>
                <w:i w:val="0"/>
                <w:color w:val="111827"/>
                <w:sz w:val="21"/>
              </w:rPr>
              <w:t>4 (quatro) anos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art. 9º traz cominações muito mais drásticas, incluindo perda de bens ilícitos, perda de função pública e suspensão de direitos políticos até 14 anos.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indisponibilidade de bens no novo regime exige perigo de dano e estimativa de reparação patrimonial, não incidindo genericamente no art. 11.</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Não existe penalidade de cassação de aposentadoria para o art. 11.</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Técnico de Controle Externo / Administrativa)</w:t>
      </w:r>
    </w:p>
    <w:p>
      <w:pPr>
        <w:spacing w:line="360" w:lineRule="auto" w:before="0" w:after="80"/>
        <w:jc w:val="both"/>
      </w:pPr>
      <w:r>
        <w:rPr>
          <w:rFonts w:ascii="Arial" w:hAnsi="Arial"/>
          <w:b w:val="0"/>
          <w:i w:val="0"/>
          <w:color w:val="111827"/>
          <w:sz w:val="24"/>
        </w:rPr>
        <w:t>No âmbito da sistemática de fiscalização dos atos estatais, o acompanhamento em tempo real realizado pelos auditores do Tribunal de Contas sobre a execução das despesas orçamentárias e as vistorias in loco realizadas em canteiros de obras durante a construção de uma rodovia estadual qualificam-se, quanto à origem e quanto ao momento do controle, respectivamente, como: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Controle interno e controle prévio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Controle externo e controle concomitante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Controle interno e controle posterior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Controle externo e controle prévio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Controle jurisdicional e controle repressivo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fiscalização exercida pelo Tribunal de Contas decorre de órgão autônomo externo em auxílio ao Legislativo (controle externo), e a fiscalização durante o andamento da obra não é controle prévio.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Classificação estrita quanto aos critérios fundamentais de controle: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Quanto à Origem:</w:t>
            </w:r>
            <w:r>
              <w:rPr>
                <w:rFonts w:ascii="Arial" w:hAnsi="Arial"/>
                <w:b w:val="0"/>
                <w:i w:val="0"/>
                <w:color w:val="111827"/>
                <w:sz w:val="21"/>
              </w:rPr>
              <w:t xml:space="preserve"> Trata-se de </w:t>
            </w:r>
            <w:r>
              <w:rPr>
                <w:rFonts w:ascii="Arial" w:hAnsi="Arial"/>
                <w:b/>
                <w:i w:val="0"/>
                <w:color w:val="111827"/>
                <w:sz w:val="21"/>
              </w:rPr>
              <w:t>controle externo</w:t>
            </w:r>
            <w:r>
              <w:rPr>
                <w:rFonts w:ascii="Arial" w:hAnsi="Arial"/>
                <w:b w:val="0"/>
                <w:i w:val="0"/>
                <w:color w:val="111827"/>
                <w:sz w:val="21"/>
              </w:rPr>
              <w:t>, pois é exercido pelo Tribunal de Contas (instituição externa integrante da estrutura do controle parlamentar do art. 71 da CF/88) fiscalizando órgãos do Poder Executivo estadual.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Quanto ao Momento:</w:t>
            </w:r>
            <w:r>
              <w:rPr>
                <w:rFonts w:ascii="Arial" w:hAnsi="Arial"/>
                <w:b w:val="0"/>
                <w:i w:val="0"/>
                <w:color w:val="111827"/>
                <w:sz w:val="21"/>
              </w:rPr>
              <w:t xml:space="preserve"> Trata-se de </w:t>
            </w:r>
            <w:r>
              <w:rPr>
                <w:rFonts w:ascii="Arial" w:hAnsi="Arial"/>
                <w:b/>
                <w:i w:val="0"/>
                <w:color w:val="111827"/>
                <w:sz w:val="21"/>
              </w:rPr>
              <w:t>controle concomitante</w:t>
            </w:r>
            <w:r>
              <w:rPr>
                <w:rFonts w:ascii="Arial" w:hAnsi="Arial"/>
                <w:b w:val="0"/>
                <w:i w:val="0"/>
                <w:color w:val="111827"/>
                <w:sz w:val="21"/>
              </w:rPr>
              <w:t>, haja vista que as inspeções e vistorias realizam-se em tempo real, no curso do processo de execução das despesas e das obras (</w:t>
            </w:r>
            <w:r>
              <w:rPr>
                <w:rFonts w:ascii="Arial" w:hAnsi="Arial"/>
                <w:b w:val="0"/>
                <w:i/>
                <w:color w:val="111827"/>
                <w:sz w:val="21"/>
              </w:rPr>
              <w:t>pari passu</w:t>
            </w:r>
            <w:r>
              <w:rPr>
                <w:rFonts w:ascii="Arial" w:hAnsi="Arial"/>
                <w:b w:val="0"/>
                <w:i w:val="0"/>
                <w:color w:val="111827"/>
                <w:sz w:val="21"/>
              </w:rPr>
              <w:t>), distinguindo-se do controle prévio (que analisa o edital antes da licitação) e do posterior (que julga a prestação de contas após o encerramento do exercício financeiro).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acompanhamento em tempo real não é controle posterior, tampouco interno.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fiscalização simultânea durante a execução não é prévia.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Tribunal de Contas não exerce jurisdição judicial em sentido estrito (função monopolizada pelo Poder Judiciário).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Analista Judiciário)</w:t>
      </w:r>
    </w:p>
    <w:p>
      <w:pPr>
        <w:spacing w:line="360" w:lineRule="auto" w:before="0" w:after="80"/>
        <w:jc w:val="both"/>
      </w:pPr>
      <w:r>
        <w:rPr>
          <w:rFonts w:ascii="Arial" w:hAnsi="Arial"/>
          <w:b w:val="0"/>
          <w:i w:val="0"/>
          <w:color w:val="111827"/>
          <w:sz w:val="24"/>
        </w:rPr>
        <w:t xml:space="preserve">Qualquer cidadão brasileiro no gozo de seus direitos políticos tem legitimidade ativa constitucional para propor </w:t>
      </w:r>
      <w:r>
        <w:rPr>
          <w:rFonts w:ascii="Arial" w:hAnsi="Arial"/>
          <w:b/>
          <w:i w:val="0"/>
          <w:color w:val="111827"/>
          <w:sz w:val="24"/>
        </w:rPr>
        <w:t>Ação Popular</w:t>
      </w:r>
      <w:r>
        <w:rPr>
          <w:rFonts w:ascii="Arial" w:hAnsi="Arial"/>
          <w:b w:val="0"/>
          <w:i w:val="0"/>
          <w:color w:val="111827"/>
          <w:sz w:val="24"/>
        </w:rPr>
        <w:t xml:space="preserve"> perante o Poder Judiciário visando à anulação de ato lesivo: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Exclusivamente ao patrimônio financeiro da União, sendo inadmissível o manejo da ação contra atos lesivos de municípios ou Estados.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Ao patrimônio público ou de entidade de que o Estado participe, à moralidade administrativa, ao meio ambiente e ao patrimônio histórico e cultural.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Aos direitos individuais homogêneos de consumidores bancários privados.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Exclusivamente a direitos patrimoniais de pessoas jurídicas de direito privado com fins lucrativos.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À honra subjetiva e intimidade pessoal de agentes públicos ocupantes de cargos políticos.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Ação Popular pode ser proposta contra atos lesivos praticados por qualquer esfera federativa: União, Estados, Distrito Federal ou Municípios, bem como suas respectivas entidades descentralizadas.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5º, inciso LXXIII, da Constituição da República de 1988 estabelece textualmente: </w:t>
            </w:r>
            <w:r>
              <w:rPr>
                <w:rFonts w:ascii="Arial" w:hAnsi="Arial"/>
                <w:b w:val="0"/>
                <w:i/>
                <w:color w:val="111827"/>
                <w:sz w:val="21"/>
              </w:rPr>
              <w:t>"qualquer cidadão é parte legítima para propor ação popular que vise a anular ato lesivo ao patrimônio público ou de entidade de que o Estado participe, à moralidade administrativa, ao meio ambiente e ao patrimônio histórico e cultural, ficando o autor, salvo comprovada má-fé, isento de custas judiciais e do ônus da sucumbência"</w:t>
            </w:r>
            <w:r>
              <w:rPr>
                <w:rFonts w:ascii="Arial" w:hAnsi="Arial"/>
                <w:b w:val="0"/>
                <w:i w:val="0"/>
                <w:color w:val="111827"/>
                <w:sz w:val="21"/>
              </w:rPr>
              <w:t>. O cidadão (eleitor munido de título eleitoral) atua na defesa extraordinária de bens coletivos difusos protegidos pela Carta Magna.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Direitos individuais de consumidores privados são tutelados mediante Ação Civil Pública ou ações de indenização civil individual, e não por Ação Popular.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objeto da ação popular é o patrimônio público e os valores republicanos coletivos, e não o interesse patrimonial privado de empresas comerciais.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ofensa a direitos da personalidade cabe unicamente ao titular ofendido em ação indenizatória de direito comum.</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06 - Acesso à Informação (LAI Federal e Estadual GO) e Serviços de Publicidade</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Direito Administrativo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06_acesso_a_informacao_e_contratos_publicidade.md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Direito de acesso à informação e transparência pública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Lei Federal nº 12.527/2011 (Lei de Acesso à Informação - LAI)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Lei Estadual de Goiás nº 18.025/2013 (Acesso à informação no âmbito do Estado de Goiás)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Transparência ativa vs. transparência passiva; Serviço de Informações ao Cidadão (SIC)</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Prazos, pedidos e recursos no procedimento de acesso à informação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Classificação de informações sigilosas: graus de sigilo (ultrassecreto, secreto e reservado), prazos e proteção a dados pessoais (100 anos)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Contratação de serviços de publicidade pela Administração Pública: Lei Federal nº 12.232/2010 e alterações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Julgamento por subcomissão técnica e vedação da modalidade pregão para serviços de criação publicitária</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Transparência Pública e Regime da Lei de Acesso à Informação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Diretrizes Fundamentais: A Publicidade como Regra Geral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Transparência Ativa e a Divulgação de Vencimentos (Tema 483 / STF)</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Transparência Passiva e a Vedação de Justificativa (Art. 10, § 3º)</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Prazos Procedimentais e Regime Recursal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Classificação de Informações Sigilosas e Proteção de Dados Pessoais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Graus de Sigilo e Prazos Máximos de Restrição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Competência Funcional para Classificação no Estado de Goiás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Proteção de Informações Pessoais (100 Anos)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Vedação Absoluta de Sigilo: Violações a Direitos Humanos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Licitações e Contratos de Serviços de Publicidade (Lei nº 12.232/2010)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Objeto Específico e a Vedação Categórica ao Pregão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Tipos Licitatórios Obrigatórios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A Subcomissão Técnica de Julgamento (Art. 10)</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Julgamento às Cegas e Proposta Técnica Desidentificada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Questões Comentadas &amp; Exemplos (Padrão FCC)</w:t>
      </w:r>
    </w:p>
    <w:p>
      <w:pPr>
        <w:keepNext/>
        <w:spacing w:before="280" w:after="120"/>
      </w:pPr>
      <w:r>
        <w:rPr>
          <w:rFonts w:ascii="Arial" w:hAnsi="Arial"/>
          <w:b/>
          <w:i w:val="0"/>
          <w:color w:val="2C5282"/>
          <w:sz w:val="28"/>
        </w:rPr>
        <w:t>1. Transparência Pública e Regime da Lei de Acesso à Informação</w:t>
      </w:r>
    </w:p>
    <w:p>
      <w:pPr>
        <w:spacing w:line="360" w:lineRule="auto" w:before="0" w:after="80"/>
        <w:jc w:val="both"/>
      </w:pPr>
      <w:r>
        <w:rPr>
          <w:rFonts w:ascii="Arial" w:hAnsi="Arial"/>
          <w:b w:val="0"/>
          <w:i w:val="0"/>
          <w:color w:val="111827"/>
          <w:sz w:val="24"/>
        </w:rPr>
        <w:t xml:space="preserve">O direito fundamental de acesso à informação pública, assegurado pelo art. 5º, inciso XXXIII, pelo art. 37, § 3º, II e pelo art. 216, § 2º da Constituição Federal, encontra-se disciplinado em âmbito nacional pela </w:t>
      </w:r>
      <w:r>
        <w:rPr>
          <w:rFonts w:ascii="Arial" w:hAnsi="Arial"/>
          <w:b/>
          <w:i w:val="0"/>
          <w:color w:val="111827"/>
          <w:sz w:val="24"/>
        </w:rPr>
        <w:t>Lei Federal nº 12.527/2011 (LAI)</w:t>
      </w:r>
      <w:r>
        <w:rPr>
          <w:rFonts w:ascii="Arial" w:hAnsi="Arial"/>
          <w:b w:val="0"/>
          <w:i w:val="0"/>
          <w:color w:val="111827"/>
          <w:sz w:val="24"/>
        </w:rPr>
        <w:t xml:space="preserve"> e, no âmbito estadual goiano, pela </w:t>
      </w:r>
      <w:r>
        <w:rPr>
          <w:rFonts w:ascii="Arial" w:hAnsi="Arial"/>
          <w:b/>
          <w:i w:val="0"/>
          <w:color w:val="111827"/>
          <w:sz w:val="24"/>
        </w:rPr>
        <w:t>Lei Estadual de Goiás nº 18.025/2013</w:t>
      </w:r>
      <w:r>
        <w:rPr>
          <w:rFonts w:ascii="Arial" w:hAnsi="Arial"/>
          <w:b w:val="0"/>
          <w:i w:val="0"/>
          <w:color w:val="111827"/>
          <w:sz w:val="24"/>
        </w:rPr>
        <w:t>, incidindo sobre todos os Poderes do Estado, incluindo o Tribunal de Contas do Estado de Goiás (TCE-GO).</w:t>
      </w:r>
    </w:p>
    <w:p>
      <w:pPr>
        <w:keepNext/>
        <w:spacing w:before="200" w:after="80"/>
      </w:pPr>
      <w:r>
        <w:rPr>
          <w:rFonts w:ascii="Arial" w:hAnsi="Arial"/>
          <w:b/>
          <w:i w:val="0"/>
          <w:color w:val="2B6CB0"/>
          <w:sz w:val="24"/>
        </w:rPr>
        <w:t>1.1 Diretrizes Fundamentais: A Publicidade como Regra Geral</w:t>
      </w:r>
    </w:p>
    <w:p>
      <w:pPr>
        <w:spacing w:line="360" w:lineRule="auto" w:before="0" w:after="80"/>
        <w:jc w:val="both"/>
      </w:pPr>
      <w:r>
        <w:rPr>
          <w:rFonts w:ascii="Arial" w:hAnsi="Arial"/>
          <w:b w:val="0"/>
          <w:i w:val="0"/>
          <w:color w:val="111827"/>
          <w:sz w:val="24"/>
        </w:rPr>
        <w:t>O regime democrático inverte a lógica tradicional do segredo de Estado, assentando os seguintes pilares cogentes: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Publicidade como Preceito Geral e Sigilo como Exceção:</w:t>
      </w:r>
      <w:r>
        <w:rPr>
          <w:rFonts w:ascii="Arial" w:hAnsi="Arial"/>
          <w:b w:val="0"/>
          <w:i w:val="0"/>
          <w:color w:val="111827"/>
          <w:sz w:val="22"/>
        </w:rPr>
        <w:t xml:space="preserve"> Toda informação sob a custódia do Estado é originariamente pública; a restrição de acesso somente é admitida em caráter temporário, fundamentado e em rol estrito de hipóteses legais;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Divulgação de Informações de Interesse Público Independentemente de Solicitações:</w:t>
      </w:r>
      <w:r>
        <w:rPr>
          <w:rFonts w:ascii="Arial" w:hAnsi="Arial"/>
          <w:b w:val="0"/>
          <w:i w:val="0"/>
          <w:color w:val="111827"/>
          <w:sz w:val="22"/>
        </w:rPr>
        <w:t xml:space="preserve"> Dever estatal de transparência proativa contínua;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Utilização de Meios de Comunicação Viabilizados pela Tecnologia:</w:t>
      </w:r>
      <w:r>
        <w:rPr>
          <w:rFonts w:ascii="Arial" w:hAnsi="Arial"/>
          <w:b w:val="0"/>
          <w:i w:val="0"/>
          <w:color w:val="111827"/>
          <w:sz w:val="22"/>
        </w:rPr>
        <w:t xml:space="preserve"> Disponibilização de portais na internet em formatos eletrônicos abertos e estruturados;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Fomento ao Controle Social da Administração Pública:</w:t>
      </w:r>
      <w:r>
        <w:rPr>
          <w:rFonts w:ascii="Arial" w:hAnsi="Arial"/>
          <w:b w:val="0"/>
          <w:i w:val="0"/>
          <w:color w:val="111827"/>
          <w:sz w:val="22"/>
        </w:rPr>
        <w:t xml:space="preserve"> Viabilização do escrutínio republicano pelo cidadão.</w:t>
      </w:r>
    </w:p>
    <w:p>
      <w:pPr>
        <w:spacing w:after="120"/>
      </w:pPr>
    </w:p>
    <w:p>
      <w:pPr>
        <w:keepNext/>
        <w:spacing w:before="200" w:after="80"/>
      </w:pPr>
      <w:r>
        <w:rPr>
          <w:rFonts w:ascii="Arial" w:hAnsi="Arial"/>
          <w:b/>
          <w:i w:val="0"/>
          <w:color w:val="2B6CB0"/>
          <w:sz w:val="24"/>
        </w:rPr>
        <w:t>1.2 Transparência Ativa e a Divulgação de Vencimentos (Tema 483 / STF)</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transparência ativa</w:t>
      </w:r>
      <w:r>
        <w:rPr>
          <w:rFonts w:ascii="Arial" w:hAnsi="Arial"/>
          <w:b w:val="0"/>
          <w:i w:val="0"/>
          <w:color w:val="111827"/>
          <w:sz w:val="24"/>
        </w:rPr>
        <w:t xml:space="preserve"> compreende o dever imposto aos órgãos públicos de veicular, em seus sítios oficiais na internet, independentemente de qualquer requerimento prévio de cidadãos, um rol mínimo de informações administrativas: estrutura organizacional, repasses financeiros, execução orçamentária detalhada, procedimentos licitatórios com editais e contratos na íntegra, relatórios de gestão fiscal e dados de auditoria externa.</w:t>
      </w:r>
    </w:p>
    <w:p>
      <w:pPr>
        <w:keepNext/>
        <w:spacing w:before="120" w:after="40"/>
      </w:pPr>
      <w:r>
        <w:rPr>
          <w:rFonts w:ascii="Arial" w:hAnsi="Arial"/>
          <w:b/>
          <w:i/>
          <w:color w:val="334155"/>
          <w:sz w:val="22"/>
        </w:rPr>
        <w:t>A Divulgação Nominal de Remuneração e o Tema 483 do STF:</w:t>
      </w:r>
    </w:p>
    <w:p>
      <w:pPr>
        <w:spacing w:line="360" w:lineRule="auto" w:before="0" w:after="80"/>
        <w:jc w:val="both"/>
      </w:pPr>
      <w:r>
        <w:rPr>
          <w:rFonts w:ascii="Arial" w:hAnsi="Arial"/>
          <w:b w:val="0"/>
          <w:i w:val="0"/>
          <w:color w:val="111827"/>
          <w:sz w:val="24"/>
        </w:rPr>
        <w:t xml:space="preserve">Uma das controvérsias mais relevantes decididas pelo Pretório Excelso refere-se à publicação dos salários de servidores públicos. No julgamento do </w:t>
      </w:r>
      <w:r>
        <w:rPr>
          <w:rFonts w:ascii="Arial" w:hAnsi="Arial"/>
          <w:b/>
          <w:i w:val="0"/>
          <w:color w:val="111827"/>
          <w:sz w:val="24"/>
        </w:rPr>
        <w:t>Tema 483 da Repercussão Geral (RE 652.777)</w:t>
      </w:r>
      <w:r>
        <w:rPr>
          <w:rFonts w:ascii="Arial" w:hAnsi="Arial"/>
          <w:b w:val="0"/>
          <w:i w:val="0"/>
          <w:color w:val="111827"/>
          <w:sz w:val="24"/>
        </w:rPr>
        <w:t>, o STF fixou a seguinte tese vinculante:</w:t>
      </w:r>
    </w:p>
    <w:p>
      <w:pPr>
        <w:spacing w:line="240" w:lineRule="auto" w:before="40" w:after="40"/>
        <w:ind w:left="2268"/>
      </w:pPr>
      <w:r>
        <w:rPr>
          <w:rFonts w:ascii="Arial" w:hAnsi="Arial"/>
          <w:b w:val="0"/>
          <w:i/>
          <w:color w:val="111827"/>
          <w:sz w:val="20"/>
        </w:rPr>
        <w:t>"É legítima a publicação, inclusive em sítio eletrônico mantido pela Administração Pública, dos nomes dos seus servidores e do valor dos correspondentes vencimentos e vantagens pecuniárias."</w:t>
      </w:r>
    </w:p>
    <w:p>
      <w:pPr>
        <w:spacing w:after="80"/>
      </w:pPr>
    </w:p>
    <w:p>
      <w:pPr>
        <w:spacing w:line="276" w:lineRule="auto" w:before="20" w:after="40"/>
        <w:ind w:left="425"/>
      </w:pPr>
      <w:r>
        <w:rPr>
          <w:rFonts w:ascii="Arial" w:hAnsi="Arial"/>
          <w:b/>
          <w:color w:val="2B6CB0"/>
          <w:sz w:val="22"/>
        </w:rPr>
        <w:t xml:space="preserve">• </w:t>
      </w:r>
      <w:r>
        <w:rPr>
          <w:rFonts w:ascii="Arial" w:hAnsi="Arial"/>
          <w:b/>
          <w:i w:val="0"/>
          <w:color w:val="111827"/>
          <w:sz w:val="22"/>
        </w:rPr>
        <w:t>Fundamento Constitucional:</w:t>
      </w:r>
      <w:r>
        <w:rPr>
          <w:rFonts w:ascii="Arial" w:hAnsi="Arial"/>
          <w:b w:val="0"/>
          <w:i w:val="0"/>
          <w:color w:val="111827"/>
          <w:sz w:val="22"/>
        </w:rPr>
        <w:t xml:space="preserve"> A remuneração do servidor decorre do exercício de função pública remunerada com recursos arrecadados de toda a sociedade. A publicidade nominal e individualizada atende aos princípios republicano e da moralidade administrativa, não configurando invasão ilícita na intimidade ou na vida privada dos agentes públicos.</w:t>
      </w:r>
    </w:p>
    <w:p>
      <w:pPr>
        <w:keepNext/>
        <w:spacing w:before="200" w:after="80"/>
      </w:pPr>
      <w:r>
        <w:rPr>
          <w:rFonts w:ascii="Arial" w:hAnsi="Arial"/>
          <w:b/>
          <w:i w:val="0"/>
          <w:color w:val="2B6CB0"/>
          <w:sz w:val="24"/>
        </w:rPr>
        <w:t>1.3 Transparência Passiva e a Vedação de Justificativa (Art. 10, § 3º)</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transparência passiva</w:t>
      </w:r>
      <w:r>
        <w:rPr>
          <w:rFonts w:ascii="Arial" w:hAnsi="Arial"/>
          <w:b w:val="0"/>
          <w:i w:val="0"/>
          <w:color w:val="111827"/>
          <w:sz w:val="24"/>
        </w:rPr>
        <w:t xml:space="preserve"> instrumentaliza o dever do poder público de responder a demandas específicas formuladas por qualquer interessado por meio do </w:t>
      </w:r>
      <w:r>
        <w:rPr>
          <w:rFonts w:ascii="Arial" w:hAnsi="Arial"/>
          <w:b/>
          <w:i w:val="0"/>
          <w:color w:val="111827"/>
          <w:sz w:val="24"/>
        </w:rPr>
        <w:t>Serviço de Informações ao Cidadão (SIC / e-SIC)</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REGRA DE OURO / ALERTA CRÍTICO FCC:</w:t>
            </w:r>
          </w:p>
          <w:p>
            <w:pPr>
              <w:spacing w:line="288" w:lineRule="auto" w:before="40" w:after="40"/>
            </w:pPr>
            <w:r>
              <w:rPr>
                <w:rFonts w:ascii="Arial" w:hAnsi="Arial"/>
                <w:b w:val="0"/>
                <w:i w:val="0"/>
                <w:color w:val="111827"/>
                <w:sz w:val="21"/>
              </w:rPr>
              <w:t>O art. 10, § 3º, da Lei Federal nº 12.527/2011 (reproduzido textualmente na Lei Estadual/GO nº 18.025/2013) estabelece expressamente:</w:t>
            </w:r>
          </w:p>
          <w:p>
            <w:pPr>
              <w:spacing w:line="288" w:lineRule="auto" w:before="40" w:after="40"/>
            </w:pPr>
            <w:r>
              <w:rPr>
                <w:rFonts w:ascii="Arial" w:hAnsi="Arial"/>
                <w:b/>
                <w:i w:val="0"/>
                <w:color w:val="111827"/>
                <w:sz w:val="21"/>
              </w:rPr>
              <w:t>"São vedadas quaisquer exigências relativas aos motivos determinantes da solicitação de informações de interesse público."</w:t>
            </w:r>
          </w:p>
          <w:p>
            <w:pPr>
              <w:spacing w:line="288" w:lineRule="auto" w:before="40" w:after="40"/>
            </w:pPr>
            <w:r>
              <w:rPr>
                <w:rFonts w:ascii="Arial" w:hAnsi="Arial"/>
                <w:b w:val="0"/>
                <w:i w:val="0"/>
                <w:color w:val="111827"/>
                <w:sz w:val="21"/>
              </w:rPr>
              <w:t xml:space="preserve">O cidadão não precisa demonstrar interesse pessoal, não precisa de representação por advogado e </w:t>
            </w:r>
            <w:r>
              <w:rPr>
                <w:rFonts w:ascii="Arial" w:hAnsi="Arial"/>
                <w:b/>
                <w:i w:val="0"/>
                <w:color w:val="111827"/>
                <w:sz w:val="21"/>
              </w:rPr>
              <w:t>não precisa justificar o porquê</w:t>
            </w:r>
            <w:r>
              <w:rPr>
                <w:rFonts w:ascii="Arial" w:hAnsi="Arial"/>
                <w:b w:val="0"/>
                <w:i w:val="0"/>
                <w:color w:val="111827"/>
                <w:sz w:val="21"/>
              </w:rPr>
              <w:t xml:space="preserve"> de estar solicitando a informação. Qualquer indeferimento administrativo fundado em "falta de legítimo interesse" ou "ausência de justificativa" é flagrantemente ilegal!</w:t>
            </w:r>
          </w:p>
        </w:tc>
      </w:tr>
    </w:tbl>
    <w:p>
      <w:pPr>
        <w:spacing w:before="0" w:after="120"/>
      </w:pPr>
    </w:p>
    <w:p>
      <w:pPr>
        <w:keepNext/>
        <w:spacing w:before="200" w:after="80"/>
      </w:pPr>
      <w:r>
        <w:rPr>
          <w:rFonts w:ascii="Arial" w:hAnsi="Arial"/>
          <w:b/>
          <w:i w:val="0"/>
          <w:color w:val="2B6CB0"/>
          <w:sz w:val="24"/>
        </w:rPr>
        <w:t>1.4 Prazos Procedimentais e Regime Recursal</w:t>
      </w:r>
    </w:p>
    <w:p>
      <w:pPr>
        <w:spacing w:line="360" w:lineRule="auto" w:before="0" w:after="80"/>
        <w:jc w:val="both"/>
      </w:pPr>
      <w:r>
        <w:rPr>
          <w:rFonts w:ascii="Arial" w:hAnsi="Arial"/>
          <w:b w:val="0"/>
          <w:i w:val="0"/>
          <w:color w:val="111827"/>
          <w:sz w:val="24"/>
        </w:rPr>
        <w:t>O procedimento de atendimento às solicitações de informação rege-se pelos seguintes parâmetros temporais estritos: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Acesso Imediato:</w:t>
      </w:r>
      <w:r>
        <w:rPr>
          <w:rFonts w:ascii="Arial" w:hAnsi="Arial"/>
          <w:b w:val="0"/>
          <w:i w:val="0"/>
          <w:color w:val="111827"/>
          <w:sz w:val="22"/>
        </w:rPr>
        <w:t xml:space="preserve"> Se a informação solicitada estiver disponível de pronto, o órgão deve franqueá-la de imediato ao requerente.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Prazo Ordinário:</w:t>
      </w:r>
      <w:r>
        <w:rPr>
          <w:rFonts w:ascii="Arial" w:hAnsi="Arial"/>
          <w:b w:val="0"/>
          <w:i w:val="0"/>
          <w:color w:val="111827"/>
          <w:sz w:val="22"/>
        </w:rPr>
        <w:t xml:space="preserve"> Não sendo possível o acesso imediato, o órgão tem até </w:t>
      </w:r>
      <w:r>
        <w:rPr>
          <w:rFonts w:ascii="Arial" w:hAnsi="Arial"/>
          <w:b/>
          <w:i w:val="0"/>
          <w:color w:val="111827"/>
          <w:sz w:val="22"/>
        </w:rPr>
        <w:t>20 (vinte) dias</w:t>
      </w:r>
      <w:r>
        <w:rPr>
          <w:rFonts w:ascii="Arial" w:hAnsi="Arial"/>
          <w:b w:val="0"/>
          <w:i w:val="0"/>
          <w:color w:val="111827"/>
          <w:sz w:val="22"/>
        </w:rPr>
        <w:t xml:space="preserve"> para prestar a informação, indicar que não possui a informação (apontando, se souber, o órgão correto) ou comunicar a recusa fundamentada de sigilo.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Prorrogação Justificada:</w:t>
      </w:r>
      <w:r>
        <w:rPr>
          <w:rFonts w:ascii="Arial" w:hAnsi="Arial"/>
          <w:b w:val="0"/>
          <w:i w:val="0"/>
          <w:color w:val="111827"/>
          <w:sz w:val="22"/>
        </w:rPr>
        <w:t xml:space="preserve"> O prazo de 20 dias pode ser prorrogado por mais </w:t>
      </w:r>
      <w:r>
        <w:rPr>
          <w:rFonts w:ascii="Arial" w:hAnsi="Arial"/>
          <w:b/>
          <w:i w:val="0"/>
          <w:color w:val="111827"/>
          <w:sz w:val="22"/>
        </w:rPr>
        <w:t>10 (dez) dias</w:t>
      </w:r>
      <w:r>
        <w:rPr>
          <w:rFonts w:ascii="Arial" w:hAnsi="Arial"/>
          <w:b w:val="0"/>
          <w:i w:val="0"/>
          <w:color w:val="111827"/>
          <w:sz w:val="22"/>
        </w:rPr>
        <w:t xml:space="preserve"> (totalizando até 30 dias), desde que haja </w:t>
      </w:r>
      <w:r>
        <w:rPr>
          <w:rFonts w:ascii="Arial" w:hAnsi="Arial"/>
          <w:b/>
          <w:i w:val="0"/>
          <w:color w:val="111827"/>
          <w:sz w:val="22"/>
        </w:rPr>
        <w:t>justificativa expressa prévia</w:t>
      </w:r>
      <w:r>
        <w:rPr>
          <w:rFonts w:ascii="Arial" w:hAnsi="Arial"/>
          <w:b w:val="0"/>
          <w:i w:val="0"/>
          <w:color w:val="111827"/>
          <w:sz w:val="22"/>
        </w:rPr>
        <w:t xml:space="preserve"> comunicada formalmente ao cidadão antes do vencimento do prazo originário.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Recursos Administrativos:</w:t>
      </w:r>
      <w:r>
        <w:rPr>
          <w:rFonts w:ascii="Arial" w:hAnsi="Arial"/>
          <w:b w:val="0"/>
          <w:i w:val="0"/>
          <w:color w:val="111827"/>
          <w:sz w:val="22"/>
        </w:rPr>
        <w:t xml:space="preserve"> No caso de indeferimento de acesso ou de omissão de resposta, o interessado pode interpor recurso administrativo no prazo de </w:t>
      </w:r>
      <w:r>
        <w:rPr>
          <w:rFonts w:ascii="Arial" w:hAnsi="Arial"/>
          <w:b/>
          <w:i w:val="0"/>
          <w:color w:val="111827"/>
          <w:sz w:val="22"/>
        </w:rPr>
        <w:t>10 (dez) dias</w:t>
      </w:r>
      <w:r>
        <w:rPr>
          <w:rFonts w:ascii="Arial" w:hAnsi="Arial"/>
          <w:b w:val="0"/>
          <w:i w:val="0"/>
          <w:color w:val="111827"/>
          <w:sz w:val="22"/>
        </w:rPr>
        <w:t xml:space="preserve"> a contar da ciência da decisão, dirigido à autoridade hierarquicamente superior à que negou a informação, que terá o prazo de 5 (cinco) dias para deliberar.</w:t>
      </w:r>
    </w:p>
    <w:p>
      <w:pPr>
        <w:keepNext/>
        <w:spacing w:before="280" w:after="120"/>
      </w:pPr>
      <w:r>
        <w:rPr>
          <w:rFonts w:ascii="Arial" w:hAnsi="Arial"/>
          <w:b/>
          <w:i w:val="0"/>
          <w:color w:val="2C5282"/>
          <w:sz w:val="28"/>
        </w:rPr>
        <w:t>2. Classificação de Informações Sigilosas e Proteção de Dados Pessoais</w:t>
      </w:r>
    </w:p>
    <w:p>
      <w:pPr>
        <w:spacing w:line="360" w:lineRule="auto" w:before="0" w:after="80"/>
        <w:jc w:val="both"/>
      </w:pPr>
      <w:r>
        <w:rPr>
          <w:rFonts w:ascii="Arial" w:hAnsi="Arial"/>
          <w:b w:val="0"/>
          <w:i w:val="0"/>
          <w:color w:val="111827"/>
          <w:sz w:val="24"/>
        </w:rPr>
        <w:t>O sigilo é exceção estrita no ordenamento jurídico, admitido apenas quando a publicidade puser em risco a segurança da sociedade (vida, saúde ou integridade da população) ou do Estado (soberania, relações internacionais, inteligência, investigações).</w:t>
      </w:r>
    </w:p>
    <w:p>
      <w:pPr>
        <w:keepNext/>
        <w:spacing w:before="200" w:after="80"/>
      </w:pPr>
      <w:r>
        <w:rPr>
          <w:rFonts w:ascii="Arial" w:hAnsi="Arial"/>
          <w:b/>
          <w:i w:val="0"/>
          <w:color w:val="2B6CB0"/>
          <w:sz w:val="24"/>
        </w:rPr>
        <w:t>2.1 Graus de Sigilo e Prazos Máximos de Restrição</w:t>
      </w:r>
    </w:p>
    <w:p>
      <w:pPr>
        <w:spacing w:line="360" w:lineRule="auto" w:before="0" w:after="80"/>
        <w:jc w:val="both"/>
      </w:pPr>
      <w:r>
        <w:rPr>
          <w:rFonts w:ascii="Arial" w:hAnsi="Arial"/>
          <w:b w:val="0"/>
          <w:i w:val="0"/>
          <w:color w:val="111827"/>
          <w:sz w:val="24"/>
        </w:rPr>
        <w:t>A Lei Federal nº 12.527/2011 (art. 24) e a Lei Estadual nº 18.025/2013 classificam as informações sigilosas em três graus de hierarquia estrita:</w:t>
      </w:r>
    </w:p>
    <w:p>
      <w:pPr>
        <w:spacing w:after="120"/>
      </w:pP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Grau de Sigilo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Prazo Máximo de Restrição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Possibilidade de Prorrogação?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Autoridade Competente em Goiás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Ultrassecreto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Até </w:t>
            </w:r>
            <w:r>
              <w:rPr>
                <w:rFonts w:ascii="Arial" w:hAnsi="Arial"/>
                <w:b/>
                <w:i w:val="0"/>
                <w:color w:val="111827"/>
                <w:sz w:val="19"/>
              </w:rPr>
              <w:t>25 anos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(apenas uma única vez, por igual período)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Governador do Estado e Presidentes dos Poderes / Tribunal de Contas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Secreto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Até </w:t>
            </w:r>
            <w:r>
              <w:rPr>
                <w:rFonts w:ascii="Arial" w:hAnsi="Arial"/>
                <w:b/>
                <w:i w:val="0"/>
                <w:color w:val="111827"/>
                <w:sz w:val="19"/>
              </w:rPr>
              <w:t>15 anos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 xml:space="preserve"> (prazo improrrogável)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Governador, Secretários de Estado e dirigentes máximos de autarquias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Reservado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Até </w:t>
            </w:r>
            <w:r>
              <w:rPr>
                <w:rFonts w:ascii="Arial" w:hAnsi="Arial"/>
                <w:b/>
                <w:i w:val="0"/>
                <w:color w:val="111827"/>
                <w:sz w:val="19"/>
              </w:rPr>
              <w:t>5 anos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 xml:space="preserve"> (prazo improrrogável)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Autoridades que exerçam funções de direção, chefia ou comando</w:t>
            </w:r>
          </w:p>
        </w:tc>
      </w:tr>
    </w:tbl>
    <w:p>
      <w:pPr>
        <w:spacing w:after="120"/>
      </w:pPr>
    </w:p>
    <w:p>
      <w:pPr>
        <w:keepNext/>
        <w:spacing w:before="200" w:after="80"/>
      </w:pPr>
      <w:r>
        <w:rPr>
          <w:rFonts w:ascii="Arial" w:hAnsi="Arial"/>
          <w:b/>
          <w:i w:val="0"/>
          <w:color w:val="2B6CB0"/>
          <w:sz w:val="24"/>
        </w:rPr>
        <w:t>2.2 Competência Funcional para Classificação no Estado de Goiás</w:t>
      </w:r>
    </w:p>
    <w:p>
      <w:pPr>
        <w:spacing w:line="360" w:lineRule="auto" w:before="0" w:after="80"/>
        <w:jc w:val="both"/>
      </w:pPr>
      <w:r>
        <w:rPr>
          <w:rFonts w:ascii="Arial" w:hAnsi="Arial"/>
          <w:b w:val="0"/>
          <w:i w:val="0"/>
          <w:color w:val="111827"/>
          <w:sz w:val="24"/>
        </w:rPr>
        <w:t>A classificação do sigilo é privativa de autoridades com expressa investidura legal: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classificação no grau </w:t>
      </w:r>
      <w:r>
        <w:rPr>
          <w:rFonts w:ascii="Arial" w:hAnsi="Arial"/>
          <w:b/>
          <w:i w:val="0"/>
          <w:color w:val="111827"/>
          <w:sz w:val="22"/>
        </w:rPr>
        <w:t>ultrassecreto</w:t>
      </w:r>
      <w:r>
        <w:rPr>
          <w:rFonts w:ascii="Arial" w:hAnsi="Arial"/>
          <w:b w:val="0"/>
          <w:i w:val="0"/>
          <w:color w:val="111827"/>
          <w:sz w:val="22"/>
        </w:rPr>
        <w:t xml:space="preserve"> exige a chancela pessoal do Chefe do Poder Executivo (Governador) ou dos Presidentes da Assembleia Legislativa, do Tribunal de Justiça e do Tribunal de Contas.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grau </w:t>
      </w:r>
      <w:r>
        <w:rPr>
          <w:rFonts w:ascii="Arial" w:hAnsi="Arial"/>
          <w:b/>
          <w:i w:val="0"/>
          <w:color w:val="111827"/>
          <w:sz w:val="22"/>
        </w:rPr>
        <w:t>secreto</w:t>
      </w:r>
      <w:r>
        <w:rPr>
          <w:rFonts w:ascii="Arial" w:hAnsi="Arial"/>
          <w:b w:val="0"/>
          <w:i w:val="0"/>
          <w:color w:val="111827"/>
          <w:sz w:val="22"/>
        </w:rPr>
        <w:t xml:space="preserve"> pode ser delegado até o nível de Secretários de Estado e dirigentes máximos de autarquias e fundações.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grau </w:t>
      </w:r>
      <w:r>
        <w:rPr>
          <w:rFonts w:ascii="Arial" w:hAnsi="Arial"/>
          <w:b/>
          <w:i w:val="0"/>
          <w:color w:val="111827"/>
          <w:sz w:val="22"/>
        </w:rPr>
        <w:t>reservado</w:t>
      </w:r>
      <w:r>
        <w:rPr>
          <w:rFonts w:ascii="Arial" w:hAnsi="Arial"/>
          <w:b w:val="0"/>
          <w:i w:val="0"/>
          <w:color w:val="111827"/>
          <w:sz w:val="22"/>
        </w:rPr>
        <w:t xml:space="preserve"> pode ser firmado por autoridades que exerçam atribuições de direção, chefia ou assessoria superior.</w:t>
      </w:r>
    </w:p>
    <w:p>
      <w:pPr>
        <w:keepNext/>
        <w:spacing w:before="200" w:after="80"/>
      </w:pPr>
      <w:r>
        <w:rPr>
          <w:rFonts w:ascii="Arial" w:hAnsi="Arial"/>
          <w:b/>
          <w:i w:val="0"/>
          <w:color w:val="2B6CB0"/>
          <w:sz w:val="24"/>
        </w:rPr>
        <w:t>2.3 Proteção de Informações Pessoais (100 Anos)</w:t>
      </w:r>
    </w:p>
    <w:p>
      <w:pPr>
        <w:spacing w:line="360" w:lineRule="auto" w:before="0" w:after="80"/>
        <w:jc w:val="both"/>
      </w:pPr>
      <w:r>
        <w:rPr>
          <w:rFonts w:ascii="Arial" w:hAnsi="Arial"/>
          <w:b w:val="0"/>
          <w:i w:val="0"/>
          <w:color w:val="111827"/>
          <w:sz w:val="24"/>
        </w:rPr>
        <w:t xml:space="preserve">O art. 31 da LAI estabelece regime especial de proteção para as informações pessoais relativas à </w:t>
      </w:r>
      <w:r>
        <w:rPr>
          <w:rFonts w:ascii="Arial" w:hAnsi="Arial"/>
          <w:b/>
          <w:i w:val="0"/>
          <w:color w:val="111827"/>
          <w:sz w:val="24"/>
        </w:rPr>
        <w:t>intimidade, vida privada, honra e imagem</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Têm acesso restrito a agentes públicos legalmente autorizados e à própria pessoa a que se referem, independentemente de classificação de sigilo;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prazo máximo de restrição de acesso a informações pessoais sensíveis é de </w:t>
      </w:r>
      <w:r>
        <w:rPr>
          <w:rFonts w:ascii="Arial" w:hAnsi="Arial"/>
          <w:b/>
          <w:i w:val="0"/>
          <w:color w:val="111827"/>
          <w:sz w:val="22"/>
        </w:rPr>
        <w:t>até 100 (cem) anos</w:t>
      </w:r>
      <w:r>
        <w:rPr>
          <w:rFonts w:ascii="Arial" w:hAnsi="Arial"/>
          <w:b w:val="0"/>
          <w:i w:val="0"/>
          <w:color w:val="111827"/>
          <w:sz w:val="22"/>
        </w:rPr>
        <w:t>, a contar da data de sua produção.</w:t>
      </w:r>
    </w:p>
    <w:p>
      <w:pPr>
        <w:keepNext/>
        <w:spacing w:before="200" w:after="80"/>
      </w:pPr>
      <w:r>
        <w:rPr>
          <w:rFonts w:ascii="Arial" w:hAnsi="Arial"/>
          <w:b/>
          <w:i w:val="0"/>
          <w:color w:val="2B6CB0"/>
          <w:sz w:val="24"/>
        </w:rPr>
        <w:t>2.4 Vedação Absoluta de Sigilo: Violações a Direitos Humanos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CRÍTICO DE PROVA FCC:</w:t>
            </w:r>
          </w:p>
          <w:p>
            <w:pPr>
              <w:spacing w:line="288" w:lineRule="auto" w:before="40" w:after="40"/>
            </w:pPr>
            <w:r>
              <w:rPr>
                <w:rFonts w:ascii="Arial" w:hAnsi="Arial"/>
                <w:b w:val="0"/>
                <w:i w:val="0"/>
                <w:color w:val="111827"/>
                <w:sz w:val="21"/>
              </w:rPr>
              <w:t>O art. 21, parágrafo único, da LAI consagra uma vedação intransponível:</w:t>
            </w:r>
          </w:p>
          <w:p>
            <w:pPr>
              <w:spacing w:line="288" w:lineRule="auto" w:before="40" w:after="40"/>
            </w:pPr>
            <w:r>
              <w:rPr>
                <w:rFonts w:ascii="Arial" w:hAnsi="Arial"/>
                <w:b/>
                <w:i w:val="0"/>
                <w:color w:val="111827"/>
                <w:sz w:val="21"/>
              </w:rPr>
              <w:t>Não pode ser objeto de qualquer classificação de sigilo nem ter seu acesso restringido a informação ou documento que verse sobre condutas que impliquem violação a direitos humanos praticadas por agentes públicos ou a mando de autoridades públicas!</w:t>
            </w:r>
          </w:p>
        </w:tc>
      </w:tr>
    </w:tbl>
    <w:p>
      <w:pPr>
        <w:spacing w:before="0" w:after="120"/>
      </w:pPr>
    </w:p>
    <w:p>
      <w:pPr>
        <w:keepNext/>
        <w:spacing w:before="280" w:after="120"/>
      </w:pPr>
      <w:r>
        <w:rPr>
          <w:rFonts w:ascii="Arial" w:hAnsi="Arial"/>
          <w:b/>
          <w:i w:val="0"/>
          <w:color w:val="2C5282"/>
          <w:sz w:val="28"/>
        </w:rPr>
        <w:t>3. Licitações e Contratos de Serviços de Publicidade (Lei nº 12.232/2010)</w:t>
      </w:r>
    </w:p>
    <w:p>
      <w:pPr>
        <w:spacing w:line="360" w:lineRule="auto" w:before="0" w:after="80"/>
        <w:jc w:val="both"/>
      </w:pPr>
      <w:r>
        <w:rPr>
          <w:rFonts w:ascii="Arial" w:hAnsi="Arial"/>
          <w:b w:val="0"/>
          <w:i w:val="0"/>
          <w:color w:val="111827"/>
          <w:sz w:val="24"/>
        </w:rPr>
        <w:t xml:space="preserve">A contratação de serviços de publicidade institucional pela Administração Pública direta e indireta de qualquer dos Poderes da União, Estados, DF e Municípios submete-se a regime jurídico especialíssimo regido pela </w:t>
      </w:r>
      <w:r>
        <w:rPr>
          <w:rFonts w:ascii="Arial" w:hAnsi="Arial"/>
          <w:b/>
          <w:i w:val="0"/>
          <w:color w:val="111827"/>
          <w:sz w:val="24"/>
        </w:rPr>
        <w:t>Lei Federal nº 12.232/2010</w:t>
      </w:r>
      <w:r>
        <w:rPr>
          <w:rFonts w:ascii="Arial" w:hAnsi="Arial"/>
          <w:b w:val="0"/>
          <w:i w:val="0"/>
          <w:color w:val="111827"/>
          <w:sz w:val="24"/>
        </w:rPr>
        <w:t xml:space="preserve"> (combinada subsidiariamente com a Lei Geral de Licitações nº 14.133/2021).</w:t>
      </w:r>
    </w:p>
    <w:p>
      <w:pPr>
        <w:keepNext/>
        <w:spacing w:before="200" w:after="80"/>
      </w:pPr>
      <w:r>
        <w:rPr>
          <w:rFonts w:ascii="Arial" w:hAnsi="Arial"/>
          <w:b/>
          <w:i w:val="0"/>
          <w:color w:val="2B6CB0"/>
          <w:sz w:val="24"/>
        </w:rPr>
        <w:t>3.1 Objeto Específico e a Vedação Categórica ao Pregão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Abrangência do Objeto (Art. 2º):</w:t>
      </w:r>
      <w:r>
        <w:rPr>
          <w:rFonts w:ascii="Arial" w:hAnsi="Arial"/>
          <w:b w:val="0"/>
          <w:i w:val="0"/>
          <w:color w:val="111827"/>
          <w:sz w:val="22"/>
        </w:rPr>
        <w:t xml:space="preserve"> Destina-se exclusivamente à contratação de serviços prestados por intermédio de agências de propaganda, compreendendo o conjunto de atividades integradas de estudo, planejamento, conceituação, concepção, criação, execução interna e distribuição de peças e campanhas publicitárias.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VEDAÇÃO ABSOLUTA AO PREGÃO (Art. 5º da Lei 12.232/2010 c/c Art. 29 da Lei 14.133/2021):</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A criação publicitária constitui serviço eminentemente intelectual, subjetivo e artístico, cujos padrões de desempenho e qualidade não podem ser prévia e objetivamente definidos por especificações usuais de mercado. Portanto, </w:t>
      </w:r>
      <w:r>
        <w:rPr>
          <w:rFonts w:ascii="Arial" w:hAnsi="Arial"/>
          <w:b/>
          <w:i w:val="0"/>
          <w:color w:val="111827"/>
          <w:sz w:val="24"/>
        </w:rPr>
        <w:t>é terminantemente PROIBIDA a utilização da modalidade PREGÃO</w:t>
      </w:r>
      <w:r>
        <w:rPr>
          <w:rFonts w:ascii="Arial" w:hAnsi="Arial"/>
          <w:b w:val="0"/>
          <w:i w:val="0"/>
          <w:color w:val="111827"/>
          <w:sz w:val="24"/>
        </w:rPr>
        <w:t xml:space="preserve"> para a contratação de serviços de publicidade que envolvam esforço criativo!</w:t>
      </w:r>
    </w:p>
    <w:p>
      <w:pPr>
        <w:keepNext/>
        <w:spacing w:before="200" w:after="80"/>
      </w:pPr>
      <w:r>
        <w:rPr>
          <w:rFonts w:ascii="Arial" w:hAnsi="Arial"/>
          <w:b/>
          <w:i w:val="0"/>
          <w:color w:val="2B6CB0"/>
          <w:sz w:val="24"/>
        </w:rPr>
        <w:t>3.2 Tipos Licitatórios Obrigatórios</w:t>
      </w:r>
    </w:p>
    <w:p>
      <w:pPr>
        <w:spacing w:line="360" w:lineRule="auto" w:before="0" w:after="80"/>
        <w:jc w:val="both"/>
      </w:pPr>
      <w:r>
        <w:rPr>
          <w:rFonts w:ascii="Arial" w:hAnsi="Arial"/>
          <w:b w:val="0"/>
          <w:i w:val="0"/>
          <w:color w:val="111827"/>
          <w:sz w:val="24"/>
        </w:rPr>
        <w:t xml:space="preserve">Por expressa imposição do art. 5º da Lei nº 12.232/2010, as licitações para serviços de publicidade devem ser processadas e julgadas </w:t>
      </w:r>
      <w:r>
        <w:rPr>
          <w:rFonts w:ascii="Arial" w:hAnsi="Arial"/>
          <w:b/>
          <w:i w:val="0"/>
          <w:color w:val="111827"/>
          <w:sz w:val="24"/>
        </w:rPr>
        <w:t>obrigatoriamente</w:t>
      </w:r>
      <w:r>
        <w:rPr>
          <w:rFonts w:ascii="Arial" w:hAnsi="Arial"/>
          <w:b w:val="0"/>
          <w:i w:val="0"/>
          <w:color w:val="111827"/>
          <w:sz w:val="24"/>
        </w:rPr>
        <w:t xml:space="preserve"> por meio de um dos seguintes tipos licitatórios: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Melhor Técnica</w:t>
      </w:r>
      <w:r>
        <w:rPr>
          <w:rFonts w:ascii="Arial" w:hAnsi="Arial"/>
          <w:b w:val="0"/>
          <w:i w:val="0"/>
          <w:color w:val="111827"/>
          <w:sz w:val="22"/>
        </w:rPr>
        <w:t>; ou</w:t>
      </w:r>
    </w:p>
    <w:p>
      <w:pPr>
        <w:spacing w:line="276" w:lineRule="auto" w:before="20" w:after="40"/>
        <w:ind w:left="425"/>
      </w:pPr>
      <w:r>
        <w:rPr>
          <w:rFonts w:ascii="Arial" w:hAnsi="Arial"/>
          <w:b/>
          <w:color w:val="1B365D"/>
          <w:sz w:val="22"/>
        </w:rPr>
        <w:t xml:space="preserve">2. </w:t>
      </w:r>
      <w:r>
        <w:rPr>
          <w:rFonts w:ascii="Arial" w:hAnsi="Arial"/>
          <w:b/>
          <w:i w:val="0"/>
          <w:color w:val="111827"/>
          <w:sz w:val="22"/>
        </w:rPr>
        <w:t>Técnica e Preço</w:t>
      </w:r>
      <w:r>
        <w:rPr>
          <w:rFonts w:ascii="Arial" w:hAnsi="Arial"/>
          <w:b w:val="0"/>
          <w:i w:val="0"/>
          <w:color w:val="111827"/>
          <w:sz w:val="22"/>
        </w:rPr>
        <w:t>.</w:t>
      </w:r>
    </w:p>
    <w:p>
      <w:pPr>
        <w:keepNext/>
        <w:spacing w:before="200" w:after="80"/>
      </w:pPr>
      <w:r>
        <w:rPr>
          <w:rFonts w:ascii="Arial" w:hAnsi="Arial"/>
          <w:b/>
          <w:i w:val="0"/>
          <w:color w:val="2B6CB0"/>
          <w:sz w:val="24"/>
        </w:rPr>
        <w:t>3.3 A Subcomissão Técnica de Julgamento (Art. 10)</w:t>
      </w:r>
    </w:p>
    <w:p>
      <w:pPr>
        <w:spacing w:line="360" w:lineRule="auto" w:before="0" w:after="80"/>
        <w:jc w:val="both"/>
      </w:pPr>
      <w:r>
        <w:rPr>
          <w:rFonts w:ascii="Arial" w:hAnsi="Arial"/>
          <w:b w:val="0"/>
          <w:i w:val="0"/>
          <w:color w:val="111827"/>
          <w:sz w:val="24"/>
        </w:rPr>
        <w:t xml:space="preserve">Para julgar a proposta técnica das agências concorrentes, a lei afasta a comissão permanente genérica e exige a criação de uma </w:t>
      </w:r>
      <w:r>
        <w:rPr>
          <w:rFonts w:ascii="Arial" w:hAnsi="Arial"/>
          <w:b/>
          <w:i w:val="0"/>
          <w:color w:val="111827"/>
          <w:sz w:val="24"/>
        </w:rPr>
        <w:t>Subcomissão Técnica especializada</w:t>
      </w:r>
      <w:r>
        <w:rPr>
          <w:rFonts w:ascii="Arial" w:hAnsi="Arial"/>
          <w:b w:val="0"/>
          <w:i w:val="0"/>
          <w:color w:val="111827"/>
          <w:sz w:val="24"/>
        </w:rPr>
        <w:t>, que obedece a requisitos estritos: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Número de Membros:</w:t>
      </w:r>
      <w:r>
        <w:rPr>
          <w:rFonts w:ascii="Arial" w:hAnsi="Arial"/>
          <w:b w:val="0"/>
          <w:i w:val="0"/>
          <w:color w:val="111827"/>
          <w:sz w:val="22"/>
        </w:rPr>
        <w:t xml:space="preserve"> Composta por, no mínimo, </w:t>
      </w:r>
      <w:r>
        <w:rPr>
          <w:rFonts w:ascii="Arial" w:hAnsi="Arial"/>
          <w:b/>
          <w:i w:val="0"/>
          <w:color w:val="111827"/>
          <w:sz w:val="22"/>
        </w:rPr>
        <w:t>3 (três) membros</w:t>
      </w:r>
      <w:r>
        <w:rPr>
          <w:rFonts w:ascii="Arial" w:hAnsi="Arial"/>
          <w:b w:val="0"/>
          <w:i w:val="0"/>
          <w:color w:val="111827"/>
          <w:sz w:val="22"/>
        </w:rPr>
        <w:t xml:space="preserve"> qualificados (com formação superior ou experiência comprovada na área de publicidade, comunicação social ou marketing);</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Sorteio Público:</w:t>
      </w:r>
      <w:r>
        <w:rPr>
          <w:rFonts w:ascii="Arial" w:hAnsi="Arial"/>
          <w:b w:val="0"/>
          <w:i w:val="0"/>
          <w:color w:val="111827"/>
          <w:sz w:val="22"/>
        </w:rPr>
        <w:t xml:space="preserve"> A escolha dos membros é realizada obrigatoriamente por </w:t>
      </w:r>
      <w:r>
        <w:rPr>
          <w:rFonts w:ascii="Arial" w:hAnsi="Arial"/>
          <w:b/>
          <w:i w:val="0"/>
          <w:color w:val="111827"/>
          <w:sz w:val="22"/>
        </w:rPr>
        <w:t>sorteio público</w:t>
      </w:r>
      <w:r>
        <w:rPr>
          <w:rFonts w:ascii="Arial" w:hAnsi="Arial"/>
          <w:b w:val="0"/>
          <w:i w:val="0"/>
          <w:color w:val="111827"/>
          <w:sz w:val="22"/>
        </w:rPr>
        <w:t>, a partir de uma lista prévia com número de nomes pelo menos três vezes superior ao número de vagas;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Regra de Desvinculação Funcional (Mínimo de 1/3 Externo):</w:t>
      </w:r>
      <w:r>
        <w:rPr>
          <w:rFonts w:ascii="Arial" w:hAnsi="Arial"/>
          <w:b w:val="0"/>
          <w:i w:val="0"/>
          <w:color w:val="111827"/>
          <w:sz w:val="22"/>
        </w:rPr>
        <w:t xml:space="preserve"> Para assegurar a idoneidade e evitar favorecimentos políticos, a lei exige que </w:t>
      </w:r>
      <w:r>
        <w:rPr>
          <w:rFonts w:ascii="Arial" w:hAnsi="Arial"/>
          <w:b/>
          <w:i w:val="0"/>
          <w:color w:val="111827"/>
          <w:sz w:val="22"/>
        </w:rPr>
        <w:t>pelo menos um terço (1/3)</w:t>
      </w:r>
      <w:r>
        <w:rPr>
          <w:rFonts w:ascii="Arial" w:hAnsi="Arial"/>
          <w:b w:val="0"/>
          <w:i w:val="0"/>
          <w:color w:val="111827"/>
          <w:sz w:val="22"/>
        </w:rPr>
        <w:t xml:space="preserve"> dos integrantes da subcomissão técnica seja composto por profissionais que </w:t>
      </w:r>
      <w:r>
        <w:rPr>
          <w:rFonts w:ascii="Arial" w:hAnsi="Arial"/>
          <w:b/>
          <w:i w:val="0"/>
          <w:color w:val="111827"/>
          <w:sz w:val="22"/>
        </w:rPr>
        <w:t>não mantenham nenhum vínculo funcional ou contratual com o órgão licitante</w:t>
      </w:r>
      <w:r>
        <w:rPr>
          <w:rFonts w:ascii="Arial" w:hAnsi="Arial"/>
          <w:b w:val="0"/>
          <w:i w:val="0"/>
          <w:color w:val="111827"/>
          <w:sz w:val="22"/>
        </w:rPr>
        <w:t>.</w:t>
      </w:r>
    </w:p>
    <w:p>
      <w:pPr>
        <w:keepNext/>
        <w:spacing w:before="200" w:after="80"/>
      </w:pPr>
      <w:r>
        <w:rPr>
          <w:rFonts w:ascii="Arial" w:hAnsi="Arial"/>
          <w:b/>
          <w:i w:val="0"/>
          <w:color w:val="2B6CB0"/>
          <w:sz w:val="24"/>
        </w:rPr>
        <w:t>3.4 Julgamento às Cegas e Proposta Técnica Desidentificada</w:t>
      </w:r>
    </w:p>
    <w:p>
      <w:pPr>
        <w:spacing w:line="360" w:lineRule="auto" w:before="0" w:after="80"/>
        <w:jc w:val="both"/>
      </w:pPr>
      <w:r>
        <w:rPr>
          <w:rFonts w:ascii="Arial" w:hAnsi="Arial"/>
          <w:b w:val="0"/>
          <w:i w:val="0"/>
          <w:color w:val="111827"/>
          <w:sz w:val="24"/>
        </w:rPr>
        <w:t>Para garantir o julgamento impessoal e estritamente técnico: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proposta técnica deve ser entregue em invólucro opaco e lacrado, </w:t>
      </w:r>
      <w:r>
        <w:rPr>
          <w:rFonts w:ascii="Arial" w:hAnsi="Arial"/>
          <w:b/>
          <w:i w:val="0"/>
          <w:color w:val="111827"/>
          <w:sz w:val="22"/>
        </w:rPr>
        <w:t>sem qualquer logotipo, marca, slogan, rubrica ou sinal que identifique a agência licitante</w:t>
      </w:r>
      <w:r>
        <w:rPr>
          <w:rFonts w:ascii="Arial" w:hAnsi="Arial"/>
          <w:b w:val="0"/>
          <w:i w:val="0"/>
          <w:color w:val="111827"/>
          <w:sz w:val="22"/>
        </w:rPr>
        <w:t xml:space="preserve"> (</w:t>
      </w:r>
      <w:r>
        <w:rPr>
          <w:rFonts w:ascii="Arial" w:hAnsi="Arial"/>
          <w:b w:val="0"/>
          <w:i/>
          <w:color w:val="111827"/>
          <w:sz w:val="22"/>
        </w:rPr>
        <w:t>proposta apócrifa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violação da desidentificação acarreta a </w:t>
      </w:r>
      <w:r>
        <w:rPr>
          <w:rFonts w:ascii="Arial" w:hAnsi="Arial"/>
          <w:b/>
          <w:i w:val="0"/>
          <w:color w:val="111827"/>
          <w:sz w:val="22"/>
        </w:rPr>
        <w:t>desclassificação sumária e imediata</w:t>
      </w:r>
      <w:r>
        <w:rPr>
          <w:rFonts w:ascii="Arial" w:hAnsi="Arial"/>
          <w:b w:val="0"/>
          <w:i w:val="0"/>
          <w:color w:val="111827"/>
          <w:sz w:val="22"/>
        </w:rPr>
        <w:t xml:space="preserve"> da proposta;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Subcomissão Técnica atribui as notas técnicas em sessão secreta de análise, e somente após a consolidação das notas os invólucros de identificação são abertos perante todos os licitantes.</w:t>
      </w:r>
    </w:p>
    <w:p>
      <w:pPr>
        <w:keepNext/>
        <w:spacing w:before="280" w:after="120"/>
      </w:pPr>
      <w:r>
        <w:rPr>
          <w:rFonts w:ascii="Arial" w:hAnsi="Arial"/>
          <w:b/>
          <w:i w:val="0"/>
          <w:color w:val="2C5282"/>
          <w:sz w:val="28"/>
        </w:rPr>
        <w:t>4.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12.527/2011 (Lei de Acesso à Informação - LAI)</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Regulamento nacional que fixa as diretrizes da transparência ativa e passiva e os graus de sigilo.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Estadual de Goiás nº 18.025/2013 (Acesso à Informação no Estado de Goiás)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Marco normativo goiano de acesso à informação e proteção de dados em âmbito estadual.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12.232/2010 (Contratação de Serviços de Publicidade por Entes Públicos)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Disciplina as licitações de publicidade institucional, a subcomissão técnica e veda expressamente o pregão.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STF - Tema 483 da Repercussão Geral (Divulgação Nominal de Remuneração)</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Precedente vinculante consolidando a legitimidade da divulgação de nomes e vencimentos de servidores em portais da transparência.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14.133/2021 (Nova Lei de Licitações - Artigo 29)</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Dispositivo que reitera a vedação expressa ao pregão para serviços de publicidade e propaganda.</w:t>
      </w:r>
    </w:p>
    <w:p>
      <w:pPr>
        <w:keepNext/>
        <w:spacing w:before="280" w:after="120"/>
      </w:pPr>
      <w:r>
        <w:rPr>
          <w:rFonts w:ascii="Arial" w:hAnsi="Arial"/>
          <w:b/>
          <w:i w:val="0"/>
          <w:color w:val="2C5282"/>
          <w:sz w:val="28"/>
        </w:rPr>
        <w:t>5. Questões Comentadas &amp; Exemplos (Padrão FCC)</w:t>
      </w:r>
    </w:p>
    <w:p>
      <w:pPr>
        <w:keepNext/>
        <w:spacing w:before="200" w:after="80"/>
      </w:pPr>
      <w:r>
        <w:rPr>
          <w:rFonts w:ascii="Arial" w:hAnsi="Arial"/>
          <w:b/>
          <w:i w:val="0"/>
          <w:color w:val="2B6CB0"/>
          <w:sz w:val="24"/>
        </w:rPr>
        <w:t>Questão 1 (FCC - Analista de Controle Externo / Adaptada TCE-GO)</w:t>
      </w:r>
    </w:p>
    <w:p>
      <w:pPr>
        <w:spacing w:line="360" w:lineRule="auto" w:before="0" w:after="80"/>
        <w:jc w:val="both"/>
      </w:pPr>
      <w:r>
        <w:rPr>
          <w:rFonts w:ascii="Arial" w:hAnsi="Arial"/>
          <w:b w:val="0"/>
          <w:i w:val="0"/>
          <w:color w:val="111827"/>
          <w:sz w:val="24"/>
        </w:rPr>
        <w:t>Um cidadão domiciliado no Município de Goiânia protocolou pedido de acesso à informação no Serviço de Informações ao Cidadão (SIC) do Tribunal de Contas do Estado de Goiás, solicitando cópia integral dos processos licitatórios e contratos de fornecimento de tecnologia celebrados pelo Tribunal no ano anterior. O servidor encarregado do protocolo indeferiu liminarmente a solicitação, justificando que o interessado não havia comprovado legítimo interesse nem declarado os motivos pelos quais desejava consultar a referida documentação.</w:t>
      </w:r>
    </w:p>
    <w:p>
      <w:pPr>
        <w:spacing w:line="360" w:lineRule="auto" w:before="0" w:after="80"/>
        <w:jc w:val="both"/>
      </w:pPr>
      <w:r>
        <w:rPr>
          <w:rFonts w:ascii="Arial" w:hAnsi="Arial"/>
          <w:b w:val="0"/>
          <w:i w:val="0"/>
          <w:color w:val="111827"/>
          <w:sz w:val="24"/>
        </w:rPr>
        <w:t>À luz da Lei Federal nº 12.527/2011 (LAI) e da Lei Estadual de Goiás nº 18.025/2013:</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decisão administrativa está correta, visto que o requerimento de documentos públicos depende de prévia demonstração de interesse jurídico direto pelo peticionário.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indeferimento administrativo é manifestamente ilegal, pois a legislação veda categoricamente quaisquer exigências relativas aos motivos determinantes da solicitação de informações de interesse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Caberia ao cidadão obter autorização judicial prévia por meio de Habeas Data para ter acesso aos autos de contratações públicas.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cidadão somente poderia obter acesso às informações caso comprovasse vínculo funcional com a Administração Pública estadual.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negativa é legítima porque contratos de tecnologia da informação possuem sigilo ultrassecreto automático por 25 anos.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direito à transparência e ao controle social da Administração Pública independe de justificativa ou demonstração de interesse jurídico individual ou subjetivo.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o art. 10, § 3º, da Lei Federal nº 12.527/2011 e com o art. 10, § 3º, da Lei Estadual de Goiás nº 18.025/2013: </w:t>
            </w:r>
            <w:r>
              <w:rPr>
                <w:rFonts w:ascii="Arial" w:hAnsi="Arial"/>
                <w:b w:val="0"/>
                <w:i/>
                <w:color w:val="111827"/>
                <w:sz w:val="21"/>
              </w:rPr>
              <w:t>"são vedadas quaisquer exigências relativas aos motivos determinantes da solicitação de informações de interesse público."</w:t>
            </w:r>
            <w:r>
              <w:rPr>
                <w:rFonts w:ascii="Arial" w:hAnsi="Arial"/>
                <w:b w:val="0"/>
                <w:i w:val="0"/>
                <w:color w:val="111827"/>
                <w:sz w:val="21"/>
              </w:rPr>
              <w:t xml:space="preserve"> Qualquer cidadão tem o direito constitucional de ter acesso a contratos, licitações e despesas públicas sem ser compelido a justificar perante a Administração as razões que motivaram seu pedido. O indeferimento liminar é frontalmente ilegal.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w:t>
            </w:r>
            <w:r>
              <w:rPr>
                <w:rFonts w:ascii="Arial" w:hAnsi="Arial"/>
                <w:b w:val="0"/>
                <w:i/>
                <w:color w:val="111827"/>
                <w:sz w:val="21"/>
              </w:rPr>
              <w:t>Habeas Data</w:t>
            </w:r>
            <w:r>
              <w:rPr>
                <w:rFonts w:ascii="Arial" w:hAnsi="Arial"/>
                <w:b w:val="0"/>
                <w:i w:val="0"/>
                <w:color w:val="111827"/>
                <w:sz w:val="21"/>
              </w:rPr>
              <w:t xml:space="preserve"> tutela dados e registros pessoais do próprio impetrante constantes de bancos de dados estatais, não servindo para obtenção de cópias de processos licitatórios gerais.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acesso à informação pública é direito fundamental estendido a qualquer cidadão ou pessoa jurídica, servidor ou não.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Contratos administrativos e processos licitatórios são regidos pelo princípio da publicidade ativa obrigatória, não detendo sigilo automático.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Técnico de Controle Externo / Administrativa)</w:t>
      </w:r>
    </w:p>
    <w:p>
      <w:pPr>
        <w:spacing w:line="360" w:lineRule="auto" w:before="0" w:after="80"/>
        <w:jc w:val="both"/>
      </w:pPr>
      <w:r>
        <w:rPr>
          <w:rFonts w:ascii="Arial" w:hAnsi="Arial"/>
          <w:b w:val="0"/>
          <w:i w:val="0"/>
          <w:color w:val="111827"/>
          <w:sz w:val="24"/>
        </w:rPr>
        <w:t xml:space="preserve">Uma autarquia estadual pretende deflagrar procedimento licitatório para contratação de agência de propaganda com o objetivo de criar planos anuais de comunicação, peças publicitárias impressas e digitais, e campanhas educativas de conscientização no trânsito. A comissão de licitação cogitou a adoção da modalidade </w:t>
      </w:r>
      <w:r>
        <w:rPr>
          <w:rFonts w:ascii="Arial" w:hAnsi="Arial"/>
          <w:b/>
          <w:i w:val="0"/>
          <w:color w:val="111827"/>
          <w:sz w:val="24"/>
        </w:rPr>
        <w:t>Pregão Eletrônico</w:t>
      </w:r>
      <w:r>
        <w:rPr>
          <w:rFonts w:ascii="Arial" w:hAnsi="Arial"/>
          <w:b w:val="0"/>
          <w:i w:val="0"/>
          <w:color w:val="111827"/>
          <w:sz w:val="24"/>
        </w:rPr>
        <w:t xml:space="preserve"> com julgamento pelo critério de </w:t>
      </w:r>
      <w:r>
        <w:rPr>
          <w:rFonts w:ascii="Arial" w:hAnsi="Arial"/>
          <w:b/>
          <w:i w:val="0"/>
          <w:color w:val="111827"/>
          <w:sz w:val="24"/>
        </w:rPr>
        <w:t>Menor Preço</w:t>
      </w:r>
      <w:r>
        <w:rPr>
          <w:rFonts w:ascii="Arial" w:hAnsi="Arial"/>
          <w:b w:val="0"/>
          <w:i w:val="0"/>
          <w:color w:val="111827"/>
          <w:sz w:val="24"/>
        </w:rPr>
        <w:t>, sob a premissa de que a modalidade garante maior economia e agilidade ao procedimento.</w:t>
      </w:r>
    </w:p>
    <w:p>
      <w:pPr>
        <w:spacing w:line="360" w:lineRule="auto" w:before="0" w:after="80"/>
        <w:jc w:val="both"/>
      </w:pPr>
      <w:r>
        <w:rPr>
          <w:rFonts w:ascii="Arial" w:hAnsi="Arial"/>
          <w:b w:val="0"/>
          <w:i w:val="0"/>
          <w:color w:val="111827"/>
          <w:sz w:val="24"/>
        </w:rPr>
        <w:t>Considerando as normas especiais da Lei Federal nº 12.232/2010 e a jurisprudência dominante sobre o tema: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comissão agiu acertadamente, sendo o pregão eletrônico de menor preço a modalidade compulsória para quaisquer serviços contratados por entes públicos.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adoção do pregão é vedada pela legislação para contratação de serviços de publicidade institucional que demandam esforço criativo, devendo a licitação ser realizada obrigatoriamente pelos tipos 'melhor técnica' ou 'técnica e preço'.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autarquia deveria optar pela modalidade Leilão, realizando a disputa por lances sucessivos presenciais.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É obrigatória a contratação direta mediante inexigibilidade de licitação, por se tratar de serviço de natureza criativa singular.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autarquia pode utilizar pregão desde que fixe como tipo o maior lance comercial de patrocínio.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pregão é privativo de bens e serviços comuns, sendo expressamente vetado para publicidade criativa institucional.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5º da Lei Federal nº 12.232/2010, em consonância com o art. 29 da Lei nº 14.133/2021, preceitua que as licitações para serviços de publicidade institucional serão processadas obrigatoriamente pelos tipos </w:t>
            </w:r>
            <w:r>
              <w:rPr>
                <w:rFonts w:ascii="Arial" w:hAnsi="Arial"/>
                <w:b/>
                <w:i w:val="0"/>
                <w:color w:val="111827"/>
                <w:sz w:val="21"/>
              </w:rPr>
              <w:t>"melhor técnica"</w:t>
            </w:r>
            <w:r>
              <w:rPr>
                <w:rFonts w:ascii="Arial" w:hAnsi="Arial"/>
                <w:b w:val="0"/>
                <w:i w:val="0"/>
                <w:color w:val="111827"/>
                <w:sz w:val="21"/>
              </w:rPr>
              <w:t xml:space="preserve"> ou </w:t>
            </w:r>
            <w:r>
              <w:rPr>
                <w:rFonts w:ascii="Arial" w:hAnsi="Arial"/>
                <w:b/>
                <w:i w:val="0"/>
                <w:color w:val="111827"/>
                <w:sz w:val="21"/>
              </w:rPr>
              <w:t>"técnica e preço"</w:t>
            </w:r>
            <w:r>
              <w:rPr>
                <w:rFonts w:ascii="Arial" w:hAnsi="Arial"/>
                <w:b w:val="0"/>
                <w:i w:val="0"/>
                <w:color w:val="111827"/>
                <w:sz w:val="21"/>
              </w:rPr>
              <w:t xml:space="preserve">, sendo </w:t>
            </w:r>
            <w:r>
              <w:rPr>
                <w:rFonts w:ascii="Arial" w:hAnsi="Arial"/>
                <w:b/>
                <w:i w:val="0"/>
                <w:color w:val="111827"/>
                <w:sz w:val="21"/>
              </w:rPr>
              <w:t>expressamente vedada a adoção da modalidade pregão</w:t>
            </w:r>
            <w:r>
              <w:rPr>
                <w:rFonts w:ascii="Arial" w:hAnsi="Arial"/>
                <w:b w:val="0"/>
                <w:i w:val="0"/>
                <w:color w:val="111827"/>
                <w:sz w:val="21"/>
              </w:rPr>
              <w:t>. A criação publicitária requer desenvolvimento conceitual, artístico e intelectual que não pode ser enquadrado como "serviço comum" passível de julgamento puramente por menor preço.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leilão é modalidade destinada à alienação de bens públicos ou apreendidos, não se aplicando à contratação de serviços.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Os serviços de publicidade institucional regidos pela Lei nº 12.232/2010 demandam licitação formal obrigatória, sendo expressamente vedada a contratação direta por inexigibilidade genérica.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Não existe tipo de maior lance de patrocínio para despesas correntes de contratos de publicidade institucional.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Analista de Controle Externo / Tecnologia da Informação)</w:t>
      </w:r>
    </w:p>
    <w:p>
      <w:pPr>
        <w:spacing w:line="360" w:lineRule="auto" w:before="0" w:after="80"/>
        <w:jc w:val="both"/>
      </w:pPr>
      <w:r>
        <w:rPr>
          <w:rFonts w:ascii="Arial" w:hAnsi="Arial"/>
          <w:b w:val="0"/>
          <w:i w:val="0"/>
          <w:color w:val="111827"/>
          <w:sz w:val="24"/>
        </w:rPr>
        <w:t>Determinada informação produzida pela Secretaria de Segurança Pública de Goiás teve seu acesso restrito por conter dados de inteligência cuja revelação poria em risco a integridade de operações em andamento. A autoridade competente pretende classificar o documento em grau de sigilo nos termos da Lei Federal nº 12.527/2011 (LAI).</w:t>
      </w:r>
    </w:p>
    <w:p>
      <w:pPr>
        <w:spacing w:line="360" w:lineRule="auto" w:before="0" w:after="80"/>
        <w:jc w:val="both"/>
      </w:pPr>
      <w:r>
        <w:rPr>
          <w:rFonts w:ascii="Arial" w:hAnsi="Arial"/>
          <w:b w:val="0"/>
          <w:i w:val="0"/>
          <w:color w:val="111827"/>
          <w:sz w:val="24"/>
        </w:rPr>
        <w:t>Em relação aos graus de sigilo e aos prazos máximos legais de restrição de acesso previstos na LAI:</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Os graus de sigilo são Ultrassecreto (até 25 anos), Secreto (até 15 anos) e Reservado (até 5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prazo máximo de sigilo para informações reservadas é de 10 anos, e para dados ultrassecretos é de 50 anos improrrogáveis.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Todas as informações sigilosas ficam sob restrição definitiva e perpétua, não admitindo desclassificação temporal.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Informações relativas à vida privada e intimidade pessoal de cidadãos ficam sob sigilo pelo prazo máximo de 15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Qualquer servidor público efetivo dispõe de competência originária para classificar documentos no grau ultrassecreto.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O art. 24, § 1º, da Lei Federal nº 12.527/2011 e o diploma estadual goiano fixam exatamente os seguintes prazos máximos de restrição a contar da produção do documento:</w:t>
            </w:r>
          </w:p>
          <w:p>
            <w:pPr>
              <w:spacing w:line="288" w:lineRule="auto" w:before="40" w:after="40"/>
            </w:pPr>
            <w:r>
              <w:rPr>
                <w:rFonts w:ascii="Arial" w:hAnsi="Arial"/>
                <w:b w:val="0"/>
                <w:i w:val="0"/>
                <w:color w:val="111827"/>
                <w:sz w:val="21"/>
              </w:rPr>
              <w:t xml:space="preserve">- I - </w:t>
            </w:r>
            <w:r>
              <w:rPr>
                <w:rFonts w:ascii="Arial" w:hAnsi="Arial"/>
                <w:b/>
                <w:i w:val="0"/>
                <w:color w:val="111827"/>
                <w:sz w:val="21"/>
              </w:rPr>
              <w:t>Ultrassecreta:</w:t>
            </w:r>
            <w:r>
              <w:rPr>
                <w:rFonts w:ascii="Arial" w:hAnsi="Arial"/>
                <w:b w:val="0"/>
                <w:i w:val="0"/>
                <w:color w:val="111827"/>
                <w:sz w:val="21"/>
              </w:rPr>
              <w:t xml:space="preserve"> até </w:t>
            </w:r>
            <w:r>
              <w:rPr>
                <w:rFonts w:ascii="Arial" w:hAnsi="Arial"/>
                <w:b/>
                <w:i w:val="0"/>
                <w:color w:val="111827"/>
                <w:sz w:val="21"/>
              </w:rPr>
              <w:t>25 (vinte e cinco) anos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II - </w:t>
            </w:r>
            <w:r>
              <w:rPr>
                <w:rFonts w:ascii="Arial" w:hAnsi="Arial"/>
                <w:b/>
                <w:i w:val="0"/>
                <w:color w:val="111827"/>
                <w:sz w:val="21"/>
              </w:rPr>
              <w:t>Secreta:</w:t>
            </w:r>
            <w:r>
              <w:rPr>
                <w:rFonts w:ascii="Arial" w:hAnsi="Arial"/>
                <w:b w:val="0"/>
                <w:i w:val="0"/>
                <w:color w:val="111827"/>
                <w:sz w:val="21"/>
              </w:rPr>
              <w:t xml:space="preserve"> até </w:t>
            </w:r>
            <w:r>
              <w:rPr>
                <w:rFonts w:ascii="Arial" w:hAnsi="Arial"/>
                <w:b/>
                <w:i w:val="0"/>
                <w:color w:val="111827"/>
                <w:sz w:val="21"/>
              </w:rPr>
              <w:t>15 (quinze) anos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III - </w:t>
            </w:r>
            <w:r>
              <w:rPr>
                <w:rFonts w:ascii="Arial" w:hAnsi="Arial"/>
                <w:b/>
                <w:i w:val="0"/>
                <w:color w:val="111827"/>
                <w:sz w:val="21"/>
              </w:rPr>
              <w:t>Reservada:</w:t>
            </w:r>
            <w:r>
              <w:rPr>
                <w:rFonts w:ascii="Arial" w:hAnsi="Arial"/>
                <w:b w:val="0"/>
                <w:i w:val="0"/>
                <w:color w:val="111827"/>
                <w:sz w:val="21"/>
              </w:rPr>
              <w:t xml:space="preserve"> até </w:t>
            </w:r>
            <w:r>
              <w:rPr>
                <w:rFonts w:ascii="Arial" w:hAnsi="Arial"/>
                <w:b/>
                <w:i w:val="0"/>
                <w:color w:val="111827"/>
                <w:sz w:val="21"/>
              </w:rPr>
              <w:t>5 (cinco) anos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prazo para documentos reservados é de 5 anos (e não 10), e o prazo originário do ultrassecreto é de 25 anos.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No Estado Democrático de Direito não existe sigilo eterno ou perpétuo; decorrido o prazo legal máximo de classificação, a informação torna-se automaticamente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proteção legal outorgada a informações pessoais relativas à intimidade, vida privada, honra e imagem tem prazo máximo de até </w:t>
            </w:r>
            <w:r>
              <w:rPr>
                <w:rFonts w:ascii="Arial" w:hAnsi="Arial"/>
                <w:b/>
                <w:i w:val="0"/>
                <w:color w:val="111827"/>
                <w:sz w:val="21"/>
              </w:rPr>
              <w:t>100 anos</w:t>
            </w:r>
            <w:r>
              <w:rPr>
                <w:rFonts w:ascii="Arial" w:hAnsi="Arial"/>
                <w:b w:val="0"/>
                <w:i w:val="0"/>
                <w:color w:val="111827"/>
                <w:sz w:val="21"/>
              </w:rPr>
              <w:t xml:space="preserve"> (art. 31, § 1º, I), não se confundindo com o prazo de 15 anos do grau secreto.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competência para classificar informações no grau ultrassecreto é privativa de autoridades do ápice administrativo (Governador do Estado e Presidentes de Poderes/Tribunal de Contas).</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4 (FCC - Analista Jurídico)</w:t>
      </w:r>
    </w:p>
    <w:p>
      <w:pPr>
        <w:spacing w:line="360" w:lineRule="auto" w:before="0" w:after="80"/>
        <w:jc w:val="both"/>
      </w:pPr>
      <w:r>
        <w:rPr>
          <w:rFonts w:ascii="Arial" w:hAnsi="Arial"/>
          <w:b w:val="0"/>
          <w:i w:val="0"/>
          <w:color w:val="111827"/>
          <w:sz w:val="24"/>
        </w:rPr>
        <w:t>No âmbito de procedimento licitatório processado sob o regime da Lei Federal nº 12.232/2010 para a contratação de agência de propaganda, a comissão de contratação realizou sessão para constituição da Subcomissão Técnica encarregada de julgar as propostas técnicas.</w:t>
      </w:r>
    </w:p>
    <w:p>
      <w:pPr>
        <w:spacing w:line="360" w:lineRule="auto" w:before="0" w:after="80"/>
        <w:jc w:val="both"/>
      </w:pPr>
      <w:r>
        <w:rPr>
          <w:rFonts w:ascii="Arial" w:hAnsi="Arial"/>
          <w:b w:val="0"/>
          <w:i w:val="0"/>
          <w:color w:val="111827"/>
          <w:sz w:val="24"/>
        </w:rPr>
        <w:t xml:space="preserve">A respeito da composição e das regras aplicáveis à </w:t>
      </w:r>
      <w:r>
        <w:rPr>
          <w:rFonts w:ascii="Arial" w:hAnsi="Arial"/>
          <w:b/>
          <w:i w:val="0"/>
          <w:color w:val="111827"/>
          <w:sz w:val="24"/>
        </w:rPr>
        <w:t>Subcomissão Técnica</w:t>
      </w:r>
      <w:r>
        <w:rPr>
          <w:rFonts w:ascii="Arial" w:hAnsi="Arial"/>
          <w:b w:val="0"/>
          <w:i w:val="0"/>
          <w:color w:val="111827"/>
          <w:sz w:val="24"/>
        </w:rPr>
        <w:t>, a lei exige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Todos os membros sejam servidores públicos estatutários com pelo menos dez anos de efetivo exercício no órgão contratante.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subcomissão seja composta por no mínimo 3 membros com formação ou atuação na área de comunicação, selecionados obrigatoriamente por sorteio público em sessão aberta, sendo que no mínimo um terço (1/3) não pode manter vínculo funcional com o órgão licitante.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membros sejam indicados livre e diretamente pelo Presidente do Tribunal sem necessidade de sorteio ou publicidade.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agências participantes do certame indiquem a metade dos avaliadores técnicos da subcomissão.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proposta técnica apresentada pelas agências contenha logotipo e marcas de identificação destacadas para facilitar a atribuição de notas.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lei expressamente proíbe que todos os membros possuam vínculo com o órgão licitante, impondo a presença obrigatória de avaliadores externos independentes.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o art. 10 da Lei Federal nº 12.232/2010, a Subcomissão Técnica de publicidade é composta por pelo menos </w:t>
            </w:r>
            <w:r>
              <w:rPr>
                <w:rFonts w:ascii="Arial" w:hAnsi="Arial"/>
                <w:b/>
                <w:i w:val="0"/>
                <w:color w:val="111827"/>
                <w:sz w:val="21"/>
              </w:rPr>
              <w:t>3 (três) membros</w:t>
            </w:r>
            <w:r>
              <w:rPr>
                <w:rFonts w:ascii="Arial" w:hAnsi="Arial"/>
                <w:b w:val="0"/>
                <w:i w:val="0"/>
                <w:color w:val="111827"/>
                <w:sz w:val="21"/>
              </w:rPr>
              <w:t xml:space="preserve"> com formação superior ou experiência comprovada na área de comunicação social, publicidade ou marketing. Seus integrantes são escolhidos </w:t>
            </w:r>
            <w:r>
              <w:rPr>
                <w:rFonts w:ascii="Arial" w:hAnsi="Arial"/>
                <w:b/>
                <w:i w:val="0"/>
                <w:color w:val="111827"/>
                <w:sz w:val="21"/>
              </w:rPr>
              <w:t>obrigatoriamente mediante sorteio público</w:t>
            </w:r>
            <w:r>
              <w:rPr>
                <w:rFonts w:ascii="Arial" w:hAnsi="Arial"/>
                <w:b w:val="0"/>
                <w:i w:val="0"/>
                <w:color w:val="111827"/>
                <w:sz w:val="21"/>
              </w:rPr>
              <w:t xml:space="preserve"> em sessão previamente convocada, sendo imperativo que </w:t>
            </w:r>
            <w:r>
              <w:rPr>
                <w:rFonts w:ascii="Arial" w:hAnsi="Arial"/>
                <w:b/>
                <w:i w:val="0"/>
                <w:color w:val="111827"/>
                <w:sz w:val="21"/>
              </w:rPr>
              <w:t>pelo menos um terço (1/3) dos membros não mantenha vínculo funcional ou contratual</w:t>
            </w:r>
            <w:r>
              <w:rPr>
                <w:rFonts w:ascii="Arial" w:hAnsi="Arial"/>
                <w:b w:val="0"/>
                <w:i w:val="0"/>
                <w:color w:val="111827"/>
                <w:sz w:val="21"/>
              </w:rPr>
              <w:t xml:space="preserve"> com o órgão ou entidade promotora da licitação.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indicação direta discricionária é nula de pleno direito; a seleção exige sorteio público aberto na presença de interessados.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Licitantes não participam nem indicam avaliadores da comissão de licitação.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As propostas técnicas devem ser apresentadas de forma estritamente desidentificada e apócrifa (sem marcas, logotipos ou sinais da agência), sob pena de desclassificação imediata para preservar o julgamento impessoal e às cegas.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Auditor de Controle Externo / Adaptada)</w:t>
      </w:r>
    </w:p>
    <w:p>
      <w:pPr>
        <w:spacing w:line="360" w:lineRule="auto" w:before="0" w:after="80"/>
        <w:jc w:val="both"/>
      </w:pPr>
      <w:r>
        <w:rPr>
          <w:rFonts w:ascii="Arial" w:hAnsi="Arial"/>
          <w:b w:val="0"/>
          <w:i w:val="0"/>
          <w:color w:val="111827"/>
          <w:sz w:val="24"/>
        </w:rPr>
        <w:t>Determinada associação de servidores públicos ajuizou ação civil pretendendo que o Tribunal de Contas retirasse de seu Portal da Transparência a divulgação nominal individualizada da remuneração e vantagens pecuniárias recebidas pelos servidores do Tribunal, alegando que tal publicidade vulnerava a garantia constitucional da privacidade e intimidade.</w:t>
      </w:r>
    </w:p>
    <w:p>
      <w:pPr>
        <w:spacing w:line="360" w:lineRule="auto" w:before="0" w:after="80"/>
        <w:jc w:val="both"/>
      </w:pPr>
      <w:r>
        <w:rPr>
          <w:rFonts w:ascii="Arial" w:hAnsi="Arial"/>
          <w:b w:val="0"/>
          <w:i w:val="0"/>
          <w:color w:val="111827"/>
          <w:sz w:val="24"/>
        </w:rPr>
        <w:t xml:space="preserve">Em consonância com a jurisprudência vinculante fixada pelo Supremo Tribunal Federal no julgamento do </w:t>
      </w:r>
      <w:r>
        <w:rPr>
          <w:rFonts w:ascii="Arial" w:hAnsi="Arial"/>
          <w:b/>
          <w:i w:val="0"/>
          <w:color w:val="111827"/>
          <w:sz w:val="24"/>
        </w:rPr>
        <w:t>Tema 483</w:t>
      </w:r>
      <w:r>
        <w:rPr>
          <w:rFonts w:ascii="Arial" w:hAnsi="Arial"/>
          <w:b w:val="0"/>
          <w:i w:val="0"/>
          <w:color w:val="111827"/>
          <w:sz w:val="24"/>
        </w:rPr>
        <w:t xml:space="preserve"> da Repercussão Geral: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pretensão da associação deve ser acolhida integralmente, sendo inconstitucional a divulgação nominal do subsídio de servidores públicos sem prévia autorização judicial.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É legítima a publicação, inclusive em sítio oficial mantido pela Administração Pública na internet, dos nomes dos servidores e do valor dos correspondentes vencimentos e vantagens pecuniárias, prevalecendo o princípio da publicidade administrativa.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divulgação de remunerações é permitida apenas quanto aos cargos comissionados, permanecendo sob sigilo absoluto a remuneração dos concursados efetivos.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publicidade dos salários de servidores atenta contra a moralidade pública, configurando dano moral presumido (</w:t>
      </w:r>
      <w:r>
        <w:rPr>
          <w:rFonts w:ascii="Arial" w:hAnsi="Arial"/>
          <w:b w:val="0"/>
          <w:i/>
          <w:color w:val="111827"/>
          <w:sz w:val="22"/>
        </w:rPr>
        <w:t>in re ipsa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Os vencimentos de agentes públicos podem ser divulgados apenas mediante solicitação individual fundamentada protocolada presencialmente no protocolo físico.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pretensão da associação afronta a tese vinculante do STF fixada em repercussão geral, sendo legítima e constitucional a divulgação.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No julgamento do RE 652.777 sob a sistemática da repercussão geral (</w:t>
            </w:r>
            <w:r>
              <w:rPr>
                <w:rFonts w:ascii="Arial" w:hAnsi="Arial"/>
                <w:b/>
                <w:i w:val="0"/>
                <w:color w:val="111827"/>
                <w:sz w:val="21"/>
              </w:rPr>
              <w:t>Tema 483</w:t>
            </w:r>
            <w:r>
              <w:rPr>
                <w:rFonts w:ascii="Arial" w:hAnsi="Arial"/>
                <w:b w:val="0"/>
                <w:i w:val="0"/>
                <w:color w:val="111827"/>
                <w:sz w:val="21"/>
              </w:rPr>
              <w:t xml:space="preserve">), o Supremo Tribunal Federal assentou: </w:t>
            </w:r>
            <w:r>
              <w:rPr>
                <w:rFonts w:ascii="Arial" w:hAnsi="Arial"/>
                <w:b w:val="0"/>
                <w:i/>
                <w:color w:val="111827"/>
                <w:sz w:val="21"/>
              </w:rPr>
              <w:t>"É legítima a publicação, inclusive em sítio eletrônico mantido pela Administração Pública, dos nomes dos seus servidores e do valor dos correspondentes vencimentos e vantagens pecuniárias."</w:t>
            </w:r>
            <w:r>
              <w:rPr>
                <w:rFonts w:ascii="Arial" w:hAnsi="Arial"/>
                <w:b w:val="0"/>
                <w:i w:val="0"/>
                <w:color w:val="111827"/>
                <w:sz w:val="21"/>
              </w:rPr>
              <w:t xml:space="preserve"> A prevalência do princípio da publicidade, da transparência ativa e do controle social dos gastos públicos sobrepõe-se à pretensão de sigilo patrimonial de quem é pago pelo erário.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transparência ativa recai uniformemente sobre servidores concursados efetivos, comissionados e agentes políticos.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divulgação de vencimentos atende à moralidade pública e decorre de mandamento constitucional e da Lei de Acesso à Informação, inexistindo ilicitude ou dano moral.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transparência ativa é de acesso franqueado e universal pela rede mundial de computadores, dispensando pedidos ou justificativas prévias.</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01 - Governança, Planejamento da Contratação, ETP, TR e Matriz de Riscos (Lei 14.133/2021)</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Licitações e Contratos Administrativos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01_governanca_planejamento_etp_tr_e_matriz_riscos.md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Princípios gerais e regime da Lei Federal nº 14.133/2021 (Nova Lei de Licitações e Contratos Administrativos - NLLC)</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Governança das contratações públicas e gestão por competências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Agentes públicos na licitação: Agente de Contratação, Pregoeiro, Equipe de Apoio e Comissão de Contratação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Princípio da Segregação de Funções e vedação de conflito de interesses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Planejamento das contratações públicas: Plano de Contratações Anual (PCA)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Estudo Técnico Preliminar (ETP): conceito, conteúdo obrigatório e facultativo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Termo de Referência (TR), Projeto Básico e Projeto Executivo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Matriz de Alocação de Riscos: conceito, finalidade e equilíbrio econômico-financeiro originário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Portal Nacional de Contratações Públicas (PNCP): natureza, atribuições e publicidade centralizada</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Princípios Gerais e Regime da Lei Federal nº 14.133/2021 (NLLC)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Âmbito de Aplicação Subjetivo e Objetos Abrangidos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Os Objetivos Fundamentais do Processo Licitatório (Art. 11)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Governança das Contratações e Gestão por Competências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Agentes Públicos da Contratação e Segregação de Funções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O Agente de Contratação e o Pregoeiro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Comissão de Contratação e a Regra do Diálogo Competitivo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O Princípio da Segregação de Funções e Conflito de Interesses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Defesa Jurídica Institucional dos Agentes (Art. 10)</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Planejamento das Contratações e Instrumentos Preparatórios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Plano de Contratações Anual (PCA) e Integração Orçamentária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Estudo Técnico Preliminar (ETP): Conceito e Elementos Obrigatórios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Termo de Referência vs. Projeto Básico e Projeto Executivo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Matriz de Alocação de Riscos e Equilíbrio Econômico-Financeiro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O Portal Nacional de Contratações Públicas (PNCP)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Natureza e Atribuições Centrais do Portal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A Divulgação no PNCP como Requisito Indispensável de Eficácia (Art. 94)</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&amp; Exemplos (Padrão FCC)</w:t>
      </w:r>
    </w:p>
    <w:p>
      <w:pPr>
        <w:keepNext/>
        <w:spacing w:before="280" w:after="120"/>
      </w:pPr>
      <w:r>
        <w:rPr>
          <w:rFonts w:ascii="Arial" w:hAnsi="Arial"/>
          <w:b/>
          <w:i w:val="0"/>
          <w:color w:val="2C5282"/>
          <w:sz w:val="28"/>
        </w:rPr>
        <w:t>1. Princípios Gerais e Regime da Lei Federal nº 14.133/2021 (NLLC)</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Lei Federal nº 14.133/2021</w:t>
      </w:r>
      <w:r>
        <w:rPr>
          <w:rFonts w:ascii="Arial" w:hAnsi="Arial"/>
          <w:b w:val="0"/>
          <w:i w:val="0"/>
          <w:color w:val="111827"/>
          <w:sz w:val="24"/>
        </w:rPr>
        <w:t xml:space="preserve"> (Nova Lei de Licitações e Contratos Administrativos - NLLC) consolidou o regime jurídico das compras públicas no Brasil, revogando expressamente a Lei nº 8.666/1993, a Lei do Pregão (Lei nº 10.520/2002) e o Regime Diferenciado de Contratações Públicas (RDC - Lei nº 12.462/2011).</w:t>
      </w:r>
    </w:p>
    <w:p>
      <w:pPr>
        <w:keepNext/>
        <w:spacing w:before="200" w:after="80"/>
      </w:pPr>
      <w:r>
        <w:rPr>
          <w:rFonts w:ascii="Arial" w:hAnsi="Arial"/>
          <w:b/>
          <w:i w:val="0"/>
          <w:color w:val="2B6CB0"/>
          <w:sz w:val="24"/>
        </w:rPr>
        <w:t>1.1 Âmbito de Aplicação Subjetivo e Objetos Abrangidos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Entes Abrangidos (Art. 1º):</w:t>
      </w:r>
      <w:r>
        <w:rPr>
          <w:rFonts w:ascii="Arial" w:hAnsi="Arial"/>
          <w:b w:val="0"/>
          <w:i w:val="0"/>
          <w:color w:val="111827"/>
          <w:sz w:val="22"/>
        </w:rPr>
        <w:t xml:space="preserve"> Submetem-se aos seus comandos a Administração Pública direta, autárquica e fundacional de todos os entes federados (União, Estados, Distrito Federal e Municípios), abrangendo os Poderes Executivo, Legislativo e Judiciário, além do Tribunal de Contas e do Ministério Público no exercício de suas funções administrativas atípicas.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Ressalva das Empresas Estatais:</w:t>
      </w:r>
      <w:r>
        <w:rPr>
          <w:rFonts w:ascii="Arial" w:hAnsi="Arial"/>
          <w:b w:val="0"/>
          <w:i w:val="0"/>
          <w:color w:val="111827"/>
          <w:sz w:val="22"/>
        </w:rPr>
        <w:t xml:space="preserve"> As empresas públicas e as sociedades de economia mista continuam submetidas ao seu regime licitatório e contratual próprio preconizado pela </w:t>
      </w:r>
      <w:r>
        <w:rPr>
          <w:rFonts w:ascii="Arial" w:hAnsi="Arial"/>
          <w:b/>
          <w:i w:val="0"/>
          <w:color w:val="111827"/>
          <w:sz w:val="22"/>
        </w:rPr>
        <w:t>Lei Federal nº 13.303/2016</w:t>
      </w:r>
      <w:r>
        <w:rPr>
          <w:rFonts w:ascii="Arial" w:hAnsi="Arial"/>
          <w:b w:val="0"/>
          <w:i w:val="0"/>
          <w:color w:val="111827"/>
          <w:sz w:val="22"/>
        </w:rPr>
        <w:t>, aplicando-se-lhes a NLLC apenas no capítulo referente aos crimes em licitações e contratos (arts. 337-E a 337-P do Código Penal, inseridos pelo art. 178 da Lei 14.133/2021).</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Princípios Expressos (Art. 5º):</w:t>
      </w:r>
      <w:r>
        <w:rPr>
          <w:rFonts w:ascii="Arial" w:hAnsi="Arial"/>
          <w:b w:val="0"/>
          <w:i w:val="0"/>
          <w:color w:val="111827"/>
          <w:sz w:val="22"/>
        </w:rPr>
        <w:t xml:space="preserve"> Legalidade, impessoalidade, moralidade, publicidade, eficiência, interesse público, probidade administrativa, igualdade, planejamento, transparência, eficácia, segregação de funções, motivação, vinculação ao edital, julgamento objetivo, segurança jurídica, razoabilidade, proporcionalidade, celeridade, economicidade e desenvolvimento nacional sustentável.</w:t>
      </w:r>
    </w:p>
    <w:p>
      <w:pPr>
        <w:keepNext/>
        <w:spacing w:before="200" w:after="80"/>
      </w:pPr>
      <w:r>
        <w:rPr>
          <w:rFonts w:ascii="Arial" w:hAnsi="Arial"/>
          <w:b/>
          <w:i w:val="0"/>
          <w:color w:val="2B6CB0"/>
          <w:sz w:val="24"/>
        </w:rPr>
        <w:t>1.2 Os Objetivos Fundamentais do Processo Licitatório (Art. 11)</w:t>
      </w:r>
    </w:p>
    <w:p>
      <w:pPr>
        <w:spacing w:line="360" w:lineRule="auto" w:before="0" w:after="80"/>
        <w:jc w:val="both"/>
      </w:pPr>
      <w:r>
        <w:rPr>
          <w:rFonts w:ascii="Arial" w:hAnsi="Arial"/>
          <w:b w:val="0"/>
          <w:i w:val="0"/>
          <w:color w:val="111827"/>
          <w:sz w:val="24"/>
        </w:rPr>
        <w:t>A NLLC inovou ao estruturar quatro objetivos finalísticos obrigatórios a serem perseguidos pela Administração:</w:t>
      </w:r>
    </w:p>
    <w:p>
      <w:pPr>
        <w:spacing w:after="120"/>
      </w:pPr>
    </w:p>
    <w:p>
      <w:pPr>
        <w:keepNext/>
        <w:spacing w:before="200" w:after="80"/>
      </w:pPr>
      <w:r>
        <w:rPr>
          <w:rFonts w:ascii="Arial" w:hAnsi="Arial"/>
          <w:b/>
          <w:i w:val="0"/>
          <w:color w:val="2B6CB0"/>
          <w:sz w:val="24"/>
        </w:rPr>
        <w:t>1.3 Governança das Contratações e Gestão por Competências</w:t>
      </w:r>
    </w:p>
    <w:p>
      <w:pPr>
        <w:spacing w:line="360" w:lineRule="auto" w:before="0" w:after="80"/>
        <w:jc w:val="both"/>
      </w:pPr>
      <w:r>
        <w:rPr>
          <w:rFonts w:ascii="Arial" w:hAnsi="Arial"/>
          <w:b w:val="0"/>
          <w:i w:val="0"/>
          <w:color w:val="111827"/>
          <w:sz w:val="24"/>
        </w:rPr>
        <w:t>A NLLC elevou a governança ao patamar de exigência legal expressa (art. 11, parágrafo único):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alta administração do órgão ou entidade é responsável pela implementação e fiscalização contínua de mecanismos de liderança, estratégia e controle;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Exige </w:t>
      </w:r>
      <w:r>
        <w:rPr>
          <w:rFonts w:ascii="Arial" w:hAnsi="Arial"/>
          <w:b/>
          <w:i w:val="0"/>
          <w:color w:val="111827"/>
          <w:sz w:val="22"/>
        </w:rPr>
        <w:t>gestão por competências</w:t>
      </w:r>
      <w:r>
        <w:rPr>
          <w:rFonts w:ascii="Arial" w:hAnsi="Arial"/>
          <w:b w:val="0"/>
          <w:i w:val="0"/>
          <w:color w:val="111827"/>
          <w:sz w:val="22"/>
        </w:rPr>
        <w:t>, determinando que os agentes públicos designados para atuar na área de licitações possuam formação compatível ou qualificação atestada por certificação profissional emitida por escola de governo.</w:t>
      </w:r>
    </w:p>
    <w:p>
      <w:pPr>
        <w:keepNext/>
        <w:spacing w:before="280" w:after="120"/>
      </w:pPr>
      <w:r>
        <w:rPr>
          <w:rFonts w:ascii="Arial" w:hAnsi="Arial"/>
          <w:b/>
          <w:i w:val="0"/>
          <w:color w:val="2C5282"/>
          <w:sz w:val="28"/>
        </w:rPr>
        <w:t>2. Agentes Públicos da Contratação e Segregação de Funções</w:t>
      </w:r>
    </w:p>
    <w:p>
      <w:pPr>
        <w:keepNext/>
        <w:spacing w:before="200" w:after="80"/>
      </w:pPr>
      <w:r>
        <w:rPr>
          <w:rFonts w:ascii="Arial" w:hAnsi="Arial"/>
          <w:b/>
          <w:i w:val="0"/>
          <w:color w:val="2B6CB0"/>
          <w:sz w:val="24"/>
        </w:rPr>
        <w:t>2.1 O Agente de Contratação e o Pregoeiro</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Agente de Contratação</w:t>
      </w:r>
      <w:r>
        <w:rPr>
          <w:rFonts w:ascii="Arial" w:hAnsi="Arial"/>
          <w:b w:val="0"/>
          <w:i w:val="0"/>
          <w:color w:val="111827"/>
          <w:sz w:val="24"/>
        </w:rPr>
        <w:t xml:space="preserve"> (art. 8º) é a pessoa física designada pela autoridade competente para tomar decisões, acompanhar o trâmite da licitação, dar impulso ao procedimento e executar quaisquer outras atividades necessárias ao bom andamento do certame até a homologação.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Requisito Obrigatório de Investidura:</w:t>
      </w:r>
      <w:r>
        <w:rPr>
          <w:rFonts w:ascii="Arial" w:hAnsi="Arial"/>
          <w:b w:val="0"/>
          <w:i w:val="0"/>
          <w:color w:val="111827"/>
          <w:sz w:val="22"/>
        </w:rPr>
        <w:t xml:space="preserve"> Deve ser, preferencialmente, </w:t>
      </w:r>
      <w:r>
        <w:rPr>
          <w:rFonts w:ascii="Arial" w:hAnsi="Arial"/>
          <w:b/>
          <w:i w:val="0"/>
          <w:color w:val="111827"/>
          <w:sz w:val="22"/>
        </w:rPr>
        <w:t>servidor efetivo ou empregado público dos quadros permanentes</w:t>
      </w:r>
      <w:r>
        <w:rPr>
          <w:rFonts w:ascii="Arial" w:hAnsi="Arial"/>
          <w:b w:val="0"/>
          <w:i w:val="0"/>
          <w:color w:val="111827"/>
          <w:sz w:val="22"/>
        </w:rPr>
        <w:t xml:space="preserve"> da Administração Pública.  </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CRÍTICO FCC:</w:t>
            </w:r>
            <w:r>
              <w:rPr>
                <w:rFonts w:ascii="Arial" w:hAnsi="Arial"/>
                <w:b w:val="0"/>
                <w:i w:val="0"/>
                <w:color w:val="111827"/>
                <w:sz w:val="21"/>
              </w:rPr>
              <w:t xml:space="preserve"> É vedada a designação exclusiva de cidadão ocupante de cargo em comissão sem vínculo efetivo com o ente federado para atuar como Agente de Contratação!</w:t>
            </w:r>
          </w:p>
        </w:tc>
      </w:tr>
    </w:tbl>
    <w:p>
      <w:pPr>
        <w:spacing w:before="0"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Responsabilidade Individual:</w:t>
      </w:r>
      <w:r>
        <w:rPr>
          <w:rFonts w:ascii="Arial" w:hAnsi="Arial"/>
          <w:b w:val="0"/>
          <w:i w:val="0"/>
          <w:color w:val="111827"/>
          <w:sz w:val="22"/>
        </w:rPr>
        <w:t xml:space="preserve"> Responde </w:t>
      </w:r>
      <w:r>
        <w:rPr>
          <w:rFonts w:ascii="Arial" w:hAnsi="Arial"/>
          <w:b/>
          <w:i w:val="0"/>
          <w:color w:val="111827"/>
          <w:sz w:val="22"/>
        </w:rPr>
        <w:t>individualmente</w:t>
      </w:r>
      <w:r>
        <w:rPr>
          <w:rFonts w:ascii="Arial" w:hAnsi="Arial"/>
          <w:b w:val="0"/>
          <w:i w:val="0"/>
          <w:color w:val="111827"/>
          <w:sz w:val="22"/>
        </w:rPr>
        <w:t xml:space="preserve"> pelos atos que praticar na condução do procedimento, salvo quando for induzido a erro pela atuação de sua equipe de apoio ou comissão.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Pregoeiro:</w:t>
      </w:r>
      <w:r>
        <w:rPr>
          <w:rFonts w:ascii="Arial" w:hAnsi="Arial"/>
          <w:b w:val="0"/>
          <w:i w:val="0"/>
          <w:color w:val="111827"/>
          <w:sz w:val="22"/>
        </w:rPr>
        <w:t xml:space="preserve"> É a denominação atribuída ao agente de contratação quando a licitação for processada na modalidade </w:t>
      </w:r>
      <w:r>
        <w:rPr>
          <w:rFonts w:ascii="Arial" w:hAnsi="Arial"/>
          <w:b/>
          <w:i w:val="0"/>
          <w:color w:val="111827"/>
          <w:sz w:val="22"/>
        </w:rPr>
        <w:t>Pregão</w:t>
      </w:r>
      <w:r>
        <w:rPr>
          <w:rFonts w:ascii="Arial" w:hAnsi="Arial"/>
          <w:b w:val="0"/>
          <w:i w:val="0"/>
          <w:color w:val="111827"/>
          <w:sz w:val="22"/>
        </w:rPr>
        <w:t xml:space="preserve"> (art. 8º, § 5º).</w:t>
      </w:r>
    </w:p>
    <w:p>
      <w:pPr>
        <w:keepNext/>
        <w:spacing w:before="200" w:after="80"/>
      </w:pPr>
      <w:r>
        <w:rPr>
          <w:rFonts w:ascii="Arial" w:hAnsi="Arial"/>
          <w:b/>
          <w:i w:val="0"/>
          <w:color w:val="2B6CB0"/>
          <w:sz w:val="24"/>
        </w:rPr>
        <w:t>2.2 Comissão de Contratação e a Regra do Diálogo Competitivo</w:t>
      </w:r>
    </w:p>
    <w:p>
      <w:pPr>
        <w:spacing w:line="360" w:lineRule="auto" w:before="0" w:after="80"/>
        <w:jc w:val="both"/>
      </w:pPr>
      <w:r>
        <w:rPr>
          <w:rFonts w:ascii="Arial" w:hAnsi="Arial"/>
          <w:b w:val="0"/>
          <w:i w:val="0"/>
          <w:color w:val="111827"/>
          <w:sz w:val="24"/>
        </w:rPr>
        <w:t>A condução por comissão colegiada constitui exceção à regra geral do agente individual: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Composição da Comissão:</w:t>
      </w:r>
      <w:r>
        <w:rPr>
          <w:rFonts w:ascii="Arial" w:hAnsi="Arial"/>
          <w:b w:val="0"/>
          <w:i w:val="0"/>
          <w:color w:val="111827"/>
          <w:sz w:val="22"/>
        </w:rPr>
        <w:t xml:space="preserve"> Composta por, no mínimo, </w:t>
      </w:r>
      <w:r>
        <w:rPr>
          <w:rFonts w:ascii="Arial" w:hAnsi="Arial"/>
          <w:b/>
          <w:i w:val="0"/>
          <w:color w:val="111827"/>
          <w:sz w:val="22"/>
        </w:rPr>
        <w:t>3 (três) membros</w:t>
      </w:r>
      <w:r>
        <w:rPr>
          <w:rFonts w:ascii="Arial" w:hAnsi="Arial"/>
          <w:b w:val="0"/>
          <w:i w:val="0"/>
          <w:color w:val="111827"/>
          <w:sz w:val="22"/>
        </w:rPr>
        <w:t>, sendo a maioria servidores efetivos ou empregados públicos permanentes. Os membros respondem solidariamente por todos os atos, ressalvado o membro que manifestar voto divergente registrado expressamente em ata (art. 8º, § 1º).</w:t>
      </w:r>
    </w:p>
    <w:p>
      <w:pPr>
        <w:spacing w:line="276" w:lineRule="auto" w:before="20" w:after="40"/>
        <w:ind w:left="425"/>
      </w:pPr>
      <w:r>
        <w:rPr>
          <w:rFonts w:ascii="Arial" w:hAnsi="Arial"/>
          <w:b/>
          <w:color w:val="2B6CB0"/>
          <w:sz w:val="22"/>
        </w:rPr>
        <w:t xml:space="preserve">• </w:t>
      </w:r>
      <w:r>
        <w:rPr>
          <w:rFonts w:ascii="Arial" w:hAnsi="Arial"/>
          <w:b/>
          <w:i w:val="0"/>
          <w:color w:val="111827"/>
          <w:sz w:val="22"/>
        </w:rPr>
        <w:t>Hipóteses de Atuação:</w:t>
      </w:r>
      <w:r>
        <w:rPr>
          <w:rFonts w:ascii="Arial" w:hAnsi="Arial"/>
          <w:b w:val="0"/>
          <w:i w:val="0"/>
          <w:color w:val="111827"/>
          <w:sz w:val="22"/>
        </w:rPr>
        <w:t xml:space="preserve"> Bens e serviços especiais; procedimentos auxiliares; e obrigatoriamente no </w:t>
      </w:r>
      <w:r>
        <w:rPr>
          <w:rFonts w:ascii="Arial" w:hAnsi="Arial"/>
          <w:b/>
          <w:i w:val="0"/>
          <w:color w:val="111827"/>
          <w:sz w:val="22"/>
        </w:rPr>
        <w:t>Diálogo Competitivo</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FF6FF"/>
            <w:tcBorders>
              <w:left w:val="single" w:sz="32" w:space="0" w:color="2563EB"/>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Regra Canônica FCC:</w:t>
            </w:r>
          </w:p>
          <w:p>
            <w:pPr>
              <w:spacing w:line="288" w:lineRule="auto" w:before="40" w:after="40"/>
            </w:pPr>
            <w:r>
              <w:rPr>
                <w:rFonts w:ascii="Arial" w:hAnsi="Arial"/>
                <w:b w:val="0"/>
                <w:i w:val="0"/>
                <w:color w:val="111827"/>
                <w:sz w:val="21"/>
              </w:rPr>
              <w:t xml:space="preserve">Na modalidade </w:t>
            </w:r>
            <w:r>
              <w:rPr>
                <w:rFonts w:ascii="Arial" w:hAnsi="Arial"/>
                <w:b/>
                <w:i w:val="0"/>
                <w:color w:val="111827"/>
                <w:sz w:val="21"/>
              </w:rPr>
              <w:t>Diálogo Competitivo</w:t>
            </w:r>
            <w:r>
              <w:rPr>
                <w:rFonts w:ascii="Arial" w:hAnsi="Arial"/>
                <w:b w:val="0"/>
                <w:i w:val="0"/>
                <w:color w:val="111827"/>
                <w:sz w:val="21"/>
              </w:rPr>
              <w:t xml:space="preserve">, a condução por </w:t>
            </w:r>
            <w:r>
              <w:rPr>
                <w:rFonts w:ascii="Arial" w:hAnsi="Arial"/>
                <w:b/>
                <w:i w:val="0"/>
                <w:color w:val="111827"/>
                <w:sz w:val="21"/>
              </w:rPr>
              <w:t>comissão de contratação de no mínimo 3 servidores efetivos</w:t>
            </w:r>
            <w:r>
              <w:rPr>
                <w:rFonts w:ascii="Arial" w:hAnsi="Arial"/>
                <w:b w:val="0"/>
                <w:i w:val="0"/>
                <w:color w:val="111827"/>
                <w:sz w:val="21"/>
              </w:rPr>
              <w:t xml:space="preserve"> é </w:t>
            </w:r>
            <w:r>
              <w:rPr>
                <w:rFonts w:ascii="Arial" w:hAnsi="Arial"/>
                <w:b/>
                <w:i w:val="0"/>
                <w:color w:val="111827"/>
                <w:sz w:val="21"/>
              </w:rPr>
              <w:t>OBRIGATÓRIA</w:t>
            </w:r>
            <w:r>
              <w:rPr>
                <w:rFonts w:ascii="Arial" w:hAnsi="Arial"/>
                <w:b w:val="0"/>
                <w:i w:val="0"/>
                <w:color w:val="111827"/>
                <w:sz w:val="21"/>
              </w:rPr>
              <w:t xml:space="preserve"> por expressa exigência do art. 32, inciso XI, da Lei nº 14.133/2021. Jamais pode ser conduzida por agente monocrático isolado!</w:t>
            </w:r>
          </w:p>
        </w:tc>
      </w:tr>
    </w:tbl>
    <w:p>
      <w:pPr>
        <w:spacing w:before="0" w:after="120"/>
      </w:pPr>
    </w:p>
    <w:p>
      <w:pPr>
        <w:keepNext/>
        <w:spacing w:before="200" w:after="80"/>
      </w:pPr>
      <w:r>
        <w:rPr>
          <w:rFonts w:ascii="Arial" w:hAnsi="Arial"/>
          <w:b/>
          <w:i w:val="0"/>
          <w:color w:val="2B6CB0"/>
          <w:sz w:val="24"/>
        </w:rPr>
        <w:t>2.3 O Princípio da Segregação de Funções e Conflito de Interesses</w:t>
      </w:r>
    </w:p>
    <w:p>
      <w:pPr>
        <w:spacing w:line="360" w:lineRule="auto" w:before="0" w:after="80"/>
        <w:jc w:val="both"/>
      </w:pPr>
      <w:r>
        <w:rPr>
          <w:rFonts w:ascii="Arial" w:hAnsi="Arial"/>
          <w:b w:val="0"/>
          <w:i w:val="0"/>
          <w:color w:val="111827"/>
          <w:sz w:val="24"/>
        </w:rPr>
        <w:t>Positivado formalmente no art. 5º e detalhado no art. 7º, § 1º, da NLLC:</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Conceito:</w:t>
      </w:r>
      <w:r>
        <w:rPr>
          <w:rFonts w:ascii="Arial" w:hAnsi="Arial"/>
          <w:b w:val="0"/>
          <w:i w:val="0"/>
          <w:color w:val="111827"/>
          <w:sz w:val="22"/>
        </w:rPr>
        <w:t xml:space="preserve"> Impõe a repartição criteriosa de funções entre agentes públicos distintos, vedando expressamente a concentração de atribuições mais suscetíveis a riscos em uma mesma autoridade;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Aplicação Prática Inegociável:</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 xml:space="preserve">O agente que elabora o Estudo Técnico Preliminar e o Termo de Referência (fase interna) </w:t>
      </w:r>
      <w:r>
        <w:rPr>
          <w:rFonts w:ascii="Arial" w:hAnsi="Arial"/>
          <w:b/>
          <w:i w:val="0"/>
          <w:color w:val="111827"/>
          <w:sz w:val="22"/>
        </w:rPr>
        <w:t>não deve conduzir o julgamento das propostas</w:t>
      </w:r>
      <w:r>
        <w:rPr>
          <w:rFonts w:ascii="Arial" w:hAnsi="Arial"/>
          <w:b w:val="0"/>
          <w:i w:val="0"/>
          <w:color w:val="111827"/>
          <w:sz w:val="22"/>
        </w:rPr>
        <w:t xml:space="preserve"> como agente de contratação (fase externa);</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 xml:space="preserve">O agente que julga e adjudica a licitação </w:t>
      </w:r>
      <w:r>
        <w:rPr>
          <w:rFonts w:ascii="Arial" w:hAnsi="Arial"/>
          <w:b/>
          <w:i w:val="0"/>
          <w:color w:val="111827"/>
          <w:sz w:val="22"/>
        </w:rPr>
        <w:t>não pode atuar como fiscal ou gestor do contrato</w:t>
      </w:r>
      <w:r>
        <w:rPr>
          <w:rFonts w:ascii="Arial" w:hAnsi="Arial"/>
          <w:b w:val="0"/>
          <w:i w:val="0"/>
          <w:color w:val="111827"/>
          <w:sz w:val="22"/>
        </w:rPr>
        <w:t>, nem ser o responsável por atestar faturas e autorizar pagamentos financeiros.</w:t>
      </w:r>
    </w:p>
    <w:p>
      <w:pPr>
        <w:spacing w:after="120"/>
      </w:pPr>
    </w:p>
    <w:p>
      <w:pPr>
        <w:keepNext/>
        <w:spacing w:before="200" w:after="80"/>
      </w:pPr>
      <w:r>
        <w:rPr>
          <w:rFonts w:ascii="Arial" w:hAnsi="Arial"/>
          <w:b/>
          <w:i w:val="0"/>
          <w:color w:val="2B6CB0"/>
          <w:sz w:val="24"/>
        </w:rPr>
        <w:t>2.4 Defesa Jurídica Institucional dos Agentes (Art. 10)</w:t>
      </w:r>
    </w:p>
    <w:p>
      <w:pPr>
        <w:spacing w:line="360" w:lineRule="auto" w:before="0" w:after="80"/>
        <w:jc w:val="both"/>
      </w:pPr>
      <w:r>
        <w:rPr>
          <w:rFonts w:ascii="Arial" w:hAnsi="Arial"/>
          <w:b w:val="0"/>
          <w:i w:val="0"/>
          <w:color w:val="111827"/>
          <w:sz w:val="24"/>
        </w:rPr>
        <w:t xml:space="preserve">Se o agente público for demandado nas esferas judicial ou controladora (perante o Tribunal de Contas) em virtude de atos praticados em estrito cumprimento do dever legal na licitação, </w:t>
      </w:r>
      <w:r>
        <w:rPr>
          <w:rFonts w:ascii="Arial" w:hAnsi="Arial"/>
          <w:b/>
          <w:i w:val="0"/>
          <w:color w:val="111827"/>
          <w:sz w:val="24"/>
        </w:rPr>
        <w:t>terá direito à representação judicial pela Advocacia Pública</w:t>
      </w:r>
      <w:r>
        <w:rPr>
          <w:rFonts w:ascii="Arial" w:hAnsi="Arial"/>
          <w:b w:val="0"/>
          <w:i w:val="0"/>
          <w:color w:val="111827"/>
          <w:sz w:val="24"/>
        </w:rPr>
        <w:t xml:space="preserve"> (Procuradoria do Estado), desde que sua conduta tenha sido previamente respaldada por parecer jurídico da assessoria do órgão.</w:t>
      </w:r>
    </w:p>
    <w:p>
      <w:pPr>
        <w:keepNext/>
        <w:spacing w:before="280" w:after="120"/>
      </w:pPr>
      <w:r>
        <w:rPr>
          <w:rFonts w:ascii="Arial" w:hAnsi="Arial"/>
          <w:b/>
          <w:i w:val="0"/>
          <w:color w:val="2C5282"/>
          <w:sz w:val="28"/>
        </w:rPr>
        <w:t>3. Planejamento das Contratações e Instrumentos Preparatórios</w:t>
      </w:r>
    </w:p>
    <w:p>
      <w:pPr>
        <w:spacing w:line="360" w:lineRule="auto" w:before="0" w:after="80"/>
        <w:jc w:val="both"/>
      </w:pPr>
      <w:r>
        <w:rPr>
          <w:rFonts w:ascii="Arial" w:hAnsi="Arial"/>
          <w:b w:val="0"/>
          <w:i w:val="0"/>
          <w:color w:val="111827"/>
          <w:sz w:val="24"/>
        </w:rPr>
        <w:t xml:space="preserve">A Lei nº 14.133/2021 consagrou a centralidade da </w:t>
      </w:r>
      <w:r>
        <w:rPr>
          <w:rFonts w:ascii="Arial" w:hAnsi="Arial"/>
          <w:b/>
          <w:i w:val="0"/>
          <w:color w:val="111827"/>
          <w:sz w:val="24"/>
        </w:rPr>
        <w:t>fase preparatória</w:t>
      </w:r>
      <w:r>
        <w:rPr>
          <w:rFonts w:ascii="Arial" w:hAnsi="Arial"/>
          <w:b w:val="0"/>
          <w:i w:val="0"/>
          <w:color w:val="111827"/>
          <w:sz w:val="24"/>
        </w:rPr>
        <w:t>, superando a cultura de contratações improvisadas.</w:t>
      </w:r>
    </w:p>
    <w:p>
      <w:pPr>
        <w:keepNext/>
        <w:spacing w:before="200" w:after="80"/>
      </w:pPr>
      <w:r>
        <w:rPr>
          <w:rFonts w:ascii="Arial" w:hAnsi="Arial"/>
          <w:b/>
          <w:i w:val="0"/>
          <w:color w:val="2B6CB0"/>
          <w:sz w:val="24"/>
        </w:rPr>
        <w:t>3.1 Plano de Contratações Anual (PCA) e Integração Orçamentária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art. 12, VII, preconiza a elaboração do </w:t>
      </w:r>
      <w:r>
        <w:rPr>
          <w:rFonts w:ascii="Arial" w:hAnsi="Arial"/>
          <w:b/>
          <w:i w:val="0"/>
          <w:color w:val="111827"/>
          <w:sz w:val="22"/>
        </w:rPr>
        <w:t>Plano de Contratações Anual (PCA)</w:t>
      </w:r>
      <w:r>
        <w:rPr>
          <w:rFonts w:ascii="Arial" w:hAnsi="Arial"/>
          <w:b w:val="0"/>
          <w:i w:val="0"/>
          <w:color w:val="111827"/>
          <w:sz w:val="22"/>
        </w:rPr>
        <w:t>, instrumento de governança que consolida todas as compras e contratações que o órgão pretende realizar no exercício financeiro subsequente.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Seu objetivo primordial é racionalizar as compras públicas, viabilizar o ganho de escala e garantir a perfeita compatibilização das despesas com as metas do Plano Plurianual (PPA), da Lei de Diretrizes Orçamentárias (LDO) e da Lei Orçamentária Anual (LOA).</w:t>
      </w:r>
    </w:p>
    <w:p>
      <w:pPr>
        <w:keepNext/>
        <w:spacing w:before="200" w:after="80"/>
      </w:pPr>
      <w:r>
        <w:rPr>
          <w:rFonts w:ascii="Arial" w:hAnsi="Arial"/>
          <w:b/>
          <w:i w:val="0"/>
          <w:color w:val="2B6CB0"/>
          <w:sz w:val="24"/>
        </w:rPr>
        <w:t>3.2 Estudo Técnico Preliminar (ETP): Conceito e Elementos Obrigatórios</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Estudo Técnico Preliminar (ETP)</w:t>
      </w:r>
      <w:r>
        <w:rPr>
          <w:rFonts w:ascii="Arial" w:hAnsi="Arial"/>
          <w:b w:val="0"/>
          <w:i w:val="0"/>
          <w:color w:val="111827"/>
          <w:sz w:val="24"/>
        </w:rPr>
        <w:t xml:space="preserve"> é o documento constitutivo da primeira etapa do planejamento de uma contratação. Ele evidencia o problema público a ser resolvido e avalia comparativamente as alternativas viáveis disponíveis no mercado para eleger a solução mais eficiente (art. 18).</w:t>
      </w:r>
    </w:p>
    <w:p>
      <w:pPr>
        <w:keepNext/>
        <w:spacing w:before="120" w:after="40"/>
      </w:pPr>
      <w:r>
        <w:rPr>
          <w:rFonts w:ascii="Arial" w:hAnsi="Arial"/>
          <w:b/>
          <w:i/>
          <w:color w:val="334155"/>
          <w:sz w:val="22"/>
        </w:rPr>
        <w:t>Os 5 Elementos Obrigatórios do ETP (Art. 18, § 2º):</w:t>
      </w:r>
    </w:p>
    <w:p>
      <w:pPr>
        <w:spacing w:line="360" w:lineRule="auto" w:before="0" w:after="80"/>
        <w:jc w:val="both"/>
      </w:pPr>
      <w:r>
        <w:rPr>
          <w:rFonts w:ascii="Arial" w:hAnsi="Arial"/>
          <w:b w:val="0"/>
          <w:i w:val="0"/>
          <w:color w:val="111827"/>
          <w:sz w:val="24"/>
        </w:rPr>
        <w:t xml:space="preserve">Embora o ETP contenha treze itens descritivos em seu roteiro geral, a NLLC fixou </w:t>
      </w:r>
      <w:r>
        <w:rPr>
          <w:rFonts w:ascii="Arial" w:hAnsi="Arial"/>
          <w:b/>
          <w:i w:val="0"/>
          <w:color w:val="111827"/>
          <w:sz w:val="24"/>
        </w:rPr>
        <w:t>cinco elementos com preenchimento obrigatório indispensável</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Descrição da </w:t>
      </w:r>
      <w:r>
        <w:rPr>
          <w:rFonts w:ascii="Arial" w:hAnsi="Arial"/>
          <w:b/>
          <w:i w:val="0"/>
          <w:color w:val="111827"/>
          <w:sz w:val="22"/>
        </w:rPr>
        <w:t>necessidade da contratação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Estimativa das quantidades</w:t>
      </w:r>
      <w:r>
        <w:rPr>
          <w:rFonts w:ascii="Arial" w:hAnsi="Arial"/>
          <w:b w:val="0"/>
          <w:i w:val="0"/>
          <w:color w:val="111827"/>
          <w:sz w:val="22"/>
        </w:rPr>
        <w:t xml:space="preserve"> a serem contratadas, acompanhada de memória de cálculo detalhada;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Estimativa do valor da contratação</w:t>
      </w:r>
      <w:r>
        <w:rPr>
          <w:rFonts w:ascii="Arial" w:hAnsi="Arial"/>
          <w:b w:val="0"/>
          <w:i w:val="0"/>
          <w:color w:val="111827"/>
          <w:sz w:val="22"/>
        </w:rPr>
        <w:t>, amparada em pesquisa prévia de preços;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Justificativa para o parcelamento ou não</w:t>
      </w:r>
      <w:r>
        <w:rPr>
          <w:rFonts w:ascii="Arial" w:hAnsi="Arial"/>
          <w:b w:val="0"/>
          <w:i w:val="0"/>
          <w:color w:val="111827"/>
          <w:sz w:val="22"/>
        </w:rPr>
        <w:t xml:space="preserve"> da solução de mercado;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Posicionamento conclusivo</w:t>
      </w:r>
      <w:r>
        <w:rPr>
          <w:rFonts w:ascii="Arial" w:hAnsi="Arial"/>
          <w:b w:val="0"/>
          <w:i w:val="0"/>
          <w:color w:val="111827"/>
          <w:sz w:val="22"/>
        </w:rPr>
        <w:t xml:space="preserve"> sobre a adequação da contratação para o atendimento da necessidade pública.</w:t>
      </w:r>
    </w:p>
    <w:p>
      <w:pPr>
        <w:keepNext/>
        <w:spacing w:before="200" w:after="80"/>
      </w:pPr>
      <w:r>
        <w:rPr>
          <w:rFonts w:ascii="Arial" w:hAnsi="Arial"/>
          <w:b/>
          <w:i w:val="0"/>
          <w:color w:val="2B6CB0"/>
          <w:sz w:val="24"/>
        </w:rPr>
        <w:t>3.3 Termo de Referência vs. Projeto Básico e Projeto Executivo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Termo de Referência (TR - Art. 6º, XXIII):</w:t>
      </w:r>
      <w:r>
        <w:rPr>
          <w:rFonts w:ascii="Arial" w:hAnsi="Arial"/>
          <w:b w:val="0"/>
          <w:i w:val="0"/>
          <w:color w:val="111827"/>
          <w:sz w:val="22"/>
        </w:rPr>
        <w:t xml:space="preserve"> Documento elaborado para a contratação de </w:t>
      </w:r>
      <w:r>
        <w:rPr>
          <w:rFonts w:ascii="Arial" w:hAnsi="Arial"/>
          <w:b/>
          <w:i w:val="0"/>
          <w:color w:val="111827"/>
          <w:sz w:val="22"/>
        </w:rPr>
        <w:t>bens e serviços em geral</w:t>
      </w:r>
      <w:r>
        <w:rPr>
          <w:rFonts w:ascii="Arial" w:hAnsi="Arial"/>
          <w:b w:val="0"/>
          <w:i w:val="0"/>
          <w:color w:val="111827"/>
          <w:sz w:val="22"/>
        </w:rPr>
        <w:t>, contendo os elementos técnicos necessários para caracterizar o objeto de forma clara, o modelo de execução, os critérios de medição e pagamento e os parâmetros de aceitabilidade das propostas.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Projeto Básico (Art. 6º, XXV):</w:t>
      </w:r>
      <w:r>
        <w:rPr>
          <w:rFonts w:ascii="Arial" w:hAnsi="Arial"/>
          <w:b w:val="0"/>
          <w:i w:val="0"/>
          <w:color w:val="111827"/>
          <w:sz w:val="22"/>
        </w:rPr>
        <w:t xml:space="preserve"> Documento elaborado para </w:t>
      </w:r>
      <w:r>
        <w:rPr>
          <w:rFonts w:ascii="Arial" w:hAnsi="Arial"/>
          <w:b/>
          <w:i w:val="0"/>
          <w:color w:val="111827"/>
          <w:sz w:val="22"/>
        </w:rPr>
        <w:t>obras e serviços de engenharia</w:t>
      </w:r>
      <w:r>
        <w:rPr>
          <w:rFonts w:ascii="Arial" w:hAnsi="Arial"/>
          <w:b w:val="0"/>
          <w:i w:val="0"/>
          <w:color w:val="111827"/>
          <w:sz w:val="22"/>
        </w:rPr>
        <w:t>, contendo elementos técnicos precisos e consolidados que permitam a perfeita identificação do empreendimento e a estimativa de custos de cada etapa construtiva.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Projeto Executivo (Art. 6º, XXVI):</w:t>
      </w:r>
      <w:r>
        <w:rPr>
          <w:rFonts w:ascii="Arial" w:hAnsi="Arial"/>
          <w:b w:val="0"/>
          <w:i w:val="0"/>
          <w:color w:val="111827"/>
          <w:sz w:val="22"/>
        </w:rPr>
        <w:t xml:space="preserve"> Conjunto dos elementos detalhados necessários e suficientes para a execução completa da obra civil.</w:t>
      </w:r>
    </w:p>
    <w:p>
      <w:pPr>
        <w:keepNext/>
        <w:spacing w:before="200" w:after="80"/>
      </w:pPr>
      <w:r>
        <w:rPr>
          <w:rFonts w:ascii="Arial" w:hAnsi="Arial"/>
          <w:b/>
          <w:i w:val="0"/>
          <w:color w:val="2B6CB0"/>
          <w:sz w:val="24"/>
        </w:rPr>
        <w:t>3.4 Matriz de Alocação de Riscos e Equilíbrio Econômico-Financeiro</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Matriz de Alocação de Riscos</w:t>
      </w:r>
      <w:r>
        <w:rPr>
          <w:rFonts w:ascii="Arial" w:hAnsi="Arial"/>
          <w:b w:val="0"/>
          <w:i w:val="0"/>
          <w:color w:val="111827"/>
          <w:sz w:val="24"/>
        </w:rPr>
        <w:t xml:space="preserve"> (art. 6º, XXVII e art. 22) é a cláusula contratual que promove a divisão objetiva e contratual de encargos financeiros e riscos supervenientes entre a Administração Pública e o contratado.</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Obrigatoriedade:</w:t>
      </w:r>
      <w:r>
        <w:rPr>
          <w:rFonts w:ascii="Arial" w:hAnsi="Arial"/>
          <w:b w:val="0"/>
          <w:i w:val="0"/>
          <w:color w:val="111827"/>
          <w:sz w:val="22"/>
        </w:rPr>
        <w:t xml:space="preserve"> É obrigatória nas contratações de </w:t>
      </w:r>
      <w:r>
        <w:rPr>
          <w:rFonts w:ascii="Arial" w:hAnsi="Arial"/>
          <w:b/>
          <w:i w:val="0"/>
          <w:color w:val="111827"/>
          <w:sz w:val="22"/>
        </w:rPr>
        <w:t>grande vulto</w:t>
      </w:r>
      <w:r>
        <w:rPr>
          <w:rFonts w:ascii="Arial" w:hAnsi="Arial"/>
          <w:b w:val="0"/>
          <w:i w:val="0"/>
          <w:color w:val="111827"/>
          <w:sz w:val="22"/>
        </w:rPr>
        <w:t xml:space="preserve"> (valor que ultrapassa R$ 200.000.000,00) e nos regimes de contratação integrada e semi-integrada.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Vedação ao Reequilíbrio Econômico-Financeiro (Art. 124, § 1º):</w:t>
      </w:r>
      <w:r>
        <w:rPr>
          <w:rFonts w:ascii="Arial" w:hAnsi="Arial"/>
          <w:b w:val="0"/>
          <w:i w:val="0"/>
          <w:color w:val="111827"/>
          <w:sz w:val="22"/>
        </w:rPr>
        <w:t xml:space="preserve"> Se determinado evento imprevisível ou oscilação de mercado ocorrer, mas sua responsabilidade financeira tiver sido previamente alocada à contratada na matriz de riscos, </w:t>
      </w:r>
      <w:r>
        <w:rPr>
          <w:rFonts w:ascii="Arial" w:hAnsi="Arial"/>
          <w:b/>
          <w:i w:val="0"/>
          <w:color w:val="111827"/>
          <w:sz w:val="22"/>
        </w:rPr>
        <w:t>a empresa NÃO tem direito a aditivo de reequilíbrio econômico-financeiro</w:t>
      </w:r>
      <w:r>
        <w:rPr>
          <w:rFonts w:ascii="Arial" w:hAnsi="Arial"/>
          <w:b w:val="0"/>
          <w:i w:val="0"/>
          <w:color w:val="111827"/>
          <w:sz w:val="22"/>
        </w:rPr>
        <w:t>. O risco já foi precificado e assumido pela empresa em sua proposta licitatória originária.</w:t>
      </w:r>
    </w:p>
    <w:p>
      <w:pPr>
        <w:keepNext/>
        <w:spacing w:before="280" w:after="120"/>
      </w:pPr>
      <w:r>
        <w:rPr>
          <w:rFonts w:ascii="Arial" w:hAnsi="Arial"/>
          <w:b/>
          <w:i w:val="0"/>
          <w:color w:val="2C5282"/>
          <w:sz w:val="28"/>
        </w:rPr>
        <w:t>4. O Portal Nacional de Contratações Públicas (PNCP)</w:t>
      </w:r>
    </w:p>
    <w:p>
      <w:pPr>
        <w:keepNext/>
        <w:spacing w:before="200" w:after="80"/>
      </w:pPr>
      <w:r>
        <w:rPr>
          <w:rFonts w:ascii="Arial" w:hAnsi="Arial"/>
          <w:b/>
          <w:i w:val="0"/>
          <w:color w:val="2B6CB0"/>
          <w:sz w:val="24"/>
        </w:rPr>
        <w:t>4.1 Natureza e Atribuições Centrais do Portal</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Portal Nacional de Contratações Públicas (PNCP)</w:t>
      </w:r>
      <w:r>
        <w:rPr>
          <w:rFonts w:ascii="Arial" w:hAnsi="Arial"/>
          <w:b w:val="0"/>
          <w:i w:val="0"/>
          <w:color w:val="111827"/>
          <w:sz w:val="24"/>
        </w:rPr>
        <w:t>, disciplinado pelos arts. 174 a 176 da Lei nº 14.133/2021, é o sítio eletrônico oficial único de divulgação de compras públicas gerido pelo Comitê Gestor da Rede Nacional de Contratações Públicas.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Suas atribuições envolvem centralizar a publicação de editais, atas de registro de preços, planos anuais de contratações, catálogos eletrônicos de padronização e o cadastro unificado de fornecedores impedidos e inidôneos.</w:t>
      </w:r>
    </w:p>
    <w:p>
      <w:pPr>
        <w:keepNext/>
        <w:spacing w:before="200" w:after="80"/>
      </w:pPr>
      <w:r>
        <w:rPr>
          <w:rFonts w:ascii="Arial" w:hAnsi="Arial"/>
          <w:b/>
          <w:i w:val="0"/>
          <w:color w:val="2B6CB0"/>
          <w:sz w:val="24"/>
        </w:rPr>
        <w:t>4.2 A Divulgação no PNCP como Requisito Indispensável de Eficácia (Art. 94)</w:t>
      </w:r>
    </w:p>
    <w:p>
      <w:pPr>
        <w:spacing w:line="240" w:lineRule="auto" w:before="40" w:after="40"/>
        <w:ind w:left="2268"/>
      </w:pPr>
      <w:r>
        <w:rPr>
          <w:rFonts w:ascii="Arial" w:hAnsi="Arial"/>
          <w:b w:val="0"/>
          <w:i w:val="0"/>
          <w:color w:val="111827"/>
          <w:sz w:val="20"/>
        </w:rPr>
        <w:t xml:space="preserve">*"Art. 94. A divulgação no Portal Nacional de Contratações Públicas (PNCP) é </w:t>
      </w:r>
      <w:r>
        <w:rPr>
          <w:rFonts w:ascii="Arial" w:hAnsi="Arial"/>
          <w:b/>
          <w:i w:val="0"/>
          <w:color w:val="111827"/>
          <w:sz w:val="20"/>
        </w:rPr>
        <w:t>condição indispensável para a eficácia do contrato e de seus aditamentos</w:t>
      </w:r>
      <w:r>
        <w:rPr>
          <w:rFonts w:ascii="Arial" w:hAnsi="Arial"/>
          <w:b w:val="0"/>
          <w:i w:val="0"/>
          <w:color w:val="111827"/>
          <w:sz w:val="20"/>
        </w:rPr>
        <w:t xml:space="preserve"> e deverá ocorrer nos seguintes prazos, contados da data de sua assinatura:*</w:t>
      </w:r>
    </w:p>
    <w:p>
      <w:pPr>
        <w:spacing w:line="240" w:lineRule="auto" w:before="40" w:after="40"/>
        <w:ind w:left="2268"/>
      </w:pPr>
      <w:r>
        <w:rPr>
          <w:rFonts w:ascii="Arial" w:hAnsi="Arial"/>
          <w:b w:val="0"/>
          <w:i/>
          <w:color w:val="111827"/>
          <w:sz w:val="20"/>
        </w:rPr>
        <w:t>I - 20 (vinte) dias úteis, no caso de licitação;</w:t>
      </w:r>
    </w:p>
    <w:p>
      <w:pPr>
        <w:spacing w:line="240" w:lineRule="auto" w:before="40" w:after="40"/>
        <w:ind w:left="2268"/>
      </w:pPr>
      <w:r>
        <w:rPr>
          <w:rFonts w:ascii="Arial" w:hAnsi="Arial"/>
          <w:b w:val="0"/>
          <w:i/>
          <w:color w:val="111827"/>
          <w:sz w:val="20"/>
        </w:rPr>
        <w:t>II - 10 (dez) dias úteis, no caso de contratação direta."</w:t>
      </w:r>
    </w:p>
    <w:p>
      <w:pPr>
        <w:spacing w:after="8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FCC:</w:t>
            </w:r>
          </w:p>
          <w:p>
            <w:pPr>
              <w:spacing w:line="288" w:lineRule="auto" w:before="40" w:after="40"/>
            </w:pPr>
            <w:r>
              <w:rPr>
                <w:rFonts w:ascii="Arial" w:hAnsi="Arial"/>
                <w:b w:val="0"/>
                <w:i w:val="0"/>
                <w:color w:val="111827"/>
                <w:sz w:val="21"/>
              </w:rPr>
              <w:t xml:space="preserve">A publicação no Diário Oficial e em jornais de grande circulação não substitui a divulgação no PNCP. Sem a veiculação tempestiva no PNCP, o contrato administrativo é considerado inoperante, </w:t>
            </w:r>
            <w:r>
              <w:rPr>
                <w:rFonts w:ascii="Arial" w:hAnsi="Arial"/>
                <w:b/>
                <w:i w:val="0"/>
                <w:color w:val="111827"/>
                <w:sz w:val="21"/>
              </w:rPr>
              <w:t>carecendo de eficácia jurídica</w:t>
            </w:r>
            <w:r>
              <w:rPr>
                <w:rFonts w:ascii="Arial" w:hAnsi="Arial"/>
                <w:b w:val="0"/>
                <w:i w:val="0"/>
                <w:color w:val="111827"/>
                <w:sz w:val="21"/>
              </w:rPr>
              <w:t xml:space="preserve"> para produzir obrigações e autorizar pagamentos com recursos públicos.</w:t>
            </w:r>
          </w:p>
        </w:tc>
      </w:tr>
    </w:tbl>
    <w:p>
      <w:pPr>
        <w:spacing w:before="0" w:after="120"/>
      </w:pPr>
    </w:p>
    <w:p>
      <w:pPr>
        <w:keepNext/>
        <w:spacing w:before="280" w:after="120"/>
      </w:pPr>
      <w:r>
        <w:rPr>
          <w:rFonts w:ascii="Arial" w:hAnsi="Arial"/>
          <w:b/>
          <w:i w:val="0"/>
          <w:color w:val="2C5282"/>
          <w:sz w:val="28"/>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14.133/2021 (Nova Lei de Licitações e Contratos Administrativos)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Texto legal nacional que rege a governança, planejamento, ETP, matriz de riscos e o PNCP.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Nacional de Contratações Públicas (PNCP Oficial)</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Repositório central de contratações da União, Estados e Municípios brasileiros.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Decreto Federal nº 10.947/2022 (Regulamento do Plano de Contratações Anual - PCA)</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Normas de elaboração do calendário de contratações anual integradas às leis orçamentárias.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Instrução Normativa SEGES/ME nº 58/2022 (Diretrizes para Elaboração do ETP)</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Roteiro prático federal para elaboração de estudos técnicos preliminares na NLLC.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Governança das Aquisições do TCU</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Referência metodológica para aplicação do princípio da segregação de funções e gestão por competências.</w:t>
      </w:r>
    </w:p>
    <w:p>
      <w:pPr>
        <w:keepNext/>
        <w:spacing w:before="280" w:after="120"/>
      </w:pPr>
      <w:r>
        <w:rPr>
          <w:rFonts w:ascii="Arial" w:hAnsi="Arial"/>
          <w:b/>
          <w:i w:val="0"/>
          <w:color w:val="2C5282"/>
          <w:sz w:val="28"/>
        </w:rPr>
        <w:t>6. Questões Comentadas &amp; Exemplos (Padrão FCC)</w:t>
      </w:r>
    </w:p>
    <w:p>
      <w:pPr>
        <w:keepNext/>
        <w:spacing w:before="200" w:after="80"/>
      </w:pPr>
      <w:r>
        <w:rPr>
          <w:rFonts w:ascii="Arial" w:hAnsi="Arial"/>
          <w:b/>
          <w:i w:val="0"/>
          <w:color w:val="2B6CB0"/>
          <w:sz w:val="24"/>
        </w:rPr>
        <w:t>Questão 1 (FCC - Analista de Controle Externo / Adaptada TCE-GO)</w:t>
      </w:r>
    </w:p>
    <w:p>
      <w:pPr>
        <w:spacing w:line="360" w:lineRule="auto" w:before="0" w:after="80"/>
        <w:jc w:val="both"/>
      </w:pPr>
      <w:r>
        <w:rPr>
          <w:rFonts w:ascii="Arial" w:hAnsi="Arial"/>
          <w:b w:val="0"/>
          <w:i w:val="0"/>
          <w:color w:val="111827"/>
          <w:sz w:val="24"/>
        </w:rPr>
        <w:t>O Diretor-Geral de uma autarquia estadual designou um mesmo servidor público ocupante de cargo em comissão sem vínculo efetivo com o Estado para elaborar o Estudo Técnico Preliminar e o Termo de Referência de uma licitação, conduzir a sessão pública do certame como Agente de Contratação e, após a homologação, atuar como gestor e fiscal único da execução do contrato administrativo.</w:t>
      </w:r>
    </w:p>
    <w:p>
      <w:pPr>
        <w:spacing w:line="360" w:lineRule="auto" w:before="0" w:after="80"/>
        <w:jc w:val="both"/>
      </w:pPr>
      <w:r>
        <w:rPr>
          <w:rFonts w:ascii="Arial" w:hAnsi="Arial"/>
          <w:b w:val="0"/>
          <w:i w:val="0"/>
          <w:color w:val="111827"/>
          <w:sz w:val="24"/>
        </w:rPr>
        <w:t>Em face das normas expressas de governança e princípios instituídos pela Lei Federal nº 14.133/2021:</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designação foi regular, visto que a centralização de todas as fases da contratação em um único servidor otimiza a celeridade e a economicidade administrativa.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procedimento violou o princípio da segregação de funções, além de descumprir o requisito legal de que o Agente de Contratação seja preferencialmente servidor efetivo ou empregado público dos quadros permanentes.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Lei nº 14.133/2021 exige que o Agente de Contratação seja contratado por consultoria privada terceirizada, vedando a investidura de agentes públicos.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princípio da segregação de funções aplica-se apenas no âmbito de concessões comuns regidas pela Lei nº 8.987/1995.</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cumulação de funções de agente de contratação e fiscal de contrato é obrigatória em órgãos que contam com menos de cem servidores.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busca por celeridade não autoriza a eliminação de controles internos básicos nem a supressão de salvaguardas contra desvios de conduta.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o art. 5º e art. 7º, § 1º, da Lei Federal nº 14.133/2021, a autoridade deve observar o </w:t>
            </w:r>
            <w:r>
              <w:rPr>
                <w:rFonts w:ascii="Arial" w:hAnsi="Arial"/>
                <w:b/>
                <w:i w:val="0"/>
                <w:color w:val="111827"/>
                <w:sz w:val="21"/>
              </w:rPr>
              <w:t>princípio da segregação de funções</w:t>
            </w:r>
            <w:r>
              <w:rPr>
                <w:rFonts w:ascii="Arial" w:hAnsi="Arial"/>
                <w:b w:val="0"/>
                <w:i w:val="0"/>
                <w:color w:val="111827"/>
                <w:sz w:val="21"/>
              </w:rPr>
              <w:t xml:space="preserve">, sendo vedada a designação do mesmo agente para atuar simultaneamente em funções mais suscetíveis a riscos (planejar o objeto, julgar a licitação e fiscalizar a despesa). Ademais, o art. 8º da NLLC exige que o Agente de Contratação seja designado dentre </w:t>
            </w:r>
            <w:r>
              <w:rPr>
                <w:rFonts w:ascii="Arial" w:hAnsi="Arial"/>
                <w:b/>
                <w:i w:val="0"/>
                <w:color w:val="111827"/>
                <w:sz w:val="21"/>
              </w:rPr>
              <w:t>servidores efetivos ou empregados públicos dos quadros permanentes</w:t>
            </w:r>
            <w:r>
              <w:rPr>
                <w:rFonts w:ascii="Arial" w:hAnsi="Arial"/>
                <w:b w:val="0"/>
                <w:i w:val="0"/>
                <w:color w:val="111827"/>
                <w:sz w:val="21"/>
              </w:rPr>
              <w:t xml:space="preserve"> da Administração Pública, o que impede a entrega da condução do certame a servidor exclusivamente comissionado.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agente de contratação é agente público investido legalmente nos quadros do Estado, e não consultor privado terceirizado.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princípio da segregação de funções é expresso e cogente em todos os processos licitatórios submetidos à Lei nº 14.133/2021.</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cumulação dessas atribuições de risco é proibida; adaptações transitórias para pequenos órgãos não impõem a cumulação como dever obrigatório.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Auditor de Controle Externo / Adaptada)</w:t>
      </w:r>
    </w:p>
    <w:p>
      <w:pPr>
        <w:spacing w:line="360" w:lineRule="auto" w:before="0" w:after="80"/>
        <w:jc w:val="both"/>
      </w:pPr>
      <w:r>
        <w:rPr>
          <w:rFonts w:ascii="Arial" w:hAnsi="Arial"/>
          <w:b w:val="0"/>
          <w:i w:val="0"/>
          <w:color w:val="111827"/>
          <w:sz w:val="24"/>
        </w:rPr>
        <w:t xml:space="preserve">Em licitação de obra de engenharia de grande vulto (valor estimado em R$ 250 milhões), a Administração Pública incluiu no edital uma detalhada </w:t>
      </w:r>
      <w:r>
        <w:rPr>
          <w:rFonts w:ascii="Arial" w:hAnsi="Arial"/>
          <w:b/>
          <w:i w:val="0"/>
          <w:color w:val="111827"/>
          <w:sz w:val="24"/>
        </w:rPr>
        <w:t>Matriz de Alocação de Riscos</w:t>
      </w:r>
      <w:r>
        <w:rPr>
          <w:rFonts w:ascii="Arial" w:hAnsi="Arial"/>
          <w:b w:val="0"/>
          <w:i w:val="0"/>
          <w:color w:val="111827"/>
          <w:sz w:val="24"/>
        </w:rPr>
        <w:t>, atribuindo expressamente à futura contratada os ônus financeiros decorrentes de oscilações normais de mercado no preço do cimento e atrasos de licenciamento ambiental causados por defeitos no projeto de sua responsabilidade. Durante o segundo ano de execução da obra, o preço do cimento aumentou 18%, e a empresa pleiteou perante o órgão contratante a recomposição do equilíbrio econômico-financeiro do contrato.</w:t>
      </w:r>
    </w:p>
    <w:p>
      <w:pPr>
        <w:spacing w:line="360" w:lineRule="auto" w:before="0" w:after="80"/>
        <w:jc w:val="both"/>
      </w:pPr>
      <w:r>
        <w:rPr>
          <w:rFonts w:ascii="Arial" w:hAnsi="Arial"/>
          <w:b w:val="0"/>
          <w:i w:val="0"/>
          <w:color w:val="111827"/>
          <w:sz w:val="24"/>
        </w:rPr>
        <w:t>Com base na disciplina da Lei Federal nº 14.133/2021:</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pedido de reequilíbrio econômico-financeiro deve ser indeferido, pois a materialização de risco expressamente atribuído ao contratado na matriz de riscos não autoriza aditivo de valor.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reequilíbrio é compulsório, tendo em vista que a cláusula de matriz de riscos é nula em obras que ultrapassem o valor de R$ 100 milhões.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Poder Público é obrigado a arcar com 50% da variação cambial e de insumos industriais, independentemente de previsão editalícia.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ocorrência de qualquer oscilação de mercado gera direito subjetivo automático à rescisão unilateral com indenização de lucros cessantes.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matriz de alocação de riscos somente produz efeitos se ratificada por acórdão do Tribunal de Contas respectivo.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A Lei Federal nº 14.133/2021 prescreve em seu art. 124, § 1º, que é dispensada a formalização de termo aditivo para restabelecimento do equilíbrio econômico-financeiro quando o evento superveniente decorrer de risco cuja responsabilidade financeira tenha sido contratualmente atribuída ao contratado na </w:t>
            </w:r>
            <w:r>
              <w:rPr>
                <w:rFonts w:ascii="Arial" w:hAnsi="Arial"/>
                <w:b/>
                <w:i w:val="0"/>
                <w:color w:val="111827"/>
                <w:sz w:val="21"/>
              </w:rPr>
              <w:t>Matriz de Alocação de Riscos</w:t>
            </w:r>
            <w:r>
              <w:rPr>
                <w:rFonts w:ascii="Arial" w:hAnsi="Arial"/>
                <w:b w:val="0"/>
                <w:i w:val="0"/>
                <w:color w:val="111827"/>
                <w:sz w:val="21"/>
              </w:rPr>
              <w:t>. Tendo a empresa assumido o risco de oscilação ordinária do insumo, ela o precificou em sua proposta; a concretização desse evento não rompe a equação originária do contrato.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matriz de riscos é cláusula de adoção </w:t>
            </w:r>
            <w:r>
              <w:rPr>
                <w:rFonts w:ascii="Arial" w:hAnsi="Arial"/>
                <w:b/>
                <w:i w:val="0"/>
                <w:color w:val="111827"/>
                <w:sz w:val="21"/>
              </w:rPr>
              <w:t>obrigatória</w:t>
            </w:r>
            <w:r>
              <w:rPr>
                <w:rFonts w:ascii="Arial" w:hAnsi="Arial"/>
                <w:b w:val="0"/>
                <w:i w:val="0"/>
                <w:color w:val="111827"/>
                <w:sz w:val="21"/>
              </w:rPr>
              <w:t xml:space="preserve"> nas contratações de grande vulto (art. 22, § 3º), assim entendidas aquelas que ultrapassam R$ 200 milhões.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rateio de ônus depende de estipulação expressa na matriz de riscos, descabendo divisão genérica e apriorística de 50%.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Variações normais de custos dentro da álea ordinária e dos riscos contratados não conferem direito à rescisão com lucros cessantes.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matriz de riscos possui plena eficácia negocial interpartes a partir da assinatura do contrato, sem necessidade de chancela prévia da corte de contas.</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3 (FCC - Procurador do Estado / Adaptada)</w:t>
      </w:r>
    </w:p>
    <w:p>
      <w:pPr>
        <w:spacing w:line="360" w:lineRule="auto" w:before="0" w:after="80"/>
        <w:jc w:val="both"/>
      </w:pPr>
      <w:r>
        <w:rPr>
          <w:rFonts w:ascii="Arial" w:hAnsi="Arial"/>
          <w:b w:val="0"/>
          <w:i w:val="0"/>
          <w:color w:val="111827"/>
          <w:sz w:val="24"/>
        </w:rPr>
        <w:t xml:space="preserve">Durante a fase preparatória de uma contratação de serviços técnicos contínuos de informática, a equipe de planejamento instruiu os autos com o </w:t>
      </w:r>
      <w:r>
        <w:rPr>
          <w:rFonts w:ascii="Arial" w:hAnsi="Arial"/>
          <w:b/>
          <w:i w:val="0"/>
          <w:color w:val="111827"/>
          <w:sz w:val="24"/>
        </w:rPr>
        <w:t>Estudo Técnico Preliminar (ETP)</w:t>
      </w:r>
      <w:r>
        <w:rPr>
          <w:rFonts w:ascii="Arial" w:hAnsi="Arial"/>
          <w:b w:val="0"/>
          <w:i w:val="0"/>
          <w:color w:val="111827"/>
          <w:sz w:val="24"/>
        </w:rPr>
        <w:t>. Um dos analistas sugeriu suprimir do ETP a estimativa dos quantitativos e a justificativa para o parcelamento da solução, alegando que tais informações poderiam constar diretamente no Termo de Referência.</w:t>
      </w:r>
    </w:p>
    <w:p>
      <w:pPr>
        <w:spacing w:line="360" w:lineRule="auto" w:before="0" w:after="80"/>
        <w:jc w:val="both"/>
      </w:pPr>
      <w:r>
        <w:rPr>
          <w:rFonts w:ascii="Arial" w:hAnsi="Arial"/>
          <w:b w:val="0"/>
          <w:i w:val="0"/>
          <w:color w:val="111827"/>
          <w:sz w:val="24"/>
        </w:rPr>
        <w:t>Considerando o que prescreve o art. 18 da Lei Federal nº 14.133/2021 sobre o conteúdo do Estudo Técnico Preliminar: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sugestão do analista é lícita, visto que todo o conteúdo do ETP é meramente exemplificativo e facultativo.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estimativa das quantidades com respectiva memória de cálculo e a justificativa para o parcelamento ou não da solução são elementos obrigatórios indispensáveis do ETP.</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ETP é dispensado de plano em qualquer contratação cujo valor seja inferior a R$ 50 milhões.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ETP pode ser substituído por mera pesquisa sumária na internet realizada após a publicação do edital.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indicação da viabilidade técnica da contratação é facultativa caso haja parecer favorável da chefia imediata.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Lei nº 14.133/2021 estabelece no art. 18, § 2º, um rol taxativo de cinco itens que devem obrigatoriamente constar do ETP, não sendo sua confecção meramente discricionária.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18, § 2º, da Lei nº 14.133/2021 expressamente impõe a obrigatoriedade da inclusão no ETP de:</w:t>
            </w:r>
          </w:p>
          <w:p>
            <w:pPr>
              <w:spacing w:line="288" w:lineRule="auto" w:before="40" w:after="40"/>
            </w:pPr>
            <w:r>
              <w:rPr>
                <w:rFonts w:ascii="Arial" w:hAnsi="Arial"/>
                <w:b w:val="0"/>
                <w:i w:val="0"/>
                <w:color w:val="111827"/>
                <w:sz w:val="21"/>
              </w:rPr>
              <w:t>- I. Descrição da necessidade da contratação;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IV. Estimativa das quantidades a serem contratadas, acompanhada das memórias de cálculo e dos documentos que lhe dão suporte;</w:t>
            </w:r>
          </w:p>
          <w:p>
            <w:pPr>
              <w:spacing w:line="288" w:lineRule="auto" w:before="40" w:after="40"/>
            </w:pPr>
            <w:r>
              <w:rPr>
                <w:rFonts w:ascii="Arial" w:hAnsi="Arial"/>
                <w:b w:val="0"/>
                <w:i w:val="0"/>
                <w:color w:val="111827"/>
                <w:sz w:val="21"/>
              </w:rPr>
              <w:t>- VI. Estimativa do valor da contratação;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VII. Justificativa para o parcelamento ou não da contratação;</w:t>
            </w:r>
          </w:p>
          <w:p>
            <w:pPr>
              <w:spacing w:line="288" w:lineRule="auto" w:before="40" w:after="40"/>
            </w:pPr>
            <w:r>
              <w:rPr>
                <w:rFonts w:ascii="Arial" w:hAnsi="Arial"/>
                <w:b w:val="0"/>
                <w:i w:val="0"/>
                <w:color w:val="111827"/>
                <w:sz w:val="21"/>
              </w:rPr>
              <w:t>- XIII. Posicionamento conclusivo sobre a adequação da contratação para o atendimento da necessidade pública.</w:t>
            </w:r>
          </w:p>
          <w:p>
            <w:pPr>
              <w:spacing w:line="288" w:lineRule="auto" w:before="40" w:after="40"/>
            </w:pPr>
            <w:r>
              <w:rPr>
                <w:rFonts w:ascii="Arial" w:hAnsi="Arial"/>
                <w:b w:val="0"/>
                <w:i w:val="0"/>
                <w:color w:val="111827"/>
                <w:sz w:val="21"/>
              </w:rPr>
              <w:t>Logo, a supressão desses tópicos é vedada pela norma geral.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ETP constitui a regra geral da fase de planejamento da NLLC, independentemente do valor da contratação.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pesquisa mercadológica e a elaboração do ETP devem preceder formalmente a redação do termo de referência e do edital.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posicionamento conclusivo sobre a viabilidade técnica e adequação da contratação é um dos elementos estritamente obrigatórios do ETP (§ 2º, XIII).</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Técnico de Controle Externo / Administrativa)</w:t>
      </w:r>
    </w:p>
    <w:p>
      <w:pPr>
        <w:spacing w:line="360" w:lineRule="auto" w:before="0" w:after="80"/>
        <w:jc w:val="both"/>
      </w:pPr>
      <w:r>
        <w:rPr>
          <w:rFonts w:ascii="Arial" w:hAnsi="Arial"/>
          <w:b w:val="0"/>
          <w:i w:val="0"/>
          <w:color w:val="111827"/>
          <w:sz w:val="24"/>
        </w:rPr>
        <w:t xml:space="preserve">No âmbito do Tribunal de Contas, a comissão encarregada de planejar o processo licitatório para a escolha de solução inovadora por meio da modalidade </w:t>
      </w:r>
      <w:r>
        <w:rPr>
          <w:rFonts w:ascii="Arial" w:hAnsi="Arial"/>
          <w:b/>
          <w:i w:val="0"/>
          <w:color w:val="111827"/>
          <w:sz w:val="24"/>
        </w:rPr>
        <w:t>Diálogo Competitivo</w:t>
      </w:r>
      <w:r>
        <w:rPr>
          <w:rFonts w:ascii="Arial" w:hAnsi="Arial"/>
          <w:b w:val="0"/>
          <w:i w:val="0"/>
          <w:color w:val="111827"/>
          <w:sz w:val="24"/>
        </w:rPr>
        <w:t xml:space="preserve"> formulou consulta sobre a condução da sessão pública do certame.</w:t>
      </w:r>
    </w:p>
    <w:p>
      <w:pPr>
        <w:spacing w:line="360" w:lineRule="auto" w:before="0" w:after="80"/>
        <w:jc w:val="both"/>
      </w:pPr>
      <w:r>
        <w:rPr>
          <w:rFonts w:ascii="Arial" w:hAnsi="Arial"/>
          <w:b w:val="0"/>
          <w:i w:val="0"/>
          <w:color w:val="111827"/>
          <w:sz w:val="24"/>
        </w:rPr>
        <w:t>Conforme as disposições da Lei Federal nº 14.133/2021 relativas aos agentes da licitação: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modalidade Diálogo Competitivo deve ser conduzida obrigatoriamente por uma comissão de contratação composta de pelo menos 3 servidores efetivos ou empregados públicos dos quadros permanentes.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Diálogo Competitivo é conduzido por um único agente de contratação monocrático comissionado.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certame deve ser coordenado diretamente pelo Presidente do Tribunal de Contas, dispensada a equipe de apoio.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empresas licitantes participantes do diálogo devem indicar dois membros para compor a comissão com direito a voto.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condução por colegiado é terminantemente proibida na Nova Lei de Licitações, prevalecendo sempre a decisão monocrática.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De acordo com o art. 32, inciso XI, e art. 8º, § 1º, da Lei Federal nº 14.133/2021: </w:t>
            </w:r>
            <w:r>
              <w:rPr>
                <w:rFonts w:ascii="Arial" w:hAnsi="Arial"/>
                <w:b w:val="0"/>
                <w:i/>
                <w:color w:val="111827"/>
                <w:sz w:val="21"/>
              </w:rPr>
              <w:t>"o diálogo competitivo será conduzido por comissão de contratação composta de pelo menos 3 (três) servidores efetivos ou empregados públicos pertencentes aos quadros permanentes da Administração, admitida a contratação de profissionais para assessoramento técnico da comissão."</w:t>
            </w:r>
            <w:r>
              <w:rPr>
                <w:rFonts w:ascii="Arial" w:hAnsi="Arial"/>
                <w:b w:val="0"/>
                <w:i w:val="0"/>
                <w:color w:val="111827"/>
                <w:sz w:val="21"/>
              </w:rPr>
              <w:t xml:space="preserve"> Trata-se de uma das hipóteses legais em que a condução colegiada por comissão de contratação é obrigatória, em razão das sucessivas rodadas de debates técnicos com os licitantes.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condução monocrática por agente individual é vedada no Diálogo Competitivo.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Presidente da corte atua como autoridade homologadora, descabendo a condução direta da sessão pública sem comissão técnica.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Representantes de empresas participantes são concorrentes externos e não integram a comissão julgadora.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comissão colegiada é amplamente permitida em bens especiais e obrigatória no Diálogo Competitivo.</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5 (FCC - Analista Judiciário)</w:t>
      </w:r>
    </w:p>
    <w:p>
      <w:pPr>
        <w:spacing w:line="360" w:lineRule="auto" w:before="0" w:after="80"/>
        <w:jc w:val="both"/>
      </w:pPr>
      <w:r>
        <w:rPr>
          <w:rFonts w:ascii="Arial" w:hAnsi="Arial"/>
          <w:b w:val="0"/>
          <w:i w:val="0"/>
          <w:color w:val="111827"/>
          <w:sz w:val="24"/>
        </w:rPr>
        <w:t xml:space="preserve">O Estado de Goiás homologou licitação para aquisição de equipamentos hospitalares e celebrou contrato administrativo com a empresa vencedora em 10 de maio. A assessoria do órgão providenciou a publicação do extrato no Diário Oficial do Estado no dia seguinte, mas deixou de publicar o instrumento e seus anexos no </w:t>
      </w:r>
      <w:r>
        <w:rPr>
          <w:rFonts w:ascii="Arial" w:hAnsi="Arial"/>
          <w:b/>
          <w:i w:val="0"/>
          <w:color w:val="111827"/>
          <w:sz w:val="24"/>
        </w:rPr>
        <w:t>Portal Nacional de Contratações Públicas (PNCP)</w:t>
      </w:r>
      <w:r>
        <w:rPr>
          <w:rFonts w:ascii="Arial" w:hAnsi="Arial"/>
          <w:b w:val="0"/>
          <w:i w:val="0"/>
          <w:color w:val="111827"/>
          <w:sz w:val="24"/>
        </w:rPr>
        <w:t>.</w:t>
      </w:r>
    </w:p>
    <w:p>
      <w:pPr>
        <w:spacing w:line="360" w:lineRule="auto" w:before="0" w:after="80"/>
        <w:jc w:val="both"/>
      </w:pPr>
      <w:r>
        <w:rPr>
          <w:rFonts w:ascii="Arial" w:hAnsi="Arial"/>
          <w:b w:val="0"/>
          <w:i w:val="0"/>
          <w:color w:val="111827"/>
          <w:sz w:val="24"/>
        </w:rPr>
        <w:t>À luz do art. 94 da Lei Federal nº 14.133/2021, o contrato administrativo celebrado: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Produz efeitos plenos e imediatos, visto que a publicação no Diário Oficial do Estado é a única legalmente exigível para a eficácia contratual.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Não possui eficácia jurídica plena, visto que a divulgação no Portal Nacional de Contratações Públicas (PNCP) é condição indispensável para a eficácia do contrato e de seus aditamentos.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É nulo de pleno direito por vício insanável de objeto, devendo ser repetida toda a licitação.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Transfere a obrigação do fornecimento diretamente para o segundo colocado do certame licitatório.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Fica dispensado de publicação no PNCP caso o valor contratado seja inferior a R$ 20 milhões.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Lei nº 14.133/2021 alterou o marco de publicidade em relação ao regime revogado da Lei 8.666/93; o Diário Oficial é veículo complementar, sendo a publicidade no PNCP a condição indispensável de eficácia.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94 da Lei Federal nº 14.133/2021 preceitua categoricamente: </w:t>
            </w:r>
            <w:r>
              <w:rPr>
                <w:rFonts w:ascii="Arial" w:hAnsi="Arial"/>
                <w:b w:val="0"/>
                <w:i/>
                <w:color w:val="111827"/>
                <w:sz w:val="21"/>
              </w:rPr>
              <w:t>"A divulgação no Portal Nacional de Contratações Públicas (PNCP) é condição indispensável para a eficácia do contrato e de seus aditamentos e deverá ocorrer nos seguintes prazos, contados da data de sua assinatura: I - 20 (vinte) dias úteis, no caso de licitação; II - 10 (dez) dias úteis, no caso de contratação direta."</w:t>
            </w:r>
            <w:r>
              <w:rPr>
                <w:rFonts w:ascii="Arial" w:hAnsi="Arial"/>
                <w:b w:val="0"/>
                <w:i w:val="0"/>
                <w:color w:val="111827"/>
                <w:sz w:val="21"/>
              </w:rPr>
              <w:t xml:space="preserve"> Sem a publicação tempestiva no PNCP, o contrato existe e é válido, mas permanece </w:t>
            </w:r>
            <w:r>
              <w:rPr>
                <w:rFonts w:ascii="Arial" w:hAnsi="Arial"/>
                <w:b/>
                <w:i w:val="0"/>
                <w:color w:val="111827"/>
                <w:sz w:val="21"/>
              </w:rPr>
              <w:t>ineficaz</w:t>
            </w:r>
            <w:r>
              <w:rPr>
                <w:rFonts w:ascii="Arial" w:hAnsi="Arial"/>
                <w:b w:val="0"/>
                <w:i w:val="0"/>
                <w:color w:val="111827"/>
                <w:sz w:val="21"/>
              </w:rPr>
              <w:t xml:space="preserve"> perante o ordenamento, não autorizando a exigência de cumprimento nem o empenho e liquidação de despesas públicas.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omissão no PNCP afeta a eficácia do instrumento contratual e comporta saneamento mediante publicação posterior no portal, não configurando nulidade insanável no objeto da licitação.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segundo colocado só é convocado em caso de recusa injustificada do primeiro colocado em assinar o contrato.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obrigatoriedade de publicação no PNCP como condição de eficácia atinge contratos de qualquer valor.</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02 - Fases da Licitação, Modalidades e Critérios de Julgamento (Lei 14.133/2021)</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Licitações e Contratos Administrativos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02_fases_modalidades_e_criterios_de_julgamento.md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Sequência e fases do processo licitatório na Lei Federal nº 14.133/2021</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regra da inversão de fases (julgamento das propostas antes da habilitação) e fase recursal única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Modalidades de licitação: Pregão, Concorrência, Concurso, Leilão e Diálogo Competitivo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Extinção definitiva das modalidades Tomada de Preços e Convite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Diálogo Competitivo: conceito, pressupostos, rito procedimental e comissão especial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Critérios de julgamento das propostas: Menor Preço, Maior Desconto, Melhor Técnica ou Conteúdo Artístico, Técnica e Preço, Maior Lance e Maior Retorno Econômico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Modos de disputa: aberto, fechado e suas combinações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Prazos mínimos para apresentação de propostas e lances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Fases e Rito Procedimental na Lei Federal nº 14.133/2021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Sequência Cronológica Canônica (Art. 17)</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A Inversão de Fases e a Habilitação Exclusiva do Vencedor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Fase Recursal Única e Concentrada (Art. 165)</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As Cinco Modalidades Licitatórias Modernas (Art. 28)</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Pregão: Bens e Serviços Comuns de Engenharia e Consumo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Concorrência: Bens e Serviços Especiais e Obras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Concurso: Premiação de Trabalhos Técnicos e Artísticos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Leilão: A Nova Sistemática para Móveis Inservíveis e Imóveis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Diálogo Competitivo: Inovação, Rito e Comissão Efetiva (Art. 32)</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2.6 A Extinção Definitiva da Tomada de Preços e do Convite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Critérios de Julgamento das Propostas (Art. 33)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Menor Preço e Maior Desconto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Melhor Técnica ou Conteúdo Artístico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Técnica e Preço e o Limite de Ponderação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Maior Lance (Privativo do Leilão)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3.5 Maior Retorno Econômico e os Contratos de Eficiência (Art. 39)</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Modos de Disputa e Prazos Mínimos de Divulgação do Edital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Modos de Disputa: Aberto, Fechado e Combinações (Art. 56)</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Prazos Mínimos de Apresentação de Propostas (Art. 55)</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&amp; Exemplos (Padrão FCC)</w:t>
      </w:r>
    </w:p>
    <w:p>
      <w:pPr>
        <w:keepNext/>
        <w:spacing w:before="280" w:after="120"/>
      </w:pPr>
      <w:r>
        <w:rPr>
          <w:rFonts w:ascii="Arial" w:hAnsi="Arial"/>
          <w:b/>
          <w:i w:val="0"/>
          <w:color w:val="2C5282"/>
          <w:sz w:val="28"/>
        </w:rPr>
        <w:t>1. Fases e Rito Procedimental na Lei Federal nº 14.133/2021</w:t>
      </w:r>
    </w:p>
    <w:p>
      <w:pPr>
        <w:spacing w:line="360" w:lineRule="auto" w:before="0" w:after="80"/>
        <w:jc w:val="both"/>
      </w:pPr>
      <w:r>
        <w:rPr>
          <w:rFonts w:ascii="Arial" w:hAnsi="Arial"/>
          <w:b w:val="0"/>
          <w:i w:val="0"/>
          <w:color w:val="111827"/>
          <w:sz w:val="24"/>
        </w:rPr>
        <w:t>A Lei Federal nº 14.133/2021 reestruturou o procedimento licitatório com o objetivo de assegurar celeridade, eficiência e redução de custos burocráticos. A regra ordinária positivada pelo diploma superou definitivamente o rito rígido da antiga Lei nº 8.666/1993.</w:t>
      </w:r>
    </w:p>
    <w:p>
      <w:pPr>
        <w:keepNext/>
        <w:spacing w:before="200" w:after="80"/>
      </w:pPr>
      <w:r>
        <w:rPr>
          <w:rFonts w:ascii="Arial" w:hAnsi="Arial"/>
          <w:b/>
          <w:i w:val="0"/>
          <w:color w:val="2B6CB0"/>
          <w:sz w:val="24"/>
        </w:rPr>
        <w:t>1.1 Sequência Cronológica Canônica (Art. 17)</w:t>
      </w:r>
    </w:p>
    <w:p>
      <w:pPr>
        <w:spacing w:line="360" w:lineRule="auto" w:before="0" w:after="80"/>
        <w:jc w:val="both"/>
      </w:pPr>
      <w:r>
        <w:rPr>
          <w:rFonts w:ascii="Arial" w:hAnsi="Arial"/>
          <w:b w:val="0"/>
          <w:i w:val="0"/>
          <w:color w:val="111827"/>
          <w:sz w:val="24"/>
        </w:rPr>
        <w:t>O processo licitatório obedece rigorosamente às seguintes fases consecutivas: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Fase Preparatória:</w:t>
      </w:r>
      <w:r>
        <w:rPr>
          <w:rFonts w:ascii="Arial" w:hAnsi="Arial"/>
          <w:b w:val="0"/>
          <w:i w:val="0"/>
          <w:color w:val="111827"/>
          <w:sz w:val="22"/>
        </w:rPr>
        <w:t xml:space="preserve"> Concepção da necessidade, confecção do ETP, TR ou Projeto Básico, elaboração da matriz de riscos, pesquisa de preços e redação da minuta de edital e de contrato;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Divulgação do Edital de Licitação:</w:t>
      </w:r>
      <w:r>
        <w:rPr>
          <w:rFonts w:ascii="Arial" w:hAnsi="Arial"/>
          <w:b w:val="0"/>
          <w:i w:val="0"/>
          <w:color w:val="111827"/>
          <w:sz w:val="22"/>
        </w:rPr>
        <w:t xml:space="preserve"> Publicidade oficial e centralizada mediante inserção obrigatória no Portal Nacional de Contratações Públicas (PNCP);</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Apresentação de Propostas e Lances:</w:t>
      </w:r>
      <w:r>
        <w:rPr>
          <w:rFonts w:ascii="Arial" w:hAnsi="Arial"/>
          <w:b w:val="0"/>
          <w:i w:val="0"/>
          <w:color w:val="111827"/>
          <w:sz w:val="22"/>
        </w:rPr>
        <w:t xml:space="preserve"> Sessão pública na qual os licitantes encaminham suas propostas financeiras e disputam lances sucessivos;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Julgamento:</w:t>
      </w:r>
      <w:r>
        <w:rPr>
          <w:rFonts w:ascii="Arial" w:hAnsi="Arial"/>
          <w:b w:val="0"/>
          <w:i w:val="0"/>
          <w:color w:val="111827"/>
          <w:sz w:val="22"/>
        </w:rPr>
        <w:t xml:space="preserve"> Verificação da conformidade formal da proposta e classificação provisória em ordem de vantajosidade conforme o critério adotado;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Habilitação:</w:t>
      </w:r>
      <w:r>
        <w:rPr>
          <w:rFonts w:ascii="Arial" w:hAnsi="Arial"/>
          <w:b w:val="0"/>
          <w:i w:val="0"/>
          <w:color w:val="111827"/>
          <w:sz w:val="22"/>
        </w:rPr>
        <w:t xml:space="preserve"> Conferência da idoneidade jurídica, fiscal, técnica e econômico-financeira;</w:t>
      </w:r>
    </w:p>
    <w:p>
      <w:pPr>
        <w:spacing w:line="276" w:lineRule="auto" w:before="20" w:after="40"/>
        <w:ind w:left="425"/>
      </w:pPr>
      <w:r>
        <w:rPr>
          <w:rFonts w:ascii="Arial" w:hAnsi="Arial"/>
          <w:b/>
          <w:color w:val="1B365D"/>
          <w:sz w:val="22"/>
        </w:rPr>
        <w:t xml:space="preserve">6. </w:t>
      </w:r>
      <w:r>
        <w:rPr>
          <w:rFonts w:ascii="Arial" w:hAnsi="Arial"/>
          <w:b/>
          <w:i w:val="0"/>
          <w:color w:val="111827"/>
          <w:sz w:val="22"/>
        </w:rPr>
        <w:t>Fase Recursal:</w:t>
      </w:r>
      <w:r>
        <w:rPr>
          <w:rFonts w:ascii="Arial" w:hAnsi="Arial"/>
          <w:b w:val="0"/>
          <w:i w:val="0"/>
          <w:color w:val="111827"/>
          <w:sz w:val="22"/>
        </w:rPr>
        <w:t xml:space="preserve"> Etapa única concentrada na qual os licitantes manifestam e fundamentam inconformismos contra o julgamento e a habilitação;</w:t>
      </w:r>
    </w:p>
    <w:p>
      <w:pPr>
        <w:spacing w:line="276" w:lineRule="auto" w:before="20" w:after="40"/>
        <w:ind w:left="425"/>
      </w:pPr>
      <w:r>
        <w:rPr>
          <w:rFonts w:ascii="Arial" w:hAnsi="Arial"/>
          <w:b/>
          <w:color w:val="1B365D"/>
          <w:sz w:val="22"/>
        </w:rPr>
        <w:t xml:space="preserve">7. </w:t>
      </w:r>
      <w:r>
        <w:rPr>
          <w:rFonts w:ascii="Arial" w:hAnsi="Arial"/>
          <w:b/>
          <w:i w:val="0"/>
          <w:color w:val="111827"/>
          <w:sz w:val="22"/>
        </w:rPr>
        <w:t>Homologação:</w:t>
      </w:r>
      <w:r>
        <w:rPr>
          <w:rFonts w:ascii="Arial" w:hAnsi="Arial"/>
          <w:b w:val="0"/>
          <w:i w:val="0"/>
          <w:color w:val="111827"/>
          <w:sz w:val="22"/>
        </w:rPr>
        <w:t xml:space="preserve"> Ato solene da autoridade superior que ratifica a legalidade de todo o certame e adjudica o objeto ao licitante vencedor.</w:t>
      </w:r>
    </w:p>
    <w:p>
      <w:pPr>
        <w:keepNext/>
        <w:spacing w:before="200" w:after="80"/>
      </w:pPr>
      <w:r>
        <w:rPr>
          <w:rFonts w:ascii="Arial" w:hAnsi="Arial"/>
          <w:b/>
          <w:i w:val="0"/>
          <w:color w:val="2B6CB0"/>
          <w:sz w:val="24"/>
        </w:rPr>
        <w:t>1.2 A Inversão de Fases e a Habilitação Exclusiva do Vencedor</w:t>
      </w:r>
    </w:p>
    <w:p>
      <w:pPr>
        <w:spacing w:line="360" w:lineRule="auto" w:before="0" w:after="80"/>
        <w:jc w:val="both"/>
      </w:pPr>
      <w:r>
        <w:rPr>
          <w:rFonts w:ascii="Arial" w:hAnsi="Arial"/>
          <w:b w:val="0"/>
          <w:i w:val="0"/>
          <w:color w:val="111827"/>
          <w:sz w:val="24"/>
        </w:rPr>
        <w:t xml:space="preserve">A maior inovação operacional da NLLC é a consagração definitiva da </w:t>
      </w:r>
      <w:r>
        <w:rPr>
          <w:rFonts w:ascii="Arial" w:hAnsi="Arial"/>
          <w:b/>
          <w:i w:val="0"/>
          <w:color w:val="111827"/>
          <w:sz w:val="24"/>
        </w:rPr>
        <w:t>inversão de fases como regra geral</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Julgamento Antes da Habilitação:</w:t>
      </w:r>
      <w:r>
        <w:rPr>
          <w:rFonts w:ascii="Arial" w:hAnsi="Arial"/>
          <w:b w:val="0"/>
          <w:i w:val="0"/>
          <w:color w:val="111827"/>
          <w:sz w:val="22"/>
        </w:rPr>
        <w:t xml:space="preserve"> Em vez de abrir os envelopes documentais de dezenas de licitantes antes de conhecer seus preços (modelo da Lei 8.666/93), a Administração Pública </w:t>
      </w:r>
      <w:r>
        <w:rPr>
          <w:rFonts w:ascii="Arial" w:hAnsi="Arial"/>
          <w:b/>
          <w:i w:val="0"/>
          <w:color w:val="111827"/>
          <w:sz w:val="22"/>
        </w:rPr>
        <w:t>classifica primeiro as propostas de preços/técnica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Conferência Exclusiva do 1º Colocado:</w:t>
      </w:r>
      <w:r>
        <w:rPr>
          <w:rFonts w:ascii="Arial" w:hAnsi="Arial"/>
          <w:b w:val="0"/>
          <w:i w:val="0"/>
          <w:color w:val="111827"/>
          <w:sz w:val="22"/>
        </w:rPr>
        <w:t xml:space="preserve"> O Agente de Contratação abre e confere a documentação de habilitação </w:t>
      </w:r>
      <w:r>
        <w:rPr>
          <w:rFonts w:ascii="Arial" w:hAnsi="Arial"/>
          <w:b/>
          <w:i w:val="0"/>
          <w:color w:val="111827"/>
          <w:sz w:val="22"/>
        </w:rPr>
        <w:t>exclusivamente do licitante que obteve o primeiro lugar</w:t>
      </w:r>
      <w:r>
        <w:rPr>
          <w:rFonts w:ascii="Arial" w:hAnsi="Arial"/>
          <w:b w:val="0"/>
          <w:i w:val="0"/>
          <w:color w:val="111827"/>
          <w:sz w:val="22"/>
        </w:rPr>
        <w:t>. Se a documentação estiver regular, ele é declarado vencedor; se for inabilitado, o agente convoca o segundo colocado na ordem de classificação, e assim sucessivamente.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Exceção de Habilitação Prévia (Art. 17, § 1º):</w:t>
      </w:r>
      <w:r>
        <w:rPr>
          <w:rFonts w:ascii="Arial" w:hAnsi="Arial"/>
          <w:b w:val="0"/>
          <w:i w:val="0"/>
          <w:color w:val="111827"/>
          <w:sz w:val="22"/>
        </w:rPr>
        <w:t xml:space="preserve"> A inversão pode ser excepcionada (realizando-se a habilitação antes do julgamento das propostas), desde que haja </w:t>
      </w:r>
      <w:r>
        <w:rPr>
          <w:rFonts w:ascii="Arial" w:hAnsi="Arial"/>
          <w:b/>
          <w:i w:val="0"/>
          <w:color w:val="111827"/>
          <w:sz w:val="22"/>
        </w:rPr>
        <w:t>motivação expressa de interesse público</w:t>
      </w:r>
      <w:r>
        <w:rPr>
          <w:rFonts w:ascii="Arial" w:hAnsi="Arial"/>
          <w:b w:val="0"/>
          <w:i w:val="0"/>
          <w:color w:val="111827"/>
          <w:sz w:val="22"/>
        </w:rPr>
        <w:t xml:space="preserve"> na fase preparatória e prévia previsão no edital.</w:t>
      </w:r>
    </w:p>
    <w:p>
      <w:pPr>
        <w:keepNext/>
        <w:spacing w:before="200" w:after="80"/>
      </w:pPr>
      <w:r>
        <w:rPr>
          <w:rFonts w:ascii="Arial" w:hAnsi="Arial"/>
          <w:b/>
          <w:i w:val="0"/>
          <w:color w:val="2B6CB0"/>
          <w:sz w:val="24"/>
        </w:rPr>
        <w:t>1.3 Fase Recursal Única e Concentrada (Art. 165)</w:t>
      </w:r>
    </w:p>
    <w:p>
      <w:pPr>
        <w:spacing w:line="360" w:lineRule="auto" w:before="0" w:after="80"/>
        <w:jc w:val="both"/>
      </w:pPr>
      <w:r>
        <w:rPr>
          <w:rFonts w:ascii="Arial" w:hAnsi="Arial"/>
          <w:b w:val="0"/>
          <w:i w:val="0"/>
          <w:color w:val="111827"/>
          <w:sz w:val="24"/>
        </w:rPr>
        <w:t>Na sistemática da NLLC, os recursos administrativos não são mais interpostos de forma fracionada ao término de cada etapa: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Existe uma </w:t>
      </w:r>
      <w:r>
        <w:rPr>
          <w:rFonts w:ascii="Arial" w:hAnsi="Arial"/>
          <w:b/>
          <w:i w:val="0"/>
          <w:color w:val="111827"/>
          <w:sz w:val="22"/>
        </w:rPr>
        <w:t>Fase Recursal ÚNICA e concentrada ao final do certame</w:t>
      </w:r>
      <w:r>
        <w:rPr>
          <w:rFonts w:ascii="Arial" w:hAnsi="Arial"/>
          <w:b w:val="0"/>
          <w:i w:val="0"/>
          <w:color w:val="111827"/>
          <w:sz w:val="22"/>
        </w:rPr>
        <w:t>, deflagrada logo após a declaração do vencedor habilitado;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licitante que discordar de qualquer decisão deve manifestar imediatamente sua intenção de recorrer sob pena de preclusão, dispondo do prazo de </w:t>
      </w:r>
      <w:r>
        <w:rPr>
          <w:rFonts w:ascii="Arial" w:hAnsi="Arial"/>
          <w:b/>
          <w:i w:val="0"/>
          <w:color w:val="111827"/>
          <w:sz w:val="22"/>
        </w:rPr>
        <w:t>3 (três) dias úteis</w:t>
      </w:r>
      <w:r>
        <w:rPr>
          <w:rFonts w:ascii="Arial" w:hAnsi="Arial"/>
          <w:b w:val="0"/>
          <w:i w:val="0"/>
          <w:color w:val="111827"/>
          <w:sz w:val="22"/>
        </w:rPr>
        <w:t xml:space="preserve"> para apresentação das razões recursais, abrangendo indistintamente matérias de julgamento de propostas e de habilitação.</w:t>
      </w:r>
    </w:p>
    <w:p>
      <w:pPr>
        <w:keepNext/>
        <w:spacing w:before="280" w:after="120"/>
      </w:pPr>
      <w:r>
        <w:rPr>
          <w:rFonts w:ascii="Arial" w:hAnsi="Arial"/>
          <w:b/>
          <w:i w:val="0"/>
          <w:color w:val="2C5282"/>
          <w:sz w:val="28"/>
        </w:rPr>
        <w:t>2. As Cinco Modalidades Licitatórias Modernas (Art. 28)</w:t>
      </w:r>
    </w:p>
    <w:p>
      <w:pPr>
        <w:spacing w:line="360" w:lineRule="auto" w:before="0" w:after="80"/>
        <w:jc w:val="both"/>
      </w:pPr>
      <w:r>
        <w:rPr>
          <w:rFonts w:ascii="Arial" w:hAnsi="Arial"/>
          <w:b w:val="0"/>
          <w:i w:val="0"/>
          <w:color w:val="111827"/>
          <w:sz w:val="24"/>
        </w:rPr>
        <w:t>O art. 28 da Lei Federal nº 14.133/2021 estabelece um rol taxativo com cinco modalidades licitatórias aplicáveis a toda a Administração Pública brasileira:</w:t>
      </w:r>
    </w:p>
    <w:p>
      <w:pPr>
        <w:spacing w:after="120"/>
      </w:pPr>
    </w:p>
    <w:p>
      <w:pPr>
        <w:keepNext/>
        <w:spacing w:before="200" w:after="80"/>
      </w:pPr>
      <w:r>
        <w:rPr>
          <w:rFonts w:ascii="Arial" w:hAnsi="Arial"/>
          <w:b/>
          <w:i w:val="0"/>
          <w:color w:val="2B6CB0"/>
          <w:sz w:val="24"/>
        </w:rPr>
        <w:t>2.1 Pregão: Bens e Serviços Comuns de Engenharia e Consumo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Objeto Mandatório (Art. 29):</w:t>
      </w:r>
      <w:r>
        <w:rPr>
          <w:rFonts w:ascii="Arial" w:hAnsi="Arial"/>
          <w:b w:val="0"/>
          <w:i w:val="0"/>
          <w:color w:val="111827"/>
          <w:sz w:val="22"/>
        </w:rPr>
        <w:t xml:space="preserve"> Modalidade de contratação obrigatória para </w:t>
      </w:r>
      <w:r>
        <w:rPr>
          <w:rFonts w:ascii="Arial" w:hAnsi="Arial"/>
          <w:b/>
          <w:i w:val="0"/>
          <w:color w:val="111827"/>
          <w:sz w:val="22"/>
        </w:rPr>
        <w:t>bens e serviços comuns</w:t>
      </w:r>
      <w:r>
        <w:rPr>
          <w:rFonts w:ascii="Arial" w:hAnsi="Arial"/>
          <w:b w:val="0"/>
          <w:i w:val="0"/>
          <w:color w:val="111827"/>
          <w:sz w:val="22"/>
        </w:rPr>
        <w:t xml:space="preserve">, incluindo expressamente os </w:t>
      </w:r>
      <w:r>
        <w:rPr>
          <w:rFonts w:ascii="Arial" w:hAnsi="Arial"/>
          <w:b/>
          <w:i w:val="0"/>
          <w:color w:val="111827"/>
          <w:sz w:val="22"/>
        </w:rPr>
        <w:t>serviços comuns de engenharia</w:t>
      </w:r>
      <w:r>
        <w:rPr>
          <w:rFonts w:ascii="Arial" w:hAnsi="Arial"/>
          <w:b w:val="0"/>
          <w:i w:val="0"/>
          <w:color w:val="111827"/>
          <w:sz w:val="22"/>
        </w:rPr>
        <w:t xml:space="preserve"> (assim entendidos aqueles cujos padrões de desempenho e qualidade podem ser objetivamente descritos pelo edital por especificações usuais de mercado);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Critérios de Julgamento Permitidos:</w:t>
      </w:r>
      <w:r>
        <w:rPr>
          <w:rFonts w:ascii="Arial" w:hAnsi="Arial"/>
          <w:b w:val="0"/>
          <w:i w:val="0"/>
          <w:color w:val="111827"/>
          <w:sz w:val="22"/>
        </w:rPr>
        <w:t xml:space="preserve"> Unicamente </w:t>
      </w:r>
      <w:r>
        <w:rPr>
          <w:rFonts w:ascii="Arial" w:hAnsi="Arial"/>
          <w:b/>
          <w:i w:val="0"/>
          <w:color w:val="111827"/>
          <w:sz w:val="22"/>
        </w:rPr>
        <w:t>Menor Preço</w:t>
      </w:r>
      <w:r>
        <w:rPr>
          <w:rFonts w:ascii="Arial" w:hAnsi="Arial"/>
          <w:b w:val="0"/>
          <w:i w:val="0"/>
          <w:color w:val="111827"/>
          <w:sz w:val="22"/>
        </w:rPr>
        <w:t xml:space="preserve"> ou </w:t>
      </w:r>
      <w:r>
        <w:rPr>
          <w:rFonts w:ascii="Arial" w:hAnsi="Arial"/>
          <w:b/>
          <w:i w:val="0"/>
          <w:color w:val="111827"/>
          <w:sz w:val="22"/>
        </w:rPr>
        <w:t>Maior Desconto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Condução:</w:t>
      </w:r>
      <w:r>
        <w:rPr>
          <w:rFonts w:ascii="Arial" w:hAnsi="Arial"/>
          <w:b w:val="0"/>
          <w:i w:val="0"/>
          <w:color w:val="111827"/>
          <w:sz w:val="22"/>
        </w:rPr>
        <w:t xml:space="preserve"> Conduzido pelo Pregoeiro, com auxílio da equipe de apoio.</w:t>
      </w:r>
    </w:p>
    <w:p>
      <w:pPr>
        <w:keepNext/>
        <w:spacing w:before="200" w:after="80"/>
      </w:pPr>
      <w:r>
        <w:rPr>
          <w:rFonts w:ascii="Arial" w:hAnsi="Arial"/>
          <w:b/>
          <w:i w:val="0"/>
          <w:color w:val="2B6CB0"/>
          <w:sz w:val="24"/>
        </w:rPr>
        <w:t>2.2 Concorrência: Bens e Serviços Especiais e Obras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Objeto:</w:t>
      </w:r>
      <w:r>
        <w:rPr>
          <w:rFonts w:ascii="Arial" w:hAnsi="Arial"/>
          <w:b w:val="0"/>
          <w:i w:val="0"/>
          <w:color w:val="111827"/>
          <w:sz w:val="22"/>
        </w:rPr>
        <w:t xml:space="preserve"> Modalidade de licitação destinada à contratação de </w:t>
      </w:r>
      <w:r>
        <w:rPr>
          <w:rFonts w:ascii="Arial" w:hAnsi="Arial"/>
          <w:b/>
          <w:i w:val="0"/>
          <w:color w:val="111827"/>
          <w:sz w:val="22"/>
        </w:rPr>
        <w:t>bens e serviços especiais</w:t>
      </w:r>
      <w:r>
        <w:rPr>
          <w:rFonts w:ascii="Arial" w:hAnsi="Arial"/>
          <w:b w:val="0"/>
          <w:i w:val="0"/>
          <w:color w:val="111827"/>
          <w:sz w:val="22"/>
        </w:rPr>
        <w:t>, obras e serviços de engenharia comuns e especiais;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Critérios de Julgamento:</w:t>
      </w:r>
      <w:r>
        <w:rPr>
          <w:rFonts w:ascii="Arial" w:hAnsi="Arial"/>
          <w:b w:val="0"/>
          <w:i w:val="0"/>
          <w:color w:val="111827"/>
          <w:sz w:val="22"/>
        </w:rPr>
        <w:t xml:space="preserve"> Ampla flexibilidade, admitindo Menor Preço, Maior Desconto, Melhor Técnica, Técnica e Preço e Maior Retorno Econômico.</w:t>
      </w:r>
    </w:p>
    <w:p>
      <w:pPr>
        <w:keepNext/>
        <w:spacing w:before="200" w:after="80"/>
      </w:pPr>
      <w:r>
        <w:rPr>
          <w:rFonts w:ascii="Arial" w:hAnsi="Arial"/>
          <w:b/>
          <w:i w:val="0"/>
          <w:color w:val="2B6CB0"/>
          <w:sz w:val="24"/>
        </w:rPr>
        <w:t>2.3 Concurso: Premiação de Trabalhos Técnicos e Artísticos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Objeto:</w:t>
      </w:r>
      <w:r>
        <w:rPr>
          <w:rFonts w:ascii="Arial" w:hAnsi="Arial"/>
          <w:b w:val="0"/>
          <w:i w:val="0"/>
          <w:color w:val="111827"/>
          <w:sz w:val="22"/>
        </w:rPr>
        <w:t xml:space="preserve"> Escolha de trabalho técnico, científico ou artístico, de arquitetura ou urbanismo;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Contraprestação:</w:t>
      </w:r>
      <w:r>
        <w:rPr>
          <w:rFonts w:ascii="Arial" w:hAnsi="Arial"/>
          <w:b w:val="0"/>
          <w:i w:val="0"/>
          <w:color w:val="111827"/>
          <w:sz w:val="22"/>
        </w:rPr>
        <w:t xml:space="preserve"> Concessão de prêmio ou remuneração ao vencedor;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Critério de Julgamento:</w:t>
      </w:r>
      <w:r>
        <w:rPr>
          <w:rFonts w:ascii="Arial" w:hAnsi="Arial"/>
          <w:b w:val="0"/>
          <w:i w:val="0"/>
          <w:color w:val="111827"/>
          <w:sz w:val="22"/>
        </w:rPr>
        <w:t xml:space="preserve"> Melhor Técnica ou Conteúdo Artístico, avaliado por comissão especial qualificada.</w:t>
      </w:r>
    </w:p>
    <w:p>
      <w:pPr>
        <w:keepNext/>
        <w:spacing w:before="200" w:after="80"/>
      </w:pPr>
      <w:r>
        <w:rPr>
          <w:rFonts w:ascii="Arial" w:hAnsi="Arial"/>
          <w:b/>
          <w:i w:val="0"/>
          <w:color w:val="2B6CB0"/>
          <w:sz w:val="24"/>
        </w:rPr>
        <w:t>2.4 Leilão: A Nova Sistemática para Móveis Inservíveis e Imóveis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Objeto Unificado (Art. 28, § 2º c/c Art. 31):</w:t>
      </w:r>
      <w:r>
        <w:rPr>
          <w:rFonts w:ascii="Arial" w:hAnsi="Arial"/>
          <w:b w:val="0"/>
          <w:i w:val="0"/>
          <w:color w:val="111827"/>
          <w:sz w:val="22"/>
        </w:rPr>
        <w:t xml:space="preserve"> Modalidade obrigatória para alienação de </w:t>
      </w:r>
      <w:r>
        <w:rPr>
          <w:rFonts w:ascii="Arial" w:hAnsi="Arial"/>
          <w:b/>
          <w:i w:val="0"/>
          <w:color w:val="111827"/>
          <w:sz w:val="22"/>
        </w:rPr>
        <w:t>bens móveis inservíveis ou apreendidos</w:t>
      </w:r>
      <w:r>
        <w:rPr>
          <w:rFonts w:ascii="Arial" w:hAnsi="Arial"/>
          <w:b w:val="0"/>
          <w:i w:val="0"/>
          <w:color w:val="111827"/>
          <w:sz w:val="22"/>
        </w:rPr>
        <w:t xml:space="preserve"> e de </w:t>
      </w:r>
      <w:r>
        <w:rPr>
          <w:rFonts w:ascii="Arial" w:hAnsi="Arial"/>
          <w:b/>
          <w:i w:val="0"/>
          <w:color w:val="111827"/>
          <w:sz w:val="22"/>
        </w:rPr>
        <w:t>QUAISQUER BENS IMÓVEIS</w:t>
      </w:r>
      <w:r>
        <w:rPr>
          <w:rFonts w:ascii="Arial" w:hAnsi="Arial"/>
          <w:b w:val="0"/>
          <w:i w:val="0"/>
          <w:color w:val="111827"/>
          <w:sz w:val="22"/>
        </w:rPr>
        <w:t xml:space="preserve"> pertencentes ao Poder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Critério de Julgamento:</w:t>
      </w:r>
      <w:r>
        <w:rPr>
          <w:rFonts w:ascii="Arial" w:hAnsi="Arial"/>
          <w:b w:val="0"/>
          <w:i w:val="0"/>
          <w:color w:val="111827"/>
          <w:sz w:val="22"/>
        </w:rPr>
        <w:t xml:space="preserve"> Exclusivamente </w:t>
      </w:r>
      <w:r>
        <w:rPr>
          <w:rFonts w:ascii="Arial" w:hAnsi="Arial"/>
          <w:b/>
          <w:i w:val="0"/>
          <w:color w:val="111827"/>
          <w:sz w:val="22"/>
        </w:rPr>
        <w:t>Maior Lance</w:t>
      </w:r>
      <w:r>
        <w:rPr>
          <w:rFonts w:ascii="Arial" w:hAnsi="Arial"/>
          <w:b w:val="0"/>
          <w:i w:val="0"/>
          <w:color w:val="111827"/>
          <w:sz w:val="22"/>
        </w:rPr>
        <w:t xml:space="preserve"> (igual ou superior à avaliação prévia);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Condução:</w:t>
      </w:r>
      <w:r>
        <w:rPr>
          <w:rFonts w:ascii="Arial" w:hAnsi="Arial"/>
          <w:b w:val="0"/>
          <w:i w:val="0"/>
          <w:color w:val="111827"/>
          <w:sz w:val="22"/>
        </w:rPr>
        <w:t xml:space="preserve"> Pode ser conduzido por Leiloeiro Oficial matriculado ou por servidor público designado pela autoridade.</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MUDANÇA RADICAL DA LEI 14.133/2021:</w:t>
            </w:r>
          </w:p>
          <w:p>
            <w:pPr>
              <w:spacing w:line="288" w:lineRule="auto" w:before="40" w:after="40"/>
            </w:pPr>
            <w:r>
              <w:rPr>
                <w:rFonts w:ascii="Arial" w:hAnsi="Arial"/>
                <w:b w:val="0"/>
                <w:i w:val="0"/>
                <w:color w:val="111827"/>
                <w:sz w:val="21"/>
              </w:rPr>
              <w:t xml:space="preserve">Sob a revogada Lei 8.666/93, a alienação de bens imóveis exigia Concorrência. Na Nova Lei de Licitações, </w:t>
            </w:r>
            <w:r>
              <w:rPr>
                <w:rFonts w:ascii="Arial" w:hAnsi="Arial"/>
                <w:b/>
                <w:i w:val="0"/>
                <w:color w:val="111827"/>
                <w:sz w:val="21"/>
              </w:rPr>
              <w:t>TODOS os imóveis públicos são alienados por LEILÃO</w:t>
            </w:r>
            <w:r>
              <w:rPr>
                <w:rFonts w:ascii="Arial" w:hAnsi="Arial"/>
                <w:b w:val="0"/>
                <w:i w:val="0"/>
                <w:color w:val="111827"/>
                <w:sz w:val="21"/>
              </w:rPr>
              <w:t>! Atenção redobrada às pegadinhas da FCC que afirmam que imóveis dependem de Concorrência.</w:t>
            </w:r>
          </w:p>
        </w:tc>
      </w:tr>
    </w:tbl>
    <w:p>
      <w:pPr>
        <w:spacing w:before="0" w:after="120"/>
      </w:pPr>
    </w:p>
    <w:p>
      <w:pPr>
        <w:keepNext/>
        <w:spacing w:before="200" w:after="80"/>
      </w:pPr>
      <w:r>
        <w:rPr>
          <w:rFonts w:ascii="Arial" w:hAnsi="Arial"/>
          <w:b/>
          <w:i w:val="0"/>
          <w:color w:val="2B6CB0"/>
          <w:sz w:val="24"/>
        </w:rPr>
        <w:t>2.5 Diálogo Competitivo: Inovação, Rito e Comissão Efetiva (Art. 32)</w:t>
      </w:r>
    </w:p>
    <w:p>
      <w:pPr>
        <w:spacing w:line="360" w:lineRule="auto" w:before="0" w:after="80"/>
        <w:jc w:val="both"/>
      </w:pPr>
      <w:r>
        <w:rPr>
          <w:rFonts w:ascii="Arial" w:hAnsi="Arial"/>
          <w:b w:val="0"/>
          <w:i w:val="0"/>
          <w:color w:val="111827"/>
          <w:sz w:val="24"/>
        </w:rPr>
        <w:t xml:space="preserve">Modalidade moderna instituída pela NLLC, restrita a contratações de alta complexidade em que a Administração identifica uma necessidade pública, mas </w:t>
      </w:r>
      <w:r>
        <w:rPr>
          <w:rFonts w:ascii="Arial" w:hAnsi="Arial"/>
          <w:b/>
          <w:i w:val="0"/>
          <w:color w:val="111827"/>
          <w:sz w:val="24"/>
        </w:rPr>
        <w:t>não possui capacidade técnica de definir previamente as especificações do objeto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Hipóteses de Cabimento:</w:t>
      </w:r>
      <w:r>
        <w:rPr>
          <w:rFonts w:ascii="Arial" w:hAnsi="Arial"/>
          <w:b w:val="0"/>
          <w:i w:val="0"/>
          <w:color w:val="111827"/>
          <w:sz w:val="22"/>
        </w:rPr>
        <w:t xml:space="preserve"> Inovação tecnológica; complexidade de engenharia ou software; impossibilidade de adaptar soluções de mercado existentes;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Estrutura em Duas Fases:</w:t>
      </w:r>
    </w:p>
    <w:p>
      <w:pPr>
        <w:spacing w:line="276" w:lineRule="auto" w:before="20" w:after="40"/>
        <w:ind w:left="992"/>
      </w:pPr>
      <w:r>
        <w:rPr>
          <w:rFonts w:ascii="Arial" w:hAnsi="Arial"/>
          <w:b/>
          <w:color w:val="1B365D"/>
          <w:sz w:val="22"/>
        </w:rPr>
        <w:t xml:space="preserve">1. </w:t>
      </w:r>
      <w:r>
        <w:rPr>
          <w:rFonts w:ascii="Arial" w:hAnsi="Arial"/>
          <w:b w:val="0"/>
          <w:i/>
          <w:color w:val="111827"/>
          <w:sz w:val="22"/>
        </w:rPr>
        <w:t>Fase de Diálogos:</w:t>
      </w:r>
      <w:r>
        <w:rPr>
          <w:rFonts w:ascii="Arial" w:hAnsi="Arial"/>
          <w:b w:val="0"/>
          <w:i w:val="0"/>
          <w:color w:val="111827"/>
          <w:sz w:val="22"/>
        </w:rPr>
        <w:t xml:space="preserve"> O edital publica os objetivos do órgão; os licitantes pré-selecionados debatem com a comissão técnica em reuniões gravadas para construir alternativas metodológicas;</w:t>
      </w:r>
    </w:p>
    <w:p>
      <w:pPr>
        <w:spacing w:line="276" w:lineRule="auto" w:before="20" w:after="40"/>
        <w:ind w:left="992"/>
      </w:pPr>
      <w:r>
        <w:rPr>
          <w:rFonts w:ascii="Arial" w:hAnsi="Arial"/>
          <w:b/>
          <w:color w:val="1B365D"/>
          <w:sz w:val="22"/>
        </w:rPr>
        <w:t xml:space="preserve">2. </w:t>
      </w:r>
      <w:r>
        <w:rPr>
          <w:rFonts w:ascii="Arial" w:hAnsi="Arial"/>
          <w:b w:val="0"/>
          <w:i/>
          <w:color w:val="111827"/>
          <w:sz w:val="22"/>
        </w:rPr>
        <w:t>Fase Competitiva Final:</w:t>
      </w:r>
      <w:r>
        <w:rPr>
          <w:rFonts w:ascii="Arial" w:hAnsi="Arial"/>
          <w:b w:val="0"/>
          <w:i w:val="0"/>
          <w:color w:val="111827"/>
          <w:sz w:val="22"/>
        </w:rPr>
        <w:t xml:space="preserve"> Concluído o diálogo, abre-se a disputa final de propostas comerciais e técnicas com base na solução construída;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Condução Obrigatória por Comissão Efetiva:</w:t>
      </w:r>
      <w:r>
        <w:rPr>
          <w:rFonts w:ascii="Arial" w:hAnsi="Arial"/>
          <w:b w:val="0"/>
          <w:i w:val="0"/>
          <w:color w:val="111827"/>
          <w:sz w:val="22"/>
        </w:rPr>
        <w:t xml:space="preserve"> O Diálogo Competitivo deve ser conduzido </w:t>
      </w:r>
      <w:r>
        <w:rPr>
          <w:rFonts w:ascii="Arial" w:hAnsi="Arial"/>
          <w:b/>
          <w:i w:val="0"/>
          <w:color w:val="111827"/>
          <w:sz w:val="22"/>
        </w:rPr>
        <w:t>obrigatoriamente por comissão de contratação composta de, no mínimo, 3 (três) servidores efetivos ou empregados permanentes</w:t>
      </w:r>
      <w:r>
        <w:rPr>
          <w:rFonts w:ascii="Arial" w:hAnsi="Arial"/>
          <w:b w:val="0"/>
          <w:i w:val="0"/>
          <w:color w:val="111827"/>
          <w:sz w:val="22"/>
        </w:rPr>
        <w:t xml:space="preserve"> (art. 32, XI).</w:t>
      </w:r>
    </w:p>
    <w:p>
      <w:pPr>
        <w:keepNext/>
        <w:spacing w:before="200" w:after="80"/>
      </w:pPr>
      <w:r>
        <w:rPr>
          <w:rFonts w:ascii="Arial" w:hAnsi="Arial"/>
          <w:b/>
          <w:i w:val="0"/>
          <w:color w:val="2B6CB0"/>
          <w:sz w:val="24"/>
        </w:rPr>
        <w:t>2.6 A Extinção Definitiva da Tomada de Preços e do Convite</w:t>
      </w:r>
    </w:p>
    <w:p>
      <w:pPr>
        <w:spacing w:line="360" w:lineRule="auto" w:before="0" w:after="80"/>
        <w:jc w:val="both"/>
      </w:pPr>
      <w:r>
        <w:rPr>
          <w:rFonts w:ascii="Arial" w:hAnsi="Arial"/>
          <w:b w:val="0"/>
          <w:i w:val="0"/>
          <w:color w:val="111827"/>
          <w:sz w:val="24"/>
        </w:rPr>
        <w:t xml:space="preserve">A NLLC </w:t>
      </w:r>
      <w:r>
        <w:rPr>
          <w:rFonts w:ascii="Arial" w:hAnsi="Arial"/>
          <w:b/>
          <w:i w:val="0"/>
          <w:color w:val="111827"/>
          <w:sz w:val="24"/>
        </w:rPr>
        <w:t>extinguiu formal e definitivamente as modalidades Tomada de Preços e Convite</w:t>
      </w:r>
      <w:r>
        <w:rPr>
          <w:rFonts w:ascii="Arial" w:hAnsi="Arial"/>
          <w:b w:val="0"/>
          <w:i w:val="0"/>
          <w:color w:val="111827"/>
          <w:sz w:val="24"/>
        </w:rPr>
        <w:t xml:space="preserve">. Na nova ordem jurídica, as modalidades são delimitadas estritamente pela </w:t>
      </w:r>
      <w:r>
        <w:rPr>
          <w:rFonts w:ascii="Arial" w:hAnsi="Arial"/>
          <w:b/>
          <w:i w:val="0"/>
          <w:color w:val="111827"/>
          <w:sz w:val="24"/>
        </w:rPr>
        <w:t>natureza do objeto</w:t>
      </w:r>
      <w:r>
        <w:rPr>
          <w:rFonts w:ascii="Arial" w:hAnsi="Arial"/>
          <w:b w:val="0"/>
          <w:i w:val="0"/>
          <w:color w:val="111827"/>
          <w:sz w:val="24"/>
        </w:rPr>
        <w:t>, e jamais pelo valor econômico da contratação.</w:t>
      </w:r>
    </w:p>
    <w:p>
      <w:pPr>
        <w:keepNext/>
        <w:spacing w:before="280" w:after="120"/>
      </w:pPr>
      <w:r>
        <w:rPr>
          <w:rFonts w:ascii="Arial" w:hAnsi="Arial"/>
          <w:b/>
          <w:i w:val="0"/>
          <w:color w:val="2C5282"/>
          <w:sz w:val="28"/>
        </w:rPr>
        <w:t>3. Critérios de Julgamento das Propostas (Art. 33)</w:t>
      </w:r>
    </w:p>
    <w:p>
      <w:pPr>
        <w:spacing w:line="360" w:lineRule="auto" w:before="0" w:after="80"/>
        <w:jc w:val="both"/>
      </w:pPr>
      <w:r>
        <w:rPr>
          <w:rFonts w:ascii="Arial" w:hAnsi="Arial"/>
          <w:b w:val="0"/>
          <w:i w:val="0"/>
          <w:color w:val="111827"/>
          <w:sz w:val="24"/>
        </w:rPr>
        <w:t>O art. 33 da Lei nº 14.133/2021 estabelece os critérios objetivos de julgamento que devem constar obrigatoriamente do edital:</w:t>
      </w:r>
    </w:p>
    <w:p>
      <w:pPr>
        <w:keepNext/>
        <w:spacing w:before="200" w:after="80"/>
      </w:pPr>
      <w:r>
        <w:rPr>
          <w:rFonts w:ascii="Arial" w:hAnsi="Arial"/>
          <w:b/>
          <w:i w:val="0"/>
          <w:color w:val="2B6CB0"/>
          <w:sz w:val="24"/>
        </w:rPr>
        <w:t>3.1 Menor Preço e Maior Desconto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Menor Preço:</w:t>
      </w:r>
      <w:r>
        <w:rPr>
          <w:rFonts w:ascii="Arial" w:hAnsi="Arial"/>
          <w:b w:val="0"/>
          <w:i w:val="0"/>
          <w:color w:val="111827"/>
          <w:sz w:val="22"/>
        </w:rPr>
        <w:t xml:space="preserve"> O vencedor é o licitante que apresenta o menor valor financeiro global ou unitário para a execução do objeto.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Maior Desconto:</w:t>
      </w:r>
      <w:r>
        <w:rPr>
          <w:rFonts w:ascii="Arial" w:hAnsi="Arial"/>
          <w:b w:val="0"/>
          <w:i w:val="0"/>
          <w:color w:val="111827"/>
          <w:sz w:val="22"/>
        </w:rPr>
        <w:t xml:space="preserve"> O licitante oferece o maior percentual de abatimento linear sobre uma tabela referencial de preços previamente divulgada pelo órgão no edital (muito comum em manutenção automotiva e compra de medicamentos).</w:t>
      </w:r>
    </w:p>
    <w:p>
      <w:pPr>
        <w:keepNext/>
        <w:spacing w:before="200" w:after="80"/>
      </w:pPr>
      <w:r>
        <w:rPr>
          <w:rFonts w:ascii="Arial" w:hAnsi="Arial"/>
          <w:b/>
          <w:i w:val="0"/>
          <w:color w:val="2B6CB0"/>
          <w:sz w:val="24"/>
        </w:rPr>
        <w:t>3.2 Melhor Técnica ou Conteúdo Artístico</w:t>
      </w:r>
    </w:p>
    <w:p>
      <w:pPr>
        <w:spacing w:line="360" w:lineRule="auto" w:before="0" w:after="80"/>
        <w:jc w:val="both"/>
      </w:pPr>
      <w:r>
        <w:rPr>
          <w:rFonts w:ascii="Arial" w:hAnsi="Arial"/>
          <w:b w:val="0"/>
          <w:i w:val="0"/>
          <w:color w:val="111827"/>
          <w:sz w:val="24"/>
        </w:rPr>
        <w:t xml:space="preserve">Considera exclusivamente a pontuação atribuída à proposta técnica ou artística formulada pelo participante, fixando o edital previamente o valor do prêmio ou da remuneração que será outorgada. Utilizado no </w:t>
      </w:r>
      <w:r>
        <w:rPr>
          <w:rFonts w:ascii="Arial" w:hAnsi="Arial"/>
          <w:b/>
          <w:i w:val="0"/>
          <w:color w:val="111827"/>
          <w:sz w:val="24"/>
        </w:rPr>
        <w:t>Concurso</w:t>
      </w:r>
      <w:r>
        <w:rPr>
          <w:rFonts w:ascii="Arial" w:hAnsi="Arial"/>
          <w:b w:val="0"/>
          <w:i w:val="0"/>
          <w:color w:val="111827"/>
          <w:sz w:val="24"/>
        </w:rPr>
        <w:t>.</w:t>
      </w:r>
    </w:p>
    <w:p>
      <w:pPr>
        <w:keepNext/>
        <w:spacing w:before="200" w:after="80"/>
      </w:pPr>
      <w:r>
        <w:rPr>
          <w:rFonts w:ascii="Arial" w:hAnsi="Arial"/>
          <w:b/>
          <w:i w:val="0"/>
          <w:color w:val="2B6CB0"/>
          <w:sz w:val="24"/>
        </w:rPr>
        <w:t>3.3 Técnica e Preço e o Limite de Ponderação</w:t>
      </w:r>
    </w:p>
    <w:p>
      <w:pPr>
        <w:spacing w:line="360" w:lineRule="auto" w:before="0" w:after="80"/>
        <w:jc w:val="both"/>
      </w:pPr>
      <w:r>
        <w:rPr>
          <w:rFonts w:ascii="Arial" w:hAnsi="Arial"/>
          <w:b w:val="0"/>
          <w:i w:val="0"/>
          <w:color w:val="111827"/>
          <w:sz w:val="24"/>
        </w:rPr>
        <w:t>Pondera a pontuação da proposta técnica combinada com a proposta de preço dos licitantes, atribuindo-se pesos específicos no edital: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Limite Legal de Ponderação (Art. 36, § 1º):</w:t>
      </w:r>
      <w:r>
        <w:rPr>
          <w:rFonts w:ascii="Arial" w:hAnsi="Arial"/>
          <w:b w:val="0"/>
          <w:i w:val="0"/>
          <w:color w:val="111827"/>
          <w:sz w:val="22"/>
        </w:rPr>
        <w:t xml:space="preserve"> A pontuação atribuída à valoração técnica </w:t>
      </w:r>
      <w:r>
        <w:rPr>
          <w:rFonts w:ascii="Arial" w:hAnsi="Arial"/>
          <w:b/>
          <w:i w:val="0"/>
          <w:color w:val="111827"/>
          <w:sz w:val="22"/>
        </w:rPr>
        <w:t>não pode ultrapassar o teto máximo de 70% (setenta por cento)</w:t>
      </w:r>
      <w:r>
        <w:rPr>
          <w:rFonts w:ascii="Arial" w:hAnsi="Arial"/>
          <w:b w:val="0"/>
          <w:i w:val="0"/>
          <w:color w:val="111827"/>
          <w:sz w:val="22"/>
        </w:rPr>
        <w:t xml:space="preserve"> da pontuação total.</w:t>
      </w:r>
    </w:p>
    <w:p>
      <w:pPr>
        <w:keepNext/>
        <w:spacing w:before="200" w:after="80"/>
      </w:pPr>
      <w:r>
        <w:rPr>
          <w:rFonts w:ascii="Arial" w:hAnsi="Arial"/>
          <w:b/>
          <w:i w:val="0"/>
          <w:color w:val="2B6CB0"/>
          <w:sz w:val="24"/>
        </w:rPr>
        <w:t>3.4 Maior Lance (Privativo do Leilão)</w:t>
      </w:r>
    </w:p>
    <w:p>
      <w:pPr>
        <w:spacing w:line="360" w:lineRule="auto" w:before="0" w:after="80"/>
        <w:jc w:val="both"/>
      </w:pPr>
      <w:r>
        <w:rPr>
          <w:rFonts w:ascii="Arial" w:hAnsi="Arial"/>
          <w:b w:val="0"/>
          <w:i w:val="0"/>
          <w:color w:val="111827"/>
          <w:sz w:val="24"/>
        </w:rPr>
        <w:t xml:space="preserve">Exclusivo da modalidade </w:t>
      </w:r>
      <w:r>
        <w:rPr>
          <w:rFonts w:ascii="Arial" w:hAnsi="Arial"/>
          <w:b/>
          <w:i w:val="0"/>
          <w:color w:val="111827"/>
          <w:sz w:val="24"/>
        </w:rPr>
        <w:t>Leilão</w:t>
      </w:r>
      <w:r>
        <w:rPr>
          <w:rFonts w:ascii="Arial" w:hAnsi="Arial"/>
          <w:b w:val="0"/>
          <w:i w:val="0"/>
          <w:color w:val="111827"/>
          <w:sz w:val="24"/>
        </w:rPr>
        <w:t>, declarando vencedor o proponente que oferecer o maior valor financeiro para a aquisição do patrimônio público disponibilizado.</w:t>
      </w:r>
    </w:p>
    <w:p>
      <w:pPr>
        <w:keepNext/>
        <w:spacing w:before="200" w:after="80"/>
      </w:pPr>
      <w:r>
        <w:rPr>
          <w:rFonts w:ascii="Arial" w:hAnsi="Arial"/>
          <w:b/>
          <w:i w:val="0"/>
          <w:color w:val="2B6CB0"/>
          <w:sz w:val="24"/>
        </w:rPr>
        <w:t>3.5 Maior Retorno Econômico e os Contratos de Eficiência (Art. 39)</w:t>
      </w:r>
    </w:p>
    <w:p>
      <w:pPr>
        <w:spacing w:line="360" w:lineRule="auto" w:before="0" w:after="80"/>
        <w:jc w:val="both"/>
      </w:pPr>
      <w:r>
        <w:rPr>
          <w:rFonts w:ascii="Arial" w:hAnsi="Arial"/>
          <w:b w:val="0"/>
          <w:i w:val="0"/>
          <w:color w:val="111827"/>
          <w:sz w:val="24"/>
        </w:rPr>
        <w:t xml:space="preserve">Critério inovador privativo da celebração de </w:t>
      </w:r>
      <w:r>
        <w:rPr>
          <w:rFonts w:ascii="Arial" w:hAnsi="Arial"/>
          <w:b/>
          <w:i w:val="0"/>
          <w:color w:val="111827"/>
          <w:sz w:val="24"/>
        </w:rPr>
        <w:t>Contratos de Eficiência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contratado assume a execução de melhorias estruturais (ex.: retrofit elétrico, modernização hidráulica, inteligência em tecnologia) para gerar economia concreta nos custos operacionais do Poder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Composição da Proposta:</w:t>
      </w:r>
      <w:r>
        <w:rPr>
          <w:rFonts w:ascii="Arial" w:hAnsi="Arial"/>
          <w:b w:val="0"/>
          <w:i w:val="0"/>
          <w:color w:val="111827"/>
          <w:sz w:val="22"/>
        </w:rPr>
        <w:t xml:space="preserve"> A proposta do licitante traz:</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A estimativa de economia financeira gerada para a Administração; e</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O percentual dessa economia que reterá como remuneração de seus serviços;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julgamento apura a </w:t>
      </w:r>
      <w:r>
        <w:rPr>
          <w:rFonts w:ascii="Arial" w:hAnsi="Arial"/>
          <w:b/>
          <w:i w:val="0"/>
          <w:color w:val="111827"/>
          <w:sz w:val="22"/>
        </w:rPr>
        <w:t>maior vantagem econômica líquida</w:t>
      </w:r>
      <w:r>
        <w:rPr>
          <w:rFonts w:ascii="Arial" w:hAnsi="Arial"/>
          <w:b w:val="0"/>
          <w:i w:val="0"/>
          <w:color w:val="111827"/>
          <w:sz w:val="22"/>
        </w:rPr>
        <w:t>: maior economia estimada menos a remuneração cobrada. Se a economia real aferida for menor que a proposta pelo licitante, a diferença é glosada e descontada de sua fatura.</w:t>
      </w:r>
    </w:p>
    <w:p>
      <w:pPr>
        <w:keepNext/>
        <w:spacing w:before="280" w:after="120"/>
      </w:pPr>
      <w:r>
        <w:rPr>
          <w:rFonts w:ascii="Arial" w:hAnsi="Arial"/>
          <w:b/>
          <w:i w:val="0"/>
          <w:color w:val="2C5282"/>
          <w:sz w:val="28"/>
        </w:rPr>
        <w:t>4. Modos de Disputa e Prazos Mínimos de Divulgação do Edital</w:t>
      </w:r>
    </w:p>
    <w:p>
      <w:pPr>
        <w:keepNext/>
        <w:spacing w:before="200" w:after="80"/>
      </w:pPr>
      <w:r>
        <w:rPr>
          <w:rFonts w:ascii="Arial" w:hAnsi="Arial"/>
          <w:b/>
          <w:i w:val="0"/>
          <w:color w:val="2B6CB0"/>
          <w:sz w:val="24"/>
        </w:rPr>
        <w:t>4.1 Modos de Disputa: Aberto, Fechado e Combinações (Art. 56)</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Modo Aberto:</w:t>
      </w:r>
      <w:r>
        <w:rPr>
          <w:rFonts w:ascii="Arial" w:hAnsi="Arial"/>
          <w:b w:val="0"/>
          <w:i w:val="0"/>
          <w:color w:val="111827"/>
          <w:sz w:val="22"/>
        </w:rPr>
        <w:t xml:space="preserve"> Os licitantes encaminham lances públicos sucessivos em plataforma eletrônica, conhecendo em tempo real os lances dos concorrentes.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Modo Fechado:</w:t>
      </w:r>
      <w:r>
        <w:rPr>
          <w:rFonts w:ascii="Arial" w:hAnsi="Arial"/>
          <w:b w:val="0"/>
          <w:i w:val="0"/>
          <w:color w:val="111827"/>
          <w:sz w:val="22"/>
        </w:rPr>
        <w:t xml:space="preserve"> As propostas permanecem em sigilo absoluto no sistema até a data e hora designadas para a abertura simultânea perante todos.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Modos Combinados:</w:t>
      </w:r>
      <w:r>
        <w:rPr>
          <w:rFonts w:ascii="Arial" w:hAnsi="Arial"/>
          <w:b w:val="0"/>
          <w:i w:val="0"/>
          <w:color w:val="111827"/>
          <w:sz w:val="22"/>
        </w:rPr>
        <w:t xml:space="preserve"> Aberto-fechado ou fechado-aberto.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Vedações Expressas do Art. 56:</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proibida a utilização isolada do modo de disputa fechado quando o critério de julgamento for </w:t>
      </w:r>
      <w:r>
        <w:rPr>
          <w:rFonts w:ascii="Arial" w:hAnsi="Arial"/>
          <w:b/>
          <w:i w:val="0"/>
          <w:color w:val="111827"/>
          <w:sz w:val="22"/>
        </w:rPr>
        <w:t>Menor Preço</w:t>
      </w:r>
      <w:r>
        <w:rPr>
          <w:rFonts w:ascii="Arial" w:hAnsi="Arial"/>
          <w:b w:val="0"/>
          <w:i w:val="0"/>
          <w:color w:val="111827"/>
          <w:sz w:val="22"/>
        </w:rPr>
        <w:t xml:space="preserve"> ou </w:t>
      </w:r>
      <w:r>
        <w:rPr>
          <w:rFonts w:ascii="Arial" w:hAnsi="Arial"/>
          <w:b/>
          <w:i w:val="0"/>
          <w:color w:val="111827"/>
          <w:sz w:val="22"/>
        </w:rPr>
        <w:t>Maior Desconto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vedada a utilização do modo aberto quando o critério de julgamento for </w:t>
      </w:r>
      <w:r>
        <w:rPr>
          <w:rFonts w:ascii="Arial" w:hAnsi="Arial"/>
          <w:b/>
          <w:i w:val="0"/>
          <w:color w:val="111827"/>
          <w:sz w:val="22"/>
        </w:rPr>
        <w:t>Melhor Técnica ou Conteúdo Artístico</w:t>
      </w:r>
      <w:r>
        <w:rPr>
          <w:rFonts w:ascii="Arial" w:hAnsi="Arial"/>
          <w:b w:val="0"/>
          <w:i w:val="0"/>
          <w:color w:val="111827"/>
          <w:sz w:val="22"/>
        </w:rPr>
        <w:t>.</w:t>
      </w:r>
    </w:p>
    <w:p>
      <w:pPr>
        <w:keepNext/>
        <w:spacing w:before="200" w:after="80"/>
      </w:pPr>
      <w:r>
        <w:rPr>
          <w:rFonts w:ascii="Arial" w:hAnsi="Arial"/>
          <w:b/>
          <w:i w:val="0"/>
          <w:color w:val="2B6CB0"/>
          <w:sz w:val="24"/>
        </w:rPr>
        <w:t>4.2 Prazos Mínimos de Apresentação de Propostas (Art. 55)</w:t>
      </w:r>
    </w:p>
    <w:p>
      <w:pPr>
        <w:spacing w:line="360" w:lineRule="auto" w:before="0" w:after="80"/>
        <w:jc w:val="both"/>
      </w:pPr>
      <w:r>
        <w:rPr>
          <w:rFonts w:ascii="Arial" w:hAnsi="Arial"/>
          <w:b w:val="0"/>
          <w:i w:val="0"/>
          <w:color w:val="111827"/>
          <w:sz w:val="24"/>
        </w:rPr>
        <w:t>Os prazos mínimos de divulgação do edital contam-se a partir da data de publicação no PNCP:</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Objeto da Licitação e Critério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Modalidade Típica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Prazo Mínimo de Edital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Bens Comuns</w:t>
            </w:r>
            <w:r>
              <w:rPr>
                <w:rFonts w:ascii="Arial" w:hAnsi="Arial"/>
                <w:b w:val="0"/>
                <w:i w:val="0"/>
                <w:color w:val="111827"/>
                <w:sz w:val="19"/>
              </w:rPr>
              <w:t xml:space="preserve"> (Menor Preço ou Maior Desconto)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Pregão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8 dias úteis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Serviços Comuns e Obras Comuns de Engenharia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Pregão ou Concorrência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10 dias úteis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Bens Especiais e Serviços Especiais de Engenharia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Concorrência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15 dias úteis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Obras com Regime de Empreitada por Preço Global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Concorrência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25 dias úteis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Obras com Regime de Contratação Integrada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Concorrência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60 dias úteis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Licitações pelo Critério de Maior Retorno Econômico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Concorrência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35 dias úteis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Licitações pelo Critério de Técnica e Preço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Concorrência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35 dias úteis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Leilão de Bens Móveis e Imóveis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Leilão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15 dias úteis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Concurso de Projetos Técnicos/Artísticos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Concurso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35 dias úteis</w:t>
            </w:r>
          </w:p>
        </w:tc>
      </w:tr>
    </w:tbl>
    <w:p>
      <w:pPr>
        <w:spacing w:after="120"/>
      </w:pPr>
    </w:p>
    <w:p>
      <w:pPr>
        <w:keepNext/>
        <w:spacing w:before="280" w:after="120"/>
      </w:pPr>
      <w:r>
        <w:rPr>
          <w:rFonts w:ascii="Arial" w:hAnsi="Arial"/>
          <w:b/>
          <w:i w:val="0"/>
          <w:color w:val="2C5282"/>
          <w:sz w:val="28"/>
        </w:rPr>
        <w:t>5.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14.133/2021 - Arts. 17 a 39 e 55 a 56</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Dispositivos que disciplinam o rito das fases da licitação, modalidades e prazos de publicação.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Portal Nacional de Contratações Públicas (PNCP)</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Repositório oficial onde são veiculados os editais e lances de todas as modalidades da NLLC.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Instrução Normativa SEGES/ME nº 73/2022 (Modos de Disputa e Critérios)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Regulamento federal que disciplina a operacionalização dos modos aberto e fechado.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Enunciados do Instituto Brasileiro de Direito Administrativo (IBDA)</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Teses doutrinárias aplicadas sobre a eliminação do convite e tomada de preços e o uso do leilão imobiliário.</w:t>
      </w:r>
    </w:p>
    <w:p>
      <w:pPr>
        <w:keepNext/>
        <w:spacing w:before="280" w:after="120"/>
      </w:pPr>
      <w:r>
        <w:rPr>
          <w:rFonts w:ascii="Arial" w:hAnsi="Arial"/>
          <w:b/>
          <w:i w:val="0"/>
          <w:color w:val="2C5282"/>
          <w:sz w:val="28"/>
        </w:rPr>
        <w:t>6. Questões Comentadas &amp; Exemplos (Padrão FCC)</w:t>
      </w:r>
    </w:p>
    <w:p>
      <w:pPr>
        <w:keepNext/>
        <w:spacing w:before="200" w:after="80"/>
      </w:pPr>
      <w:r>
        <w:rPr>
          <w:rFonts w:ascii="Arial" w:hAnsi="Arial"/>
          <w:b/>
          <w:i w:val="0"/>
          <w:color w:val="2B6CB0"/>
          <w:sz w:val="24"/>
        </w:rPr>
        <w:t>Questão 1 (FCC - Analista de Controle Externo / Adaptada TCE-GO)</w:t>
      </w:r>
    </w:p>
    <w:p>
      <w:pPr>
        <w:spacing w:line="360" w:lineRule="auto" w:before="0" w:after="80"/>
        <w:jc w:val="both"/>
      </w:pPr>
      <w:r>
        <w:rPr>
          <w:rFonts w:ascii="Arial" w:hAnsi="Arial"/>
          <w:b w:val="0"/>
          <w:i w:val="0"/>
          <w:color w:val="111827"/>
          <w:sz w:val="24"/>
        </w:rPr>
        <w:t>O Tribunal de Contas do Estado de Goiás necessita alienar 20 veículos oficiais de sua frota que se tornaram antieconômicos e inservíveis para a fiscalização, bem como dois imóveis urbanos desafetados de sua propriedade recebidos em dação em pagamento de penalidades aplicadas.</w:t>
      </w:r>
    </w:p>
    <w:p>
      <w:pPr>
        <w:spacing w:line="360" w:lineRule="auto" w:before="0" w:after="80"/>
        <w:jc w:val="both"/>
      </w:pPr>
      <w:r>
        <w:rPr>
          <w:rFonts w:ascii="Arial" w:hAnsi="Arial"/>
          <w:b w:val="0"/>
          <w:i w:val="0"/>
          <w:color w:val="111827"/>
          <w:sz w:val="24"/>
        </w:rPr>
        <w:t>Considerando as modalidades de licitação positivadas na Lei Federal nº 14.133/2021:</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alienação dos veículos inservíveis deve ocorrer por Concorrência e a dos imóveis por Tomada de Preços.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Ambos os bens (os veículos móveis inservíveis e os imóveis desafetados) devem ser alienados obrigatoriamente mediante a modalidade Leilão, cujo critério de julgamento exclusivo é o Maior Lance.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alienação de imóveis públicos exige a realização de Diálogo Competitivo com consórcios imobiliários privados.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Os veículos inservíveis devem ser alienados por Pregão Eletrônico com critério de Maior Desconto.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alienação de patrimônio imobiliário de tribunais dispensa qualquer modalidade licitatória, ocorrendo por doação direta compulsória.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Tomada de Preços foi formalmente extinta pela Lei nº 14.133/2021, e a Concorrência não é mais a modalidade aplicável para alienação de imóveis na NLLC.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o art. 28, § 2º, c/c art. 31 da Lei Federal nº 14.133/2021, o </w:t>
            </w:r>
            <w:r>
              <w:rPr>
                <w:rFonts w:ascii="Arial" w:hAnsi="Arial"/>
                <w:b/>
                <w:i w:val="0"/>
                <w:color w:val="111827"/>
                <w:sz w:val="21"/>
              </w:rPr>
              <w:t>Leilão</w:t>
            </w:r>
            <w:r>
              <w:rPr>
                <w:rFonts w:ascii="Arial" w:hAnsi="Arial"/>
                <w:b w:val="0"/>
                <w:i w:val="0"/>
                <w:color w:val="111827"/>
                <w:sz w:val="21"/>
              </w:rPr>
              <w:t xml:space="preserve"> é a modalidade de licitação obrigatória para a alienação de bens móveis inservíveis ou legalmente apreendidos e de </w:t>
            </w:r>
            <w:r>
              <w:rPr>
                <w:rFonts w:ascii="Arial" w:hAnsi="Arial"/>
                <w:b/>
                <w:i w:val="0"/>
                <w:color w:val="111827"/>
                <w:sz w:val="21"/>
              </w:rPr>
              <w:t>quaisquer bens imóveis</w:t>
            </w:r>
            <w:r>
              <w:rPr>
                <w:rFonts w:ascii="Arial" w:hAnsi="Arial"/>
                <w:b w:val="0"/>
                <w:i w:val="0"/>
                <w:color w:val="111827"/>
                <w:sz w:val="21"/>
              </w:rPr>
              <w:t xml:space="preserve"> da Administração Pública. Seu critério de julgamento exclusivo é o </w:t>
            </w:r>
            <w:r>
              <w:rPr>
                <w:rFonts w:ascii="Arial" w:hAnsi="Arial"/>
                <w:b/>
                <w:i w:val="0"/>
                <w:color w:val="111827"/>
                <w:sz w:val="21"/>
              </w:rPr>
              <w:t>Maior Lance</w:t>
            </w:r>
            <w:r>
              <w:rPr>
                <w:rFonts w:ascii="Arial" w:hAnsi="Arial"/>
                <w:b w:val="0"/>
                <w:i w:val="0"/>
                <w:color w:val="111827"/>
                <w:sz w:val="21"/>
              </w:rPr>
              <w:t xml:space="preserve"> (igual ou superior ao valor de avaliação prévia), unificando todo o procedimento de desinvestimento patrimonial do Estado.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Diálogo Competitivo destina-se à contratação de soluções de alta tecnologia e obras complexas, não à venda de imóveis.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pregão é modalidade de contratação de despesa pública (aquisição de bens e serviços comuns), não servindo para alienação patrimonial.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alienação imobiliária depende de prévia autorização legal, avaliação oficial e licitação na modalidade leilão.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Técnico de Controle Externo / Administrativa)</w:t>
      </w:r>
    </w:p>
    <w:p>
      <w:pPr>
        <w:spacing w:line="360" w:lineRule="auto" w:before="0" w:after="80"/>
        <w:jc w:val="both"/>
      </w:pPr>
      <w:r>
        <w:rPr>
          <w:rFonts w:ascii="Arial" w:hAnsi="Arial"/>
          <w:b w:val="0"/>
          <w:i w:val="0"/>
          <w:color w:val="111827"/>
          <w:sz w:val="24"/>
        </w:rPr>
        <w:t xml:space="preserve">Em um certame licitatório conduzido sob a modalidade Concorrência para contratação de serviços de conservação predial, encerrada a fase de envio de lances na plataforma eletrônica com 40 empresas participantes, o Agente de Contratação procedeu à abertura e conferência imediata das certidões e envelopes de habilitação de </w:t>
      </w:r>
      <w:r>
        <w:rPr>
          <w:rFonts w:ascii="Arial" w:hAnsi="Arial"/>
          <w:b/>
          <w:i w:val="0"/>
          <w:color w:val="111827"/>
          <w:sz w:val="24"/>
        </w:rPr>
        <w:t>todas as 40 empresas</w:t>
      </w:r>
      <w:r>
        <w:rPr>
          <w:rFonts w:ascii="Arial" w:hAnsi="Arial"/>
          <w:b w:val="0"/>
          <w:i w:val="0"/>
          <w:color w:val="111827"/>
          <w:sz w:val="24"/>
        </w:rPr>
        <w:t xml:space="preserve"> licitantes, antes de julgar a aceitabilidade e os preços das propostas.</w:t>
      </w:r>
    </w:p>
    <w:p>
      <w:pPr>
        <w:spacing w:line="360" w:lineRule="auto" w:before="0" w:after="80"/>
        <w:jc w:val="both"/>
      </w:pPr>
      <w:r>
        <w:rPr>
          <w:rFonts w:ascii="Arial" w:hAnsi="Arial"/>
          <w:b w:val="0"/>
          <w:i w:val="0"/>
          <w:color w:val="111827"/>
          <w:sz w:val="24"/>
        </w:rPr>
        <w:t>Em conformidade com a sequência de fases prevista no art. 17 da Lei Federal nº 14.133/2021:</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conduta do agente violou a regra geral procedimental da NLLC, que impõe o julgamento prévio das propostas e determina a análise dos documentos de habilitação exclusivamente do licitante primeiro colocado classificado.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agente agiu com estrito acerto, visto que a conferência de documentos de todos os licitantes antes dos preços é exigência imperativa de moralidade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fase de habilitação foi extinta pela nova lei, bastando a apresentação de nota fiscal de serviços anteriores.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Lei nº 14.133/2021 proíbe a fase recursal única, exigindo recurso individualizado após cada lance.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inversão de fases é ato privativo do Poder Judiciário deferido em mandado de segurança preventivo.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O art. 17 da Lei Federal nº 14.133/2021 estabelece a ordem cronológica legal das fases da licitação: Preparatória </w:t>
            </w:r>
            <w:r>
              <w:rPr>
                <w:rFonts w:ascii="Cambria Math" w:hAnsi="Cambria Math"/>
                <w:i/>
                <w:color w:val="1B365D"/>
                <w:sz w:val="21"/>
              </w:rPr>
              <w:t>\rightarrow</w:t>
            </w:r>
            <w:r>
              <w:rPr>
                <w:rFonts w:ascii="Arial" w:hAnsi="Arial"/>
                <w:b w:val="0"/>
                <w:i w:val="0"/>
                <w:color w:val="111827"/>
                <w:sz w:val="21"/>
              </w:rPr>
              <w:t xml:space="preserve"> Divulgação </w:t>
            </w:r>
            <w:r>
              <w:rPr>
                <w:rFonts w:ascii="Cambria Math" w:hAnsi="Cambria Math"/>
                <w:i/>
                <w:color w:val="1B365D"/>
                <w:sz w:val="21"/>
              </w:rPr>
              <w:t>\rightarrow</w:t>
            </w:r>
            <w:r>
              <w:rPr>
                <w:rFonts w:ascii="Arial" w:hAnsi="Arial"/>
                <w:b w:val="0"/>
                <w:i w:val="0"/>
                <w:color w:val="111827"/>
                <w:sz w:val="21"/>
              </w:rPr>
              <w:t xml:space="preserve"> Propostas e lances </w:t>
            </w:r>
            <w:r>
              <w:rPr>
                <w:rFonts w:ascii="Cambria Math" w:hAnsi="Cambria Math"/>
                <w:i/>
                <w:color w:val="1B365D"/>
                <w:sz w:val="21"/>
              </w:rPr>
              <w:t>\rightarrow</w:t>
            </w:r>
            <w:r>
              <w:rPr>
                <w:rFonts w:ascii="Arial" w:hAnsi="Arial"/>
                <w:b w:val="0"/>
                <w:i w:val="0"/>
                <w:color w:val="111827"/>
                <w:sz w:val="21"/>
              </w:rPr>
              <w:t xml:space="preserve"> </w:t>
            </w:r>
            <w:r>
              <w:rPr>
                <w:rFonts w:ascii="Arial" w:hAnsi="Arial"/>
                <w:b/>
                <w:i w:val="0"/>
                <w:color w:val="111827"/>
                <w:sz w:val="21"/>
              </w:rPr>
              <w:t>Julgamento</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w:t>
            </w:r>
            <w:r>
              <w:rPr>
                <w:rFonts w:ascii="Arial" w:hAnsi="Arial"/>
                <w:b/>
                <w:i w:val="0"/>
                <w:color w:val="111827"/>
                <w:sz w:val="21"/>
              </w:rPr>
              <w:t>Habilitação</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Recursal </w:t>
            </w:r>
            <w:r>
              <w:rPr>
                <w:rFonts w:ascii="Cambria Math" w:hAnsi="Cambria Math"/>
                <w:i/>
                <w:color w:val="1B365D"/>
                <w:sz w:val="21"/>
              </w:rPr>
              <w:t>\rightarrow</w:t>
            </w:r>
            <w:r>
              <w:rPr>
                <w:rFonts w:ascii="Arial" w:hAnsi="Arial"/>
                <w:b w:val="0"/>
                <w:i w:val="0"/>
                <w:color w:val="111827"/>
                <w:sz w:val="21"/>
              </w:rPr>
              <w:t xml:space="preserve"> Homologação. A regra geral impõe a </w:t>
            </w:r>
            <w:r>
              <w:rPr>
                <w:rFonts w:ascii="Arial" w:hAnsi="Arial"/>
                <w:b/>
                <w:i w:val="0"/>
                <w:color w:val="111827"/>
                <w:sz w:val="21"/>
              </w:rPr>
              <w:t>inversão de fases</w:t>
            </w:r>
            <w:r>
              <w:rPr>
                <w:rFonts w:ascii="Arial" w:hAnsi="Arial"/>
                <w:b w:val="0"/>
                <w:i w:val="0"/>
                <w:color w:val="111827"/>
                <w:sz w:val="21"/>
              </w:rPr>
              <w:t xml:space="preserve">: primeiro classificam-se as propostas e, em seguida, procede-se ao exame da documentação de habilitação </w:t>
            </w:r>
            <w:r>
              <w:rPr>
                <w:rFonts w:ascii="Arial" w:hAnsi="Arial"/>
                <w:b/>
                <w:i w:val="0"/>
                <w:color w:val="111827"/>
                <w:sz w:val="21"/>
              </w:rPr>
              <w:t>exclusivamente do licitante que obteve o primeiro lugar</w:t>
            </w:r>
            <w:r>
              <w:rPr>
                <w:rFonts w:ascii="Arial" w:hAnsi="Arial"/>
                <w:b w:val="0"/>
                <w:i w:val="0"/>
                <w:color w:val="111827"/>
                <w:sz w:val="21"/>
              </w:rPr>
              <w:t>. Conferir previamente os documentos de 40 empresas viola a sistemática legal de eficiência e celeridade da NLLC.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conferência prévia universal era a regra do regime revogado da Lei 8.666/93, superada pela NLLC.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fase de habilitação permanece obrigatória para o primeiro colocado classificado.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art. 165 da NLLC consagrou a fase recursal única ao final do certame.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inversão excepcional (habilitação antes do julgamento) é ato administrativo discricionário motivado da própria Administração na fase interna, sem necessidade de provimento jurisdicional.</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3 (FCC - Auditor de Controle Externo / Adaptada)</w:t>
      </w:r>
    </w:p>
    <w:p>
      <w:pPr>
        <w:spacing w:line="360" w:lineRule="auto" w:before="0" w:after="80"/>
        <w:jc w:val="both"/>
      </w:pPr>
      <w:r>
        <w:rPr>
          <w:rFonts w:ascii="Arial" w:hAnsi="Arial"/>
          <w:b w:val="0"/>
          <w:i w:val="0"/>
          <w:color w:val="111827"/>
          <w:sz w:val="24"/>
        </w:rPr>
        <w:t>Determinada pasta do Poder Executivo estadual pretende licitar o desenvolvimento e implantação de uma solução pioneira e inovadora de inteligência artificial aplicada ao cruzamento automatizado de notas fiscais eletrônicas com imagens de satélite. A equipe de planejamento constatou que não dispõe de capacidade técnica para definir de antemão as especificações técnicas objetivas no edital, necessitando dialogar com os fornecedores especializados para identificar as melhores alternativas existentes no mercado.</w:t>
      </w:r>
    </w:p>
    <w:p>
      <w:pPr>
        <w:spacing w:line="360" w:lineRule="auto" w:before="0" w:after="80"/>
        <w:jc w:val="both"/>
      </w:pPr>
      <w:r>
        <w:rPr>
          <w:rFonts w:ascii="Arial" w:hAnsi="Arial"/>
          <w:b w:val="0"/>
          <w:i w:val="0"/>
          <w:color w:val="111827"/>
          <w:sz w:val="24"/>
        </w:rPr>
        <w:t>Para a hipótese descrita, a modalidade de licitação adequada prevista na Lei Federal nº 14.133/2021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Pregão Eletrônico com critério de Menor Preço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Diálogo Competitivo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Concurso com premiação pecuniária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Leilão Administrativo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Inexigibilidade compulsória de licitação sem disputa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pregão pressupõe que o objeto seja comum e que suas especificações possam ser objetivamente pré-fixadas no edital, o que é inviável na contratação de soluções de vanguarda e alta complexidade tecnológica.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o art. 32 da Lei Federal nº 14.133/2021, o </w:t>
            </w:r>
            <w:r>
              <w:rPr>
                <w:rFonts w:ascii="Arial" w:hAnsi="Arial"/>
                <w:b/>
                <w:i w:val="0"/>
                <w:color w:val="111827"/>
                <w:sz w:val="21"/>
              </w:rPr>
              <w:t>Diálogo Competitivo</w:t>
            </w:r>
            <w:r>
              <w:rPr>
                <w:rFonts w:ascii="Arial" w:hAnsi="Arial"/>
                <w:b w:val="0"/>
                <w:i w:val="0"/>
                <w:color w:val="111827"/>
                <w:sz w:val="21"/>
              </w:rPr>
              <w:t xml:space="preserve"> é a modalidade própria para contratações que envolvam: I - inovação tecnológica ou técnica; II - impossibilidade de a Administração ter sua necessidade satisfeita sem a adaptação de soluções disponíveis no mercado; e III - impossibilidade de as especificações técnicas serem definidas com precisão suficiente pela Administração. O modelo desenvolve-se em duas etapas (diálogos estruturados seguidos de fase competitiva de propostas finais).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concurso serve para escolher trabalhos prontos (projetos arquitetônicos, obras literárias) mediante concessão de prêmio, e não para contratar serviços integrados de TI.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leilão é privativo de alienação patrimonial.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existência de multiplicidade de fornecedores capazes de inovar impõe a disputa licitatória formal.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Analista de Gestão Pública)</w:t>
      </w:r>
    </w:p>
    <w:p>
      <w:pPr>
        <w:spacing w:line="360" w:lineRule="auto" w:before="0" w:after="80"/>
        <w:jc w:val="both"/>
      </w:pPr>
      <w:r>
        <w:rPr>
          <w:rFonts w:ascii="Arial" w:hAnsi="Arial"/>
          <w:b w:val="0"/>
          <w:i w:val="0"/>
          <w:color w:val="111827"/>
          <w:sz w:val="24"/>
        </w:rPr>
        <w:t>O Departamento Estadual de Infraestrutura necessita contratar a execução de serviços de manutenção asfáltica rotineira e tapa-buracos em rodovias estaduais, cujos padrões de desempenho, traço asfáltico e metodologia operacional encontram-se rigorosamente padronizados em manuais técnicos usuais do mercado.</w:t>
      </w:r>
    </w:p>
    <w:p>
      <w:pPr>
        <w:spacing w:line="360" w:lineRule="auto" w:before="0" w:after="80"/>
        <w:jc w:val="both"/>
      </w:pPr>
      <w:r>
        <w:rPr>
          <w:rFonts w:ascii="Arial" w:hAnsi="Arial"/>
          <w:b w:val="0"/>
          <w:i w:val="0"/>
          <w:color w:val="111827"/>
          <w:sz w:val="24"/>
        </w:rPr>
        <w:t xml:space="preserve">Nos termos do art. 29 da Lei Federal nº 14.133/2021, para a contratação de </w:t>
      </w:r>
      <w:r>
        <w:rPr>
          <w:rFonts w:ascii="Arial" w:hAnsi="Arial"/>
          <w:b/>
          <w:i w:val="0"/>
          <w:color w:val="111827"/>
          <w:sz w:val="24"/>
        </w:rPr>
        <w:t>serviços comuns de engenharia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É obrigatória a realização de Concurso Internacional com corpo de jurados.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É obrigatório o uso do Pregão, admitindo-se subsidiariamente a Concorrência, com adoção dos critérios de menor preço ou maior desconto.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É terminantemente vedada a utilização da modalidade Pregão para qualquer serviço de engenharia, sob pena de nulidade absoluta.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contratação deve ocorrer obrigatoriamente por Leilão com lances decrescentes.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É dispensada a exigência de termo de referência ou projeto básico.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Concurso é privativo de trabalhos técnicos, científicos ou artísticos com prêmio, não se aplicando a obras ou reformas viárias.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29 da Lei Federal nº 14.133/2021 estabelece categoricamente: </w:t>
            </w:r>
            <w:r>
              <w:rPr>
                <w:rFonts w:ascii="Arial" w:hAnsi="Arial"/>
                <w:b w:val="0"/>
                <w:i/>
                <w:color w:val="111827"/>
                <w:sz w:val="21"/>
              </w:rPr>
              <w:t>"A licitação de bens e serviços comuns, incluídos os serviços comuns de engenharia, deverá ser realizada obrigatoriamente sob a modalidade pregão, admitida a concorrência se a administração assim o preferir."</w:t>
            </w:r>
            <w:r>
              <w:rPr>
                <w:rFonts w:ascii="Arial" w:hAnsi="Arial"/>
                <w:b w:val="0"/>
                <w:i w:val="0"/>
                <w:color w:val="111827"/>
                <w:sz w:val="21"/>
              </w:rPr>
              <w:t xml:space="preserve"> Se o serviço de engenharia é rotineiro e padronizado em manuais usuais de mercado (serviço comum de engenharia), o pregão é a modalidade mandatória, adotando-se exclusivamente os critérios de </w:t>
            </w:r>
            <w:r>
              <w:rPr>
                <w:rFonts w:ascii="Arial" w:hAnsi="Arial"/>
                <w:b/>
                <w:i w:val="0"/>
                <w:color w:val="111827"/>
                <w:sz w:val="21"/>
              </w:rPr>
              <w:t>Menor Preço</w:t>
            </w:r>
            <w:r>
              <w:rPr>
                <w:rFonts w:ascii="Arial" w:hAnsi="Arial"/>
                <w:b w:val="0"/>
                <w:i w:val="0"/>
                <w:color w:val="111827"/>
                <w:sz w:val="21"/>
              </w:rPr>
              <w:t xml:space="preserve"> ou </w:t>
            </w:r>
            <w:r>
              <w:rPr>
                <w:rFonts w:ascii="Arial" w:hAnsi="Arial"/>
                <w:b/>
                <w:i w:val="0"/>
                <w:color w:val="111827"/>
                <w:sz w:val="21"/>
              </w:rPr>
              <w:t>Maior Desconto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NLLC pacifica expressamente a admissibilidade do pregão para serviços comuns de engenharia, pondo fim a antigas controvérsias judiciais da vigência da Lei 8.666/93.</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Leilão destina-se exclusivamente à venda e alienação de bens móveis e imóveis.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termo de referência ou projeto básico é peça técnica mandatória na fase preparatória.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Procurador do Estado / Adaptada)</w:t>
      </w:r>
    </w:p>
    <w:p>
      <w:pPr>
        <w:spacing w:line="360" w:lineRule="auto" w:before="0" w:after="80"/>
        <w:jc w:val="both"/>
      </w:pPr>
      <w:r>
        <w:rPr>
          <w:rFonts w:ascii="Arial" w:hAnsi="Arial"/>
          <w:b w:val="0"/>
          <w:i w:val="0"/>
          <w:color w:val="111827"/>
          <w:sz w:val="24"/>
        </w:rPr>
        <w:t xml:space="preserve">Determinada entidade governamental pretende licitar a modernização do sistema de refrigeração e iluminação de seus prédios administrativos sob o regime de </w:t>
      </w:r>
      <w:r>
        <w:rPr>
          <w:rFonts w:ascii="Arial" w:hAnsi="Arial"/>
          <w:b/>
          <w:i w:val="0"/>
          <w:color w:val="111827"/>
          <w:sz w:val="24"/>
        </w:rPr>
        <w:t>Contrato de Eficiência</w:t>
      </w:r>
      <w:r>
        <w:rPr>
          <w:rFonts w:ascii="Arial" w:hAnsi="Arial"/>
          <w:b w:val="0"/>
          <w:i w:val="0"/>
          <w:color w:val="111827"/>
          <w:sz w:val="24"/>
        </w:rPr>
        <w:t>, no qual a contratada será remunerada mediante percentual da economia financeira efetivamente gerada na conta de energia do órgão.</w:t>
      </w:r>
    </w:p>
    <w:p>
      <w:pPr>
        <w:spacing w:line="360" w:lineRule="auto" w:before="0" w:after="80"/>
        <w:jc w:val="both"/>
      </w:pPr>
      <w:r>
        <w:rPr>
          <w:rFonts w:ascii="Arial" w:hAnsi="Arial"/>
          <w:b w:val="0"/>
          <w:i w:val="0"/>
          <w:color w:val="111827"/>
          <w:sz w:val="24"/>
        </w:rPr>
        <w:t>Para essa contratação, a Lei Federal nº 14.133/2021 prescreve o critério de julgamento por: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Menor Preço puro, desconsiderando as estimativas de redução de consumo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Maior Retorno Econômico, considerando a maior economia estimada para a Administração deduzida a remuneração proposta pelo licitante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Melhor Técnica, avaliada unicamente por títulos acadêmicos dos engenheiros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Maior Lance presencial em sessão pública conduzida por leiloeiro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Maior Desconto linear sobre a tarifa comercial da distribuidora de energia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menor preço avalia apenas o desembolso inicial, sendo inadequado para mensurar a eficiência energética futura gerada pela empresa.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33, inciso VI, c/c art. 39 da Lei Federal nº 14.133/2021 institui o critério de </w:t>
            </w:r>
            <w:r>
              <w:rPr>
                <w:rFonts w:ascii="Arial" w:hAnsi="Arial"/>
                <w:b/>
                <w:i w:val="0"/>
                <w:color w:val="111827"/>
                <w:sz w:val="21"/>
              </w:rPr>
              <w:t>Maior Retorno Econômico</w:t>
            </w:r>
            <w:r>
              <w:rPr>
                <w:rFonts w:ascii="Arial" w:hAnsi="Arial"/>
                <w:b w:val="0"/>
                <w:i w:val="0"/>
                <w:color w:val="111827"/>
                <w:sz w:val="21"/>
              </w:rPr>
              <w:t xml:space="preserve">, que é utilizado exclusivamente para a celebração de </w:t>
            </w:r>
            <w:r>
              <w:rPr>
                <w:rFonts w:ascii="Arial" w:hAnsi="Arial"/>
                <w:b/>
                <w:i w:val="0"/>
                <w:color w:val="111827"/>
                <w:sz w:val="21"/>
              </w:rPr>
              <w:t>contratos de eficiência</w:t>
            </w:r>
            <w:r>
              <w:rPr>
                <w:rFonts w:ascii="Arial" w:hAnsi="Arial"/>
                <w:b w:val="0"/>
                <w:i w:val="0"/>
                <w:color w:val="111827"/>
                <w:sz w:val="21"/>
              </w:rPr>
              <w:t>. As propostas são julgadas com base na maior vantagem econômica líquida para o Poder Público (a economia financeira estimada gerada para a Administração deduzida a parcela que o licitante cobrará a título de remuneração de seus serviços).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julgamento vincula-se ao retorno econômico mensurável gerado nos custos do órgão, e não unicamente à capacitação técnica formal de currículos.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Maior lance é privativo do leilão para alienação patrimonial.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distribuidora de energia não participa da disputa licitatória de modernização predial.</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03 - Procedimentos Auxiliares e Contratação Direta (Dispensa e Inexigibilidade)</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Licitações e Contratos Administrativos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03_procedimentos_auxiliares_e_contratacao_direta.md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Oficial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Procedimentos auxiliares das licitações e contratações (Art. 78 da Lei nº 14.133/2021).</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Credenciamento: hipóteses de cabimento e regras de remuneração.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Pré-qualificação de fornecedores e produtos (pré-qualificação subjetiva e objetiva).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Procedimento de Manifestação de Interesse (PMI).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Sistema de Registro de Preços (SRP): órgão gerenciador, órgãos participantes e limites legais para órgãos não participantes ("caronas").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Contratação Direta: processo de contratação direta e requisitos de instrução (Art. 72).</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Inexigibilidade de Licitação (Art. 74): inviabilidade de competição e rol exemplificativo.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Serviços técnicos especializados de natureza predominantemente intelectual e notória especialização.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Dispensa de Licitação (Art. 75): rol taxativo, dispensa por valor (pequeno valor), emergência, licitação deserta e fracassada.</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1B365D"/>
          <w:sz w:val="22"/>
        </w:rPr>
        <w:t xml:space="preserve">1. </w:t>
      </w:r>
      <w:r>
        <w:rPr>
          <w:rFonts w:ascii="Arial" w:hAnsi="Arial"/>
          <w:color w:val="2B6CB0"/>
          <w:sz w:val="22"/>
          <w:u w:val="single"/>
        </w:rPr>
        <w:t>Distinção Fundamental: Inexigibilidade x Dispensa de Licitação</w:t>
      </w:r>
    </w:p>
    <w:p>
      <w:pPr>
        <w:spacing w:line="276" w:lineRule="auto" w:before="20" w:after="40"/>
        <w:ind w:left="425"/>
      </w:pPr>
      <w:r>
        <w:rPr>
          <w:rFonts w:ascii="Arial" w:hAnsi="Arial"/>
          <w:b/>
          <w:color w:val="1B365D"/>
          <w:sz w:val="22"/>
        </w:rPr>
        <w:t xml:space="preserve">2. </w:t>
      </w:r>
      <w:r>
        <w:rPr>
          <w:rFonts w:ascii="Arial" w:hAnsi="Arial"/>
          <w:color w:val="2B6CB0"/>
          <w:sz w:val="22"/>
          <w:u w:val="single"/>
        </w:rPr>
        <w:t>Procedimentos Auxiliares da Lei nº 14.133/2021 (Art. 78)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2.1 </w:t>
      </w:r>
      <w:r>
        <w:rPr>
          <w:rFonts w:ascii="Arial" w:hAnsi="Arial"/>
          <w:color w:val="2B6CB0"/>
          <w:sz w:val="22"/>
          <w:u w:val="single"/>
        </w:rPr>
        <w:t>Credenciamento (Art. 79)</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2.2 </w:t>
      </w:r>
      <w:r>
        <w:rPr>
          <w:rFonts w:ascii="Arial" w:hAnsi="Arial"/>
          <w:color w:val="2B6CB0"/>
          <w:sz w:val="22"/>
          <w:u w:val="single"/>
        </w:rPr>
        <w:t>Pré-Qualificação Subjetiva e Objetiva (Art. 80)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2.3 </w:t>
      </w:r>
      <w:r>
        <w:rPr>
          <w:rFonts w:ascii="Arial" w:hAnsi="Arial"/>
          <w:color w:val="2B6CB0"/>
          <w:sz w:val="22"/>
          <w:u w:val="single"/>
        </w:rPr>
        <w:t>Procedimento de Manifestação de Interesse - PMI (Art. 81)</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2.4 </w:t>
      </w:r>
      <w:r>
        <w:rPr>
          <w:rFonts w:ascii="Arial" w:hAnsi="Arial"/>
          <w:color w:val="2B6CB0"/>
          <w:sz w:val="22"/>
          <w:u w:val="single"/>
        </w:rPr>
        <w:t>Sistema de Registro de Preços - SRP e Regras do Carona (Arts. 82 a 86)</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2.5 </w:t>
      </w:r>
      <w:r>
        <w:rPr>
          <w:rFonts w:ascii="Arial" w:hAnsi="Arial"/>
          <w:color w:val="2B6CB0"/>
          <w:sz w:val="22"/>
          <w:u w:val="single"/>
        </w:rPr>
        <w:t>Registro Cadastral Unificado (Art. 87)</w:t>
      </w:r>
    </w:p>
    <w:p>
      <w:pPr>
        <w:spacing w:line="276" w:lineRule="auto" w:before="20" w:after="40"/>
        <w:ind w:left="425"/>
      </w:pPr>
      <w:r>
        <w:rPr>
          <w:rFonts w:ascii="Arial" w:hAnsi="Arial"/>
          <w:b/>
          <w:color w:val="1B365D"/>
          <w:sz w:val="22"/>
        </w:rPr>
        <w:t xml:space="preserve">3. </w:t>
      </w:r>
      <w:r>
        <w:rPr>
          <w:rFonts w:ascii="Arial" w:hAnsi="Arial"/>
          <w:color w:val="2B6CB0"/>
          <w:sz w:val="22"/>
          <w:u w:val="single"/>
        </w:rPr>
        <w:t>Processo Administrativo de Contratação Direta (Art. 72)</w:t>
      </w:r>
    </w:p>
    <w:p>
      <w:pPr>
        <w:spacing w:line="276" w:lineRule="auto" w:before="20" w:after="40"/>
        <w:ind w:left="425"/>
      </w:pPr>
      <w:r>
        <w:rPr>
          <w:rFonts w:ascii="Arial" w:hAnsi="Arial"/>
          <w:b/>
          <w:color w:val="1B365D"/>
          <w:sz w:val="22"/>
        </w:rPr>
        <w:t xml:space="preserve">4. </w:t>
      </w:r>
      <w:r>
        <w:rPr>
          <w:rFonts w:ascii="Arial" w:hAnsi="Arial"/>
          <w:color w:val="2B6CB0"/>
          <w:sz w:val="22"/>
          <w:u w:val="single"/>
        </w:rPr>
        <w:t>Inexigibilidade de Licitação (Art. 74 - Inviabilidade de Competição)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4.1 </w:t>
      </w:r>
      <w:r>
        <w:rPr>
          <w:rFonts w:ascii="Arial" w:hAnsi="Arial"/>
          <w:color w:val="2B6CB0"/>
          <w:sz w:val="22"/>
          <w:u w:val="single"/>
        </w:rPr>
        <w:t>Fornecedor e Prestador Exclusivo (Inciso 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4.2 </w:t>
      </w:r>
      <w:r>
        <w:rPr>
          <w:rFonts w:ascii="Arial" w:hAnsi="Arial"/>
          <w:color w:val="2B6CB0"/>
          <w:sz w:val="22"/>
          <w:u w:val="single"/>
        </w:rPr>
        <w:t>Profissional do Setor Artístico Consagrado (Inciso II)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4.3 </w:t>
      </w:r>
      <w:r>
        <w:rPr>
          <w:rFonts w:ascii="Arial" w:hAnsi="Arial"/>
          <w:color w:val="2B6CB0"/>
          <w:sz w:val="22"/>
          <w:u w:val="single"/>
        </w:rPr>
        <w:t>Serviços Técnicos Especializados e Notória Especialização (Inciso III)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4.4 </w:t>
      </w:r>
      <w:r>
        <w:rPr>
          <w:rFonts w:ascii="Arial" w:hAnsi="Arial"/>
          <w:color w:val="2B6CB0"/>
          <w:sz w:val="22"/>
          <w:u w:val="single"/>
        </w:rPr>
        <w:t>Aquisição ou Locação de Imóvel Singular (Inciso V)</w:t>
      </w:r>
    </w:p>
    <w:p>
      <w:pPr>
        <w:spacing w:line="276" w:lineRule="auto" w:before="20" w:after="40"/>
        <w:ind w:left="425"/>
      </w:pPr>
      <w:r>
        <w:rPr>
          <w:rFonts w:ascii="Arial" w:hAnsi="Arial"/>
          <w:b/>
          <w:color w:val="1B365D"/>
          <w:sz w:val="22"/>
        </w:rPr>
        <w:t xml:space="preserve">5. </w:t>
      </w:r>
      <w:r>
        <w:rPr>
          <w:rFonts w:ascii="Arial" w:hAnsi="Arial"/>
          <w:color w:val="2B6CB0"/>
          <w:sz w:val="22"/>
          <w:u w:val="single"/>
        </w:rPr>
        <w:t>Dispensa de Licitação (Art. 75 - Rol Taxativo)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5.1 </w:t>
      </w:r>
      <w:r>
        <w:rPr>
          <w:rFonts w:ascii="Arial" w:hAnsi="Arial"/>
          <w:color w:val="2B6CB0"/>
          <w:sz w:val="22"/>
          <w:u w:val="single"/>
        </w:rPr>
        <w:t>Dispensa em Razão do Valor (Pequeno Valor - Incisos I e II)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5.2 </w:t>
      </w:r>
      <w:r>
        <w:rPr>
          <w:rFonts w:ascii="Arial" w:hAnsi="Arial"/>
          <w:color w:val="2B6CB0"/>
          <w:sz w:val="22"/>
          <w:u w:val="single"/>
        </w:rPr>
        <w:t>Dispensa por Emergência ou Calamidade Pública (Inciso VIII)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5.3 </w:t>
      </w:r>
      <w:r>
        <w:rPr>
          <w:rFonts w:ascii="Arial" w:hAnsi="Arial"/>
          <w:color w:val="2B6CB0"/>
          <w:sz w:val="22"/>
          <w:u w:val="single"/>
        </w:rPr>
        <w:t>Licitação Deserta, Fracassada e Remanescente de Contrato</w:t>
      </w:r>
    </w:p>
    <w:p>
      <w:pPr>
        <w:spacing w:line="276" w:lineRule="auto" w:before="20" w:after="40"/>
        <w:ind w:left="425"/>
      </w:pPr>
      <w:r>
        <w:rPr>
          <w:rFonts w:ascii="Arial" w:hAnsi="Arial"/>
          <w:b/>
          <w:color w:val="1B365D"/>
          <w:sz w:val="22"/>
        </w:rPr>
        <w:t xml:space="preserve">6. </w:t>
      </w:r>
      <w:r>
        <w:rPr>
          <w:rFonts w:ascii="Arial" w:hAnsi="Arial"/>
          <w:color w:val="2B6CB0"/>
          <w:sz w:val="22"/>
          <w:u w:val="single"/>
        </w:rPr>
        <w:t>Fontes Recomendadas na Internet</w:t>
      </w:r>
    </w:p>
    <w:p>
      <w:pPr>
        <w:spacing w:line="276" w:lineRule="auto" w:before="20" w:after="40"/>
        <w:ind w:left="425"/>
      </w:pPr>
      <w:r>
        <w:rPr>
          <w:rFonts w:ascii="Arial" w:hAnsi="Arial"/>
          <w:b/>
          <w:color w:val="1B365D"/>
          <w:sz w:val="22"/>
        </w:rPr>
        <w:t xml:space="preserve">7. </w:t>
      </w:r>
      <w:r>
        <w:rPr>
          <w:rFonts w:ascii="Arial" w:hAnsi="Arial"/>
          <w:color w:val="2B6CB0"/>
          <w:sz w:val="22"/>
          <w:u w:val="single"/>
        </w:rPr>
        <w:t>Questões Comentadas no Padrão FCC (Justificadas de A a E)</w:t>
      </w:r>
    </w:p>
    <w:p>
      <w:pPr>
        <w:keepNext/>
        <w:spacing w:before="280" w:after="120"/>
      </w:pPr>
      <w:r>
        <w:rPr>
          <w:rFonts w:ascii="Arial" w:hAnsi="Arial"/>
          <w:b/>
          <w:i w:val="0"/>
          <w:color w:val="2C5282"/>
          <w:sz w:val="28"/>
        </w:rPr>
        <w:t>📖 Teoria Aprofundada e Pontos Críticos</w:t>
      </w:r>
    </w:p>
    <w:p>
      <w:pPr>
        <w:keepNext/>
        <w:spacing w:before="200" w:after="80"/>
      </w:pPr>
      <w:r>
        <w:rPr>
          <w:rFonts w:ascii="Arial" w:hAnsi="Arial"/>
          <w:b/>
          <w:i w:val="0"/>
          <w:color w:val="2B6CB0"/>
          <w:sz w:val="24"/>
        </w:rPr>
        <w:t>1. Distinção Fundamental: Inexigibilidade x Dispensa de Licitação</w:t>
      </w:r>
    </w:p>
    <w:p>
      <w:pPr>
        <w:spacing w:line="360" w:lineRule="auto" w:before="0" w:after="80"/>
        <w:jc w:val="both"/>
      </w:pPr>
      <w:r>
        <w:rPr>
          <w:rFonts w:ascii="Arial" w:hAnsi="Arial"/>
          <w:b w:val="0"/>
          <w:i w:val="0"/>
          <w:color w:val="111827"/>
          <w:sz w:val="24"/>
        </w:rPr>
        <w:t xml:space="preserve">A regra geral insculpida no art. 37, XXI, da CF/88 impõe a obrigatoriedade de licitar para obras, serviços, compras e alienações no setor público. Todavia, a própria Constituição ressalva "os casos especificados na legislação". A Nova Lei de Licitações (Lei nº 14.133/2021) estrutura a contratação direta sem certame competitivo em duas categorias nucleares: a </w:t>
      </w:r>
      <w:r>
        <w:rPr>
          <w:rFonts w:ascii="Arial" w:hAnsi="Arial"/>
          <w:b/>
          <w:i w:val="0"/>
          <w:color w:val="111827"/>
          <w:sz w:val="24"/>
        </w:rPr>
        <w:t>Inexigibilidade</w:t>
      </w:r>
      <w:r>
        <w:rPr>
          <w:rFonts w:ascii="Arial" w:hAnsi="Arial"/>
          <w:b w:val="0"/>
          <w:i w:val="0"/>
          <w:color w:val="111827"/>
          <w:sz w:val="24"/>
        </w:rPr>
        <w:t xml:space="preserve"> e a </w:t>
      </w:r>
      <w:r>
        <w:rPr>
          <w:rFonts w:ascii="Arial" w:hAnsi="Arial"/>
          <w:b/>
          <w:i w:val="0"/>
          <w:color w:val="111827"/>
          <w:sz w:val="24"/>
        </w:rPr>
        <w:t>Dispensa</w:t>
      </w:r>
      <w:r>
        <w:rPr>
          <w:rFonts w:ascii="Arial" w:hAnsi="Arial"/>
          <w:b w:val="0"/>
          <w:i w:val="0"/>
          <w:color w:val="111827"/>
          <w:sz w:val="24"/>
        </w:rPr>
        <w:t>.</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Inexigibilidade (Art. 74):</w:t>
      </w:r>
      <w:r>
        <w:rPr>
          <w:rFonts w:ascii="Arial" w:hAnsi="Arial"/>
          <w:b w:val="0"/>
          <w:i w:val="0"/>
          <w:color w:val="111827"/>
          <w:sz w:val="22"/>
        </w:rPr>
        <w:t xml:space="preserve"> Configura-se sempre que houver </w:t>
      </w:r>
      <w:r>
        <w:rPr>
          <w:rFonts w:ascii="Arial" w:hAnsi="Arial"/>
          <w:b/>
          <w:i w:val="0"/>
          <w:color w:val="111827"/>
          <w:sz w:val="22"/>
        </w:rPr>
        <w:t>inviabilidade fática ou jurídica de competição</w:t>
      </w:r>
      <w:r>
        <w:rPr>
          <w:rFonts w:ascii="Arial" w:hAnsi="Arial"/>
          <w:b w:val="0"/>
          <w:i w:val="0"/>
          <w:color w:val="111827"/>
          <w:sz w:val="22"/>
        </w:rPr>
        <w:t xml:space="preserve">. Não há como comparar objetivamente propostas porque o objeto é único, o fornecedor é exclusivo ou a prestação decorre de dotes personalíssimos/intelectuais singulares. Por essa razão, a jurisprudência pacífica do TCU e a doutrina consagram que o rol do art. 74 é </w:t>
      </w:r>
      <w:r>
        <w:rPr>
          <w:rFonts w:ascii="Arial" w:hAnsi="Arial"/>
          <w:b/>
          <w:i w:val="0"/>
          <w:color w:val="111827"/>
          <w:sz w:val="22"/>
        </w:rPr>
        <w:t>exemplificativo</w:t>
      </w:r>
      <w:r>
        <w:rPr>
          <w:rFonts w:ascii="Arial" w:hAnsi="Arial"/>
          <w:b w:val="0"/>
          <w:i w:val="0"/>
          <w:color w:val="111827"/>
          <w:sz w:val="22"/>
        </w:rPr>
        <w:t xml:space="preserve"> (</w:t>
      </w:r>
      <w:r>
        <w:rPr>
          <w:rFonts w:ascii="Arial" w:hAnsi="Arial"/>
          <w:b w:val="0"/>
          <w:i/>
          <w:color w:val="111827"/>
          <w:sz w:val="22"/>
        </w:rPr>
        <w:t>numerus apertus</w:t>
      </w:r>
      <w:r>
        <w:rPr>
          <w:rFonts w:ascii="Arial" w:hAnsi="Arial"/>
          <w:b w:val="0"/>
          <w:i w:val="0"/>
          <w:color w:val="111827"/>
          <w:sz w:val="22"/>
        </w:rPr>
        <w:t>), admitindo outros casos em que se comprove a impossibilidade fática de disputa.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Dispensa (Art. 75):</w:t>
      </w:r>
      <w:r>
        <w:rPr>
          <w:rFonts w:ascii="Arial" w:hAnsi="Arial"/>
          <w:b w:val="0"/>
          <w:i w:val="0"/>
          <w:color w:val="111827"/>
          <w:sz w:val="22"/>
        </w:rPr>
        <w:t xml:space="preserve"> A disputa concorrencial é plenamente viável no plano fático e de mercado, porém o legislador, sopesando critérios de economicidade, celeridade ou interesse público primário, optou por autorizar a Administração a não licitar. Em face de seu caráter derrogatório da regra constitucional, o rol do art. 75 é </w:t>
      </w:r>
      <w:r>
        <w:rPr>
          <w:rFonts w:ascii="Arial" w:hAnsi="Arial"/>
          <w:b/>
          <w:i w:val="0"/>
          <w:color w:val="111827"/>
          <w:sz w:val="22"/>
        </w:rPr>
        <w:t>taxativo</w:t>
      </w:r>
      <w:r>
        <w:rPr>
          <w:rFonts w:ascii="Arial" w:hAnsi="Arial"/>
          <w:b w:val="0"/>
          <w:i w:val="0"/>
          <w:color w:val="111827"/>
          <w:sz w:val="22"/>
        </w:rPr>
        <w:t xml:space="preserve"> (</w:t>
      </w:r>
      <w:r>
        <w:rPr>
          <w:rFonts w:ascii="Arial" w:hAnsi="Arial"/>
          <w:b w:val="0"/>
          <w:i/>
          <w:color w:val="111827"/>
          <w:sz w:val="22"/>
        </w:rPr>
        <w:t>numerus clausus</w:t>
      </w:r>
      <w:r>
        <w:rPr>
          <w:rFonts w:ascii="Arial" w:hAnsi="Arial"/>
          <w:b w:val="0"/>
          <w:i w:val="0"/>
          <w:color w:val="111827"/>
          <w:sz w:val="22"/>
        </w:rPr>
        <w:t>), vedada interpretação extensiva ou analógica para criar novas hipóteses de dispensa.</w:t>
      </w:r>
    </w:p>
    <w:p>
      <w:pPr>
        <w:keepNext/>
        <w:spacing w:before="200" w:after="80"/>
      </w:pPr>
      <w:r>
        <w:rPr>
          <w:rFonts w:ascii="Arial" w:hAnsi="Arial"/>
          <w:b/>
          <w:i w:val="0"/>
          <w:color w:val="2B6CB0"/>
          <w:sz w:val="24"/>
        </w:rPr>
        <w:t>2. Procedimentos Auxiliares da Lei nº 14.133/2021 (Art. 78)</w:t>
      </w:r>
    </w:p>
    <w:p>
      <w:pPr>
        <w:spacing w:line="360" w:lineRule="auto" w:before="0" w:after="80"/>
        <w:jc w:val="both"/>
      </w:pPr>
      <w:r>
        <w:rPr>
          <w:rFonts w:ascii="Arial" w:hAnsi="Arial"/>
          <w:b w:val="0"/>
          <w:i w:val="0"/>
          <w:color w:val="111827"/>
          <w:sz w:val="24"/>
        </w:rPr>
        <w:t>O art. 78 da Lei nº 14.133/2021 sistematizou cinco procedimentos auxiliares das licitações e contratações administrativas: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Credenciamento;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Pré-qualificação;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Procedimento de Manifestação de Interesse (PMI);</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Sistema de Registro de Preços (SRP);</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Registro Cadastral.</w:t>
      </w:r>
    </w:p>
    <w:p>
      <w:pPr>
        <w:keepNext/>
        <w:spacing w:before="120" w:after="40"/>
      </w:pPr>
      <w:r>
        <w:rPr>
          <w:rFonts w:ascii="Arial" w:hAnsi="Arial"/>
          <w:b/>
          <w:i/>
          <w:color w:val="334155"/>
          <w:sz w:val="22"/>
        </w:rPr>
        <w:t>2.1 Credenciamento (Art. 79)</w:t>
      </w:r>
    </w:p>
    <w:p>
      <w:pPr>
        <w:spacing w:line="360" w:lineRule="auto" w:before="0" w:after="80"/>
        <w:jc w:val="both"/>
      </w:pPr>
      <w:r>
        <w:rPr>
          <w:rFonts w:ascii="Arial" w:hAnsi="Arial"/>
          <w:b w:val="0"/>
          <w:i w:val="0"/>
          <w:color w:val="111827"/>
          <w:sz w:val="24"/>
        </w:rPr>
        <w:t xml:space="preserve">O credenciamento é o procedimento administrativo pelo qual a Administração convoca, mediante </w:t>
      </w:r>
      <w:r>
        <w:rPr>
          <w:rFonts w:ascii="Arial" w:hAnsi="Arial"/>
          <w:b/>
          <w:i w:val="0"/>
          <w:color w:val="111827"/>
          <w:sz w:val="24"/>
        </w:rPr>
        <w:t>edital de chamamento público com inscrições permanentemente abertas</w:t>
      </w:r>
      <w:r>
        <w:rPr>
          <w:rFonts w:ascii="Arial" w:hAnsi="Arial"/>
          <w:b w:val="0"/>
          <w:i w:val="0"/>
          <w:color w:val="111827"/>
          <w:sz w:val="24"/>
        </w:rPr>
        <w:t>, todos os interessados que preencham os requisitos previamente definidos para prestar serviços ou fornecer bens.</w:t>
      </w:r>
    </w:p>
    <w:p>
      <w:pPr>
        <w:spacing w:line="360" w:lineRule="auto" w:before="0" w:after="80"/>
        <w:jc w:val="both"/>
      </w:pPr>
      <w:r>
        <w:rPr>
          <w:rFonts w:ascii="Arial" w:hAnsi="Arial"/>
          <w:b w:val="0"/>
          <w:i w:val="0"/>
          <w:color w:val="111827"/>
          <w:sz w:val="24"/>
        </w:rPr>
        <w:t xml:space="preserve">No credenciamento, a Administração </w:t>
      </w:r>
      <w:r>
        <w:rPr>
          <w:rFonts w:ascii="Arial" w:hAnsi="Arial"/>
          <w:b/>
          <w:i w:val="0"/>
          <w:color w:val="111827"/>
          <w:sz w:val="24"/>
        </w:rPr>
        <w:t>não escolhe um único vencedor</w:t>
      </w:r>
      <w:r>
        <w:rPr>
          <w:rFonts w:ascii="Arial" w:hAnsi="Arial"/>
          <w:b w:val="0"/>
          <w:i w:val="0"/>
          <w:color w:val="111827"/>
          <w:sz w:val="24"/>
        </w:rPr>
        <w:t xml:space="preserve">: ela contrata </w:t>
      </w:r>
      <w:r>
        <w:rPr>
          <w:rFonts w:ascii="Arial" w:hAnsi="Arial"/>
          <w:b/>
          <w:i w:val="0"/>
          <w:color w:val="111827"/>
          <w:sz w:val="24"/>
        </w:rPr>
        <w:t>todos</w:t>
      </w:r>
      <w:r>
        <w:rPr>
          <w:rFonts w:ascii="Arial" w:hAnsi="Arial"/>
          <w:b w:val="0"/>
          <w:i w:val="0"/>
          <w:color w:val="111827"/>
          <w:sz w:val="24"/>
        </w:rPr>
        <w:t xml:space="preserve"> os interessados habilitados, remunerando-os segundo uma tabela fixa de preços definida pelo próprio Poder Público. As hipóteses legais de cabimento são taxativas: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Paralela e não excludente:</w:t>
      </w:r>
      <w:r>
        <w:rPr>
          <w:rFonts w:ascii="Arial" w:hAnsi="Arial"/>
          <w:b w:val="0"/>
          <w:i w:val="0"/>
          <w:color w:val="111827"/>
          <w:sz w:val="22"/>
        </w:rPr>
        <w:t xml:space="preserve"> Caso em que é viável e vantajosa a contratação simultânea de vários prestadores para atender à demanda da Administração (ex.: credenciamento de laboratórios e clínicas de imagens para atender os segurados do plano de saúde dos servidores estaduais).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Com seleção a critério de terceiros:</w:t>
      </w:r>
      <w:r>
        <w:rPr>
          <w:rFonts w:ascii="Arial" w:hAnsi="Arial"/>
          <w:b w:val="0"/>
          <w:i w:val="0"/>
          <w:color w:val="111827"/>
          <w:sz w:val="22"/>
        </w:rPr>
        <w:t xml:space="preserve"> A definição do contratado compete ao próprio usuário final ou beneficiário do serviço (ex.: credenciamento de profissionais médicos em que o próprio paciente escolhe o especialista cadastrado, ou credenciamento de companhias aéreas em que o servidor escolhe o voo).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Em mercados fluidos:</w:t>
      </w:r>
      <w:r>
        <w:rPr>
          <w:rFonts w:ascii="Arial" w:hAnsi="Arial"/>
          <w:b w:val="0"/>
          <w:i w:val="0"/>
          <w:color w:val="111827"/>
          <w:sz w:val="22"/>
        </w:rPr>
        <w:t xml:space="preserve"> Hipótese em que a flutuação constante de preços e a exigência de rapidez tornam inviável a fixação antecipada por licitação tradicional, realizando-se cotação volátil em tempo real no momento de cada contratação (ex.: compra de combustíveis para abastecimento de frota pública em trânsito).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 xml:space="preserve">A Lei nº 14.133/2021 tratou o credenciamento sob dupla face: no art. 78, como </w:t>
            </w:r>
            <w:r>
              <w:rPr>
                <w:rFonts w:ascii="Arial" w:hAnsi="Arial"/>
                <w:b/>
                <w:i w:val="0"/>
                <w:color w:val="111827"/>
                <w:sz w:val="21"/>
              </w:rPr>
              <w:t>procedimento auxiliar</w:t>
            </w:r>
            <w:r>
              <w:rPr>
                <w:rFonts w:ascii="Arial" w:hAnsi="Arial"/>
                <w:b w:val="0"/>
                <w:i w:val="0"/>
                <w:color w:val="111827"/>
                <w:sz w:val="21"/>
              </w:rPr>
              <w:t xml:space="preserve">, e no art. 74, inciso IV, como modalidade expressa de </w:t>
            </w:r>
            <w:r>
              <w:rPr>
                <w:rFonts w:ascii="Arial" w:hAnsi="Arial"/>
                <w:b/>
                <w:i w:val="0"/>
                <w:color w:val="111827"/>
                <w:sz w:val="21"/>
              </w:rPr>
              <w:t>inexigibilidade de licitação</w:t>
            </w:r>
            <w:r>
              <w:rPr>
                <w:rFonts w:ascii="Arial" w:hAnsi="Arial"/>
                <w:b w:val="0"/>
                <w:i w:val="0"/>
                <w:color w:val="111827"/>
                <w:sz w:val="21"/>
              </w:rPr>
              <w:t>. Como não há disputa concorrencial entre os credenciados (todos que cumprem os requisitos são credenciados sob tabela prefixada), há inviabilidade jurídica de competição, caracterizando a inexigibilidade formal da contratação.</w:t>
            </w:r>
          </w:p>
        </w:tc>
      </w:tr>
    </w:tbl>
    <w:p>
      <w:pPr>
        <w:spacing w:before="0" w:after="120"/>
      </w:pPr>
    </w:p>
    <w:p>
      <w:pPr>
        <w:keepNext/>
        <w:spacing w:before="120" w:after="40"/>
      </w:pPr>
      <w:r>
        <w:rPr>
          <w:rFonts w:ascii="Arial" w:hAnsi="Arial"/>
          <w:b/>
          <w:i/>
          <w:color w:val="334155"/>
          <w:sz w:val="22"/>
        </w:rPr>
        <w:t>2.2 Pré-Qualificação Subjetiva e Objetiva (Art. 80)</w:t>
      </w:r>
    </w:p>
    <w:p>
      <w:pPr>
        <w:spacing w:line="360" w:lineRule="auto" w:before="0" w:after="80"/>
        <w:jc w:val="both"/>
      </w:pPr>
      <w:r>
        <w:rPr>
          <w:rFonts w:ascii="Arial" w:hAnsi="Arial"/>
          <w:b w:val="0"/>
          <w:i w:val="0"/>
          <w:color w:val="111827"/>
          <w:sz w:val="24"/>
        </w:rPr>
        <w:t>A pré-qualificação é o procedimento técnico-administrativo técnico permanente aberto a qualquer interessado para atestar antecipadamente: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Pré-qualificação Subjetiva:</w:t>
      </w:r>
      <w:r>
        <w:rPr>
          <w:rFonts w:ascii="Arial" w:hAnsi="Arial"/>
          <w:b w:val="0"/>
          <w:i w:val="0"/>
          <w:color w:val="111827"/>
          <w:sz w:val="22"/>
        </w:rPr>
        <w:t xml:space="preserve"> A habilitação jurídica, técnica, fiscal e econômico-financeira de licitantes que reúnam condições de participar de futuras licitações;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Pré-qualificação Objetiva:</w:t>
      </w:r>
      <w:r>
        <w:rPr>
          <w:rFonts w:ascii="Arial" w:hAnsi="Arial"/>
          <w:b w:val="0"/>
          <w:i w:val="0"/>
          <w:color w:val="111827"/>
          <w:sz w:val="22"/>
        </w:rPr>
        <w:t xml:space="preserve"> A conformidade técnica e operacional de bens, produtos ou serviços que atendam às exigências técnicas e padrões mínimos de desempenho da Administração.</w:t>
      </w:r>
    </w:p>
    <w:p>
      <w:pPr>
        <w:spacing w:line="360" w:lineRule="auto" w:before="0" w:after="80"/>
        <w:jc w:val="both"/>
      </w:pPr>
      <w:r>
        <w:rPr>
          <w:rFonts w:ascii="Arial" w:hAnsi="Arial"/>
          <w:b w:val="0"/>
          <w:i w:val="0"/>
          <w:color w:val="111827"/>
          <w:sz w:val="24"/>
        </w:rPr>
        <w:t xml:space="preserve">A pré-qualificação é realizada mediante chamamento público aberto permanentemente. A validade da pré-qualificação é de </w:t>
      </w:r>
      <w:r>
        <w:rPr>
          <w:rFonts w:ascii="Arial" w:hAnsi="Arial"/>
          <w:b/>
          <w:i w:val="0"/>
          <w:color w:val="111827"/>
          <w:sz w:val="24"/>
        </w:rPr>
        <w:t>no máximo 1 (um) ano</w:t>
      </w:r>
      <w:r>
        <w:rPr>
          <w:rFonts w:ascii="Arial" w:hAnsi="Arial"/>
          <w:b w:val="0"/>
          <w:i w:val="0"/>
          <w:color w:val="111827"/>
          <w:sz w:val="24"/>
        </w:rPr>
        <w:t>, podendo ser atualizada a qualquer tempo pelos interessados ou revogada de ofício pela Administração quando comprovada perda dos requisitos originais. A pré-qualificação pode ser realizada em grupos ou segmentos determinados e sua existência permite agilizar certames posteriores com dispensa de reapresentação de documentos já convalidados.</w:t>
      </w:r>
    </w:p>
    <w:p>
      <w:pPr>
        <w:keepNext/>
        <w:spacing w:before="120" w:after="40"/>
      </w:pPr>
      <w:r>
        <w:rPr>
          <w:rFonts w:ascii="Arial" w:hAnsi="Arial"/>
          <w:b/>
          <w:i/>
          <w:color w:val="334155"/>
          <w:sz w:val="22"/>
        </w:rPr>
        <w:t>2.3 Procedimento de Manifestação de Interesse - PMI (Art. 81)</w:t>
      </w:r>
    </w:p>
    <w:p>
      <w:pPr>
        <w:spacing w:line="360" w:lineRule="auto" w:before="0" w:after="80"/>
        <w:jc w:val="both"/>
      </w:pPr>
      <w:r>
        <w:rPr>
          <w:rFonts w:ascii="Arial" w:hAnsi="Arial"/>
          <w:b w:val="0"/>
          <w:i w:val="0"/>
          <w:color w:val="111827"/>
          <w:sz w:val="24"/>
        </w:rPr>
        <w:t>O Procedimento de Manifestação de Interesse (PMI) é o chamamento público facultativo dirigido a pessoas físicas ou jurídicas de direito privado para a propositura e realização de estudos, investigações, levantamentos e projetos de soluções inovadoras que subsidiem futuras concessões comuns, parcerias público-privadas (PPPs), concessões de serviços públicos ou grandes projetos de infraestrutura.</w:t>
      </w:r>
    </w:p>
    <w:p>
      <w:pPr>
        <w:spacing w:line="360" w:lineRule="auto" w:before="0" w:after="80"/>
        <w:jc w:val="both"/>
      </w:pPr>
      <w:r>
        <w:rPr>
          <w:rFonts w:ascii="Arial" w:hAnsi="Arial"/>
          <w:b w:val="0"/>
          <w:i w:val="0"/>
          <w:color w:val="111827"/>
          <w:sz w:val="24"/>
        </w:rPr>
        <w:t>Regras estruturais do PMI: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chamamento público define o escopo, as diretrizes e os critérios objetivos para aprovação dos projetos.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mera participação no PMI </w:t>
      </w:r>
      <w:r>
        <w:rPr>
          <w:rFonts w:ascii="Arial" w:hAnsi="Arial"/>
          <w:b/>
          <w:i w:val="0"/>
          <w:color w:val="111827"/>
          <w:sz w:val="22"/>
        </w:rPr>
        <w:t>não gera qualquer direito</w:t>
      </w:r>
      <w:r>
        <w:rPr>
          <w:rFonts w:ascii="Arial" w:hAnsi="Arial"/>
          <w:b w:val="0"/>
          <w:i w:val="0"/>
          <w:color w:val="111827"/>
          <w:sz w:val="22"/>
        </w:rPr>
        <w:t xml:space="preserve"> a ressarcimento financeiro automático, indenização ou preferência no futuro certame licitatório.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autor do projeto selecionado e efetivamente utilizado na licitação só será ressarcido financeiramente </w:t>
      </w:r>
      <w:r>
        <w:rPr>
          <w:rFonts w:ascii="Arial" w:hAnsi="Arial"/>
          <w:b/>
          <w:i w:val="0"/>
          <w:color w:val="111827"/>
          <w:sz w:val="22"/>
        </w:rPr>
        <w:t>pelo vencedor da futura licitação</w:t>
      </w:r>
      <w:r>
        <w:rPr>
          <w:rFonts w:ascii="Arial" w:hAnsi="Arial"/>
          <w:b w:val="0"/>
          <w:i w:val="0"/>
          <w:color w:val="111827"/>
          <w:sz w:val="22"/>
        </w:rPr>
        <w:t>, sendo essa obrigação expressamente consignada no instrumento convocatório.</w:t>
      </w:r>
    </w:p>
    <w:p>
      <w:pPr>
        <w:keepNext/>
        <w:spacing w:before="120" w:after="40"/>
      </w:pPr>
      <w:r>
        <w:rPr>
          <w:rFonts w:ascii="Arial" w:hAnsi="Arial"/>
          <w:b/>
          <w:i/>
          <w:color w:val="334155"/>
          <w:sz w:val="22"/>
        </w:rPr>
        <w:t>2.4 Sistema de Registro de Preços - SRP e Regras do Carona (Arts. 82 a 86)</w:t>
      </w:r>
    </w:p>
    <w:p>
      <w:pPr>
        <w:spacing w:line="360" w:lineRule="auto" w:before="0" w:after="80"/>
        <w:jc w:val="both"/>
      </w:pPr>
      <w:r>
        <w:rPr>
          <w:rFonts w:ascii="Arial" w:hAnsi="Arial"/>
          <w:b w:val="0"/>
          <w:i w:val="0"/>
          <w:color w:val="111827"/>
          <w:sz w:val="24"/>
        </w:rPr>
        <w:t>O SRP é um conjunto de procedimentos para registro formal de preços relativos à prestação de serviços, obras e aquisição e locação de bens para contratações futuras e incertas.</w:t>
      </w:r>
    </w:p>
    <w:p>
      <w:pPr>
        <w:spacing w:line="360" w:lineRule="auto" w:before="0" w:after="80"/>
        <w:jc w:val="both"/>
      </w:pPr>
      <w:r>
        <w:rPr>
          <w:rFonts w:ascii="Arial" w:hAnsi="Arial"/>
          <w:b w:val="0"/>
          <w:i w:val="0"/>
          <w:color w:val="111827"/>
          <w:sz w:val="24"/>
        </w:rPr>
        <w:t>Adoção do SRP é recomendada quando: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As demandas forem frequentes e rotineiras;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For conveniente a aquisição parcelada para entregas contínuas;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For impossível prever com exatidão prévia o quantitativo total a ser demandado no exercício financeiro.</w:t>
      </w:r>
    </w:p>
    <w:p>
      <w:pPr>
        <w:spacing w:line="360" w:lineRule="auto" w:before="0" w:after="80"/>
        <w:jc w:val="both"/>
      </w:pPr>
      <w:r>
        <w:rPr>
          <w:rFonts w:ascii="Arial" w:hAnsi="Arial"/>
          <w:b w:val="0"/>
          <w:i w:val="0"/>
          <w:color w:val="111827"/>
          <w:sz w:val="24"/>
        </w:rPr>
        <w:t xml:space="preserve">A formalização do SRP ocorre por meio da </w:t>
      </w:r>
      <w:r>
        <w:rPr>
          <w:rFonts w:ascii="Arial" w:hAnsi="Arial"/>
          <w:b/>
          <w:i w:val="0"/>
          <w:color w:val="111827"/>
          <w:sz w:val="24"/>
        </w:rPr>
        <w:t>Ata de Registro de Preços (ARP)</w:t>
      </w:r>
      <w:r>
        <w:rPr>
          <w:rFonts w:ascii="Arial" w:hAnsi="Arial"/>
          <w:b w:val="0"/>
          <w:i w:val="0"/>
          <w:color w:val="111827"/>
          <w:sz w:val="24"/>
        </w:rPr>
        <w:t>, documento vinculativo e obrigacional com características de compromisso para futuras contratações.</w:t>
      </w:r>
    </w:p>
    <w:p>
      <w:pPr>
        <w:spacing w:line="360" w:lineRule="auto" w:before="0" w:after="80"/>
        <w:jc w:val="both"/>
      </w:pPr>
      <w:r>
        <w:rPr>
          <w:rFonts w:ascii="Arial" w:hAnsi="Arial"/>
          <w:b/>
          <w:i w:val="0"/>
          <w:color w:val="111827"/>
          <w:sz w:val="24"/>
        </w:rPr>
        <w:t>Regras de Vigência da Ata de Registro de Preços: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prazo de vigência da ARP é de </w:t>
      </w:r>
      <w:r>
        <w:rPr>
          <w:rFonts w:ascii="Arial" w:hAnsi="Arial"/>
          <w:b/>
          <w:i w:val="0"/>
          <w:color w:val="111827"/>
          <w:sz w:val="22"/>
        </w:rPr>
        <w:t>1 (um) ano</w:t>
      </w:r>
      <w:r>
        <w:rPr>
          <w:rFonts w:ascii="Arial" w:hAnsi="Arial"/>
          <w:b w:val="0"/>
          <w:i w:val="0"/>
          <w:color w:val="111827"/>
          <w:sz w:val="22"/>
        </w:rPr>
        <w:t xml:space="preserve">, prorrogável por igual período (máximo de </w:t>
      </w:r>
      <w:r>
        <w:rPr>
          <w:rFonts w:ascii="Arial" w:hAnsi="Arial"/>
          <w:b/>
          <w:i w:val="0"/>
          <w:color w:val="111827"/>
          <w:sz w:val="22"/>
        </w:rPr>
        <w:t>2 anos</w:t>
      </w:r>
      <w:r>
        <w:rPr>
          <w:rFonts w:ascii="Arial" w:hAnsi="Arial"/>
          <w:b w:val="0"/>
          <w:i w:val="0"/>
          <w:color w:val="111827"/>
          <w:sz w:val="22"/>
        </w:rPr>
        <w:t>), desde que comprovada documentalmente a manutenção da vantajosidade dos preços registrados.</w:t>
      </w:r>
    </w:p>
    <w:p>
      <w:pPr>
        <w:spacing w:line="360" w:lineRule="auto" w:before="0" w:after="80"/>
        <w:jc w:val="both"/>
      </w:pPr>
      <w:r>
        <w:rPr>
          <w:rFonts w:ascii="Arial" w:hAnsi="Arial"/>
          <w:b/>
          <w:i w:val="0"/>
          <w:color w:val="111827"/>
          <w:sz w:val="24"/>
        </w:rPr>
        <w:t>Figuras do SRP:</w:t>
      </w:r>
    </w:p>
    <w:p>
      <w:pPr>
        <w:spacing w:line="276" w:lineRule="auto" w:before="20" w:after="40"/>
        <w:ind w:left="425"/>
      </w:pPr>
      <w:r>
        <w:rPr>
          <w:rFonts w:ascii="Arial" w:hAnsi="Arial"/>
          <w:b/>
          <w:color w:val="2B6CB0"/>
          <w:sz w:val="22"/>
        </w:rPr>
        <w:t xml:space="preserve">• </w:t>
      </w:r>
      <w:r>
        <w:rPr>
          <w:rFonts w:ascii="Arial" w:hAnsi="Arial"/>
          <w:b/>
          <w:i w:val="0"/>
          <w:color w:val="111827"/>
          <w:sz w:val="22"/>
        </w:rPr>
        <w:t>Órgão Gerenciador:</w:t>
      </w:r>
      <w:r>
        <w:rPr>
          <w:rFonts w:ascii="Arial" w:hAnsi="Arial"/>
          <w:b w:val="0"/>
          <w:i w:val="0"/>
          <w:color w:val="111827"/>
          <w:sz w:val="22"/>
        </w:rPr>
        <w:t xml:space="preserve"> Responsável pela condução do certame licitatório e pelo gerenciamento global da ARP.</w:t>
      </w:r>
    </w:p>
    <w:p>
      <w:pPr>
        <w:spacing w:line="276" w:lineRule="auto" w:before="20" w:after="40"/>
        <w:ind w:left="425"/>
      </w:pPr>
      <w:r>
        <w:rPr>
          <w:rFonts w:ascii="Arial" w:hAnsi="Arial"/>
          <w:b/>
          <w:color w:val="2B6CB0"/>
          <w:sz w:val="22"/>
        </w:rPr>
        <w:t xml:space="preserve">• </w:t>
      </w:r>
      <w:r>
        <w:rPr>
          <w:rFonts w:ascii="Arial" w:hAnsi="Arial"/>
          <w:b/>
          <w:i w:val="0"/>
          <w:color w:val="111827"/>
          <w:sz w:val="22"/>
        </w:rPr>
        <w:t>Órgão Participante:</w:t>
      </w:r>
      <w:r>
        <w:rPr>
          <w:rFonts w:ascii="Arial" w:hAnsi="Arial"/>
          <w:b w:val="0"/>
          <w:i w:val="0"/>
          <w:color w:val="111827"/>
          <w:sz w:val="22"/>
        </w:rPr>
        <w:t xml:space="preserve"> Órgão que participou dos procedimentos iniciais do planejamento do certame e integrou a ata desde sua origem com quantitativos próprios estimados.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Órgão Não Participante ("Carona"):</w:t>
      </w:r>
      <w:r>
        <w:rPr>
          <w:rFonts w:ascii="Arial" w:hAnsi="Arial"/>
          <w:b w:val="0"/>
          <w:i w:val="0"/>
          <w:color w:val="111827"/>
          <w:sz w:val="22"/>
        </w:rPr>
        <w:t xml:space="preserve"> Órgão que não participou do certame licitatório, mas solicita aderir tardiamente à ARP gerenciada por outro ente federativo ou órgão da Administração.</w:t>
      </w:r>
    </w:p>
    <w:p>
      <w:pPr>
        <w:spacing w:line="360" w:lineRule="auto" w:before="0" w:after="80"/>
        <w:jc w:val="both"/>
      </w:pPr>
      <w:r>
        <w:rPr>
          <w:rFonts w:ascii="Arial" w:hAnsi="Arial"/>
          <w:b/>
          <w:i w:val="0"/>
          <w:color w:val="111827"/>
          <w:sz w:val="24"/>
        </w:rPr>
        <w:t>Limites Imperativos para Adesão Tardia do Carona (Art. 86 da Lei 14.133/2021):</w:t>
      </w:r>
    </w:p>
    <w:p>
      <w:pPr>
        <w:spacing w:line="360" w:lineRule="auto" w:before="0" w:after="80"/>
        <w:jc w:val="both"/>
      </w:pPr>
      <w:r>
        <w:rPr>
          <w:rFonts w:ascii="Arial" w:hAnsi="Arial"/>
          <w:b w:val="0"/>
          <w:i w:val="0"/>
          <w:color w:val="111827"/>
          <w:sz w:val="24"/>
        </w:rPr>
        <w:t>A concessão de adesão exige autorização do órgão gerenciador, aceitação pelo fornecedor e demonstração analítica de vantagem econômica pelo carona. A NLLC impôs barreiras matemáticas severas contra abusos: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Limite Individual por Órgão Não Participante (Art. 86, § 4º):</w:t>
      </w:r>
      <w:r>
        <w:rPr>
          <w:rFonts w:ascii="Arial" w:hAnsi="Arial"/>
          <w:b w:val="0"/>
          <w:i w:val="0"/>
          <w:color w:val="111827"/>
          <w:sz w:val="22"/>
        </w:rPr>
        <w:t xml:space="preserve"> A contratação adicional não poderá exceder a </w:t>
      </w:r>
      <w:r>
        <w:rPr>
          <w:rFonts w:ascii="Arial" w:hAnsi="Arial"/>
          <w:b/>
          <w:i w:val="0"/>
          <w:color w:val="111827"/>
          <w:sz w:val="22"/>
        </w:rPr>
        <w:t>50% (cinquenta por cento)</w:t>
      </w:r>
      <w:r>
        <w:rPr>
          <w:rFonts w:ascii="Arial" w:hAnsi="Arial"/>
          <w:b w:val="0"/>
          <w:i w:val="0"/>
          <w:color w:val="111827"/>
          <w:sz w:val="22"/>
        </w:rPr>
        <w:t xml:space="preserve"> dos quantitativos registrados na ata para o órgão gerenciador e para os órgãos participantes.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Limite Global de TODAS as Adesões Somadas (Art. 86, § 5º):</w:t>
      </w:r>
      <w:r>
        <w:rPr>
          <w:rFonts w:ascii="Arial" w:hAnsi="Arial"/>
          <w:b w:val="0"/>
          <w:i w:val="0"/>
          <w:color w:val="111827"/>
          <w:sz w:val="22"/>
        </w:rPr>
        <w:t xml:space="preserve"> O quantitativo total decorrente do conjunto de todas as caronas autorizadas não poderá ultrapassar, na totalidade, ao </w:t>
      </w:r>
      <w:r>
        <w:rPr>
          <w:rFonts w:ascii="Arial" w:hAnsi="Arial"/>
          <w:b/>
          <w:i w:val="0"/>
          <w:color w:val="111827"/>
          <w:sz w:val="22"/>
        </w:rPr>
        <w:t>dobro (200% ou 2x)</w:t>
      </w:r>
      <w:r>
        <w:rPr>
          <w:rFonts w:ascii="Arial" w:hAnsi="Arial"/>
          <w:b w:val="0"/>
          <w:i w:val="0"/>
          <w:color w:val="111827"/>
          <w:sz w:val="22"/>
        </w:rPr>
        <w:t xml:space="preserve"> do quantitativo de cada item registrado na ata.</w:t>
      </w:r>
    </w:p>
    <w:p>
      <w:pPr>
        <w:spacing w:after="120"/>
      </w:pP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RESTRIÇÃO FEDERATIVA (Art. 86, § 8º):</w:t>
      </w:r>
    </w:p>
    <w:p>
      <w:pPr>
        <w:spacing w:line="240" w:lineRule="auto" w:before="40" w:after="40"/>
        <w:ind w:left="2268"/>
      </w:pPr>
      <w:r>
        <w:rPr>
          <w:rFonts w:ascii="Arial" w:hAnsi="Arial"/>
          <w:b w:val="0"/>
          <w:i w:val="0"/>
          <w:color w:val="111827"/>
          <w:sz w:val="20"/>
        </w:rPr>
        <w:t>É vedada aos órgãos e entidades da Administração Pública Federal a adesão a ata de registro de preços gerenciada por órgão ou entidade estadual, distrital ou municipal. Em contrapartida, órgãos estaduais e municipais podem aderir a atas federais, desde que obedecidos os limites legais.</w:t>
      </w:r>
    </w:p>
    <w:p>
      <w:pPr>
        <w:spacing w:after="80"/>
      </w:pPr>
    </w:p>
    <w:p>
      <w:pPr>
        <w:keepNext/>
        <w:spacing w:before="120" w:after="40"/>
      </w:pPr>
      <w:r>
        <w:rPr>
          <w:rFonts w:ascii="Arial" w:hAnsi="Arial"/>
          <w:b/>
          <w:i/>
          <w:color w:val="334155"/>
          <w:sz w:val="22"/>
        </w:rPr>
        <w:t>2.5 Registro Cadastral Unificado (Art. 87)</w:t>
      </w:r>
    </w:p>
    <w:p>
      <w:pPr>
        <w:spacing w:line="360" w:lineRule="auto" w:before="0" w:after="80"/>
        <w:jc w:val="both"/>
      </w:pPr>
      <w:r>
        <w:rPr>
          <w:rFonts w:ascii="Arial" w:hAnsi="Arial"/>
          <w:b w:val="0"/>
          <w:i w:val="0"/>
          <w:color w:val="111827"/>
          <w:sz w:val="24"/>
        </w:rPr>
        <w:t>A Lei nº 14.133/2021 impõe a criação do sistema de registro cadastral unificado, operacionalizado no Portal Nacional de Contratações Públicas (PNCP), de acesso público e permanente. O registro cadastral simplifica a verificação de regularidade fiscal, trabalhista e qualificação econômico-financeira de licitantes, dispensando os inscritos da apresentação física de certidões válidas já integradas digitalmente ao sistema.</w:t>
      </w:r>
    </w:p>
    <w:p>
      <w:pPr>
        <w:keepNext/>
        <w:spacing w:before="200" w:after="80"/>
      </w:pPr>
      <w:r>
        <w:rPr>
          <w:rFonts w:ascii="Arial" w:hAnsi="Arial"/>
          <w:b/>
          <w:i w:val="0"/>
          <w:color w:val="2B6CB0"/>
          <w:sz w:val="24"/>
        </w:rPr>
        <w:t>3. Processo Administrativo de Contratação Direta (Art. 72)</w:t>
      </w:r>
    </w:p>
    <w:p>
      <w:pPr>
        <w:spacing w:line="360" w:lineRule="auto" w:before="0" w:after="80"/>
        <w:jc w:val="both"/>
      </w:pPr>
      <w:r>
        <w:rPr>
          <w:rFonts w:ascii="Arial" w:hAnsi="Arial"/>
          <w:b w:val="0"/>
          <w:i w:val="0"/>
          <w:color w:val="111827"/>
          <w:sz w:val="24"/>
        </w:rPr>
        <w:t>Tanto a dispensa quanto a inexigibilidade não significam informalidade ou ausência de procedimento. O art. 72 da Lei nº 14.133/2021 estabelece que o processo de contratação direta deve ser obrigatoriamente instruído com os seguintes elementos mínimos sob pena de nulidade:</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Documento de formalização da demanda e, se for o caso, Estudo Técnico Preliminar (ETP);</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Termo de Referência (TR), anteprojeto, projeto básico ou projeto executivo;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Estimativa de despesa calculada na forma do art. 23 da Lei;</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Demonstração de previsão dos recursos orçamentários em dotação própria;</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Comprovação de que o contratado preenche os requisitos de habilitação e qualificação mínima exigida;</w:t>
      </w:r>
    </w:p>
    <w:p>
      <w:pPr>
        <w:spacing w:line="276" w:lineRule="auto" w:before="20" w:after="40"/>
        <w:ind w:left="425"/>
      </w:pPr>
      <w:r>
        <w:rPr>
          <w:rFonts w:ascii="Arial" w:hAnsi="Arial"/>
          <w:b/>
          <w:color w:val="1B365D"/>
          <w:sz w:val="22"/>
        </w:rPr>
        <w:t xml:space="preserve">6. </w:t>
      </w:r>
      <w:r>
        <w:rPr>
          <w:rFonts w:ascii="Arial" w:hAnsi="Arial"/>
          <w:b w:val="0"/>
          <w:i w:val="0"/>
          <w:color w:val="111827"/>
          <w:sz w:val="22"/>
        </w:rPr>
        <w:t>Justificativa expressa de preço (comprovando compatibilidade com o mercado praticado);</w:t>
      </w:r>
    </w:p>
    <w:p>
      <w:pPr>
        <w:spacing w:line="276" w:lineRule="auto" w:before="20" w:after="40"/>
        <w:ind w:left="425"/>
      </w:pPr>
      <w:r>
        <w:rPr>
          <w:rFonts w:ascii="Arial" w:hAnsi="Arial"/>
          <w:b/>
          <w:color w:val="1B365D"/>
          <w:sz w:val="22"/>
        </w:rPr>
        <w:t xml:space="preserve">7. </w:t>
      </w:r>
      <w:r>
        <w:rPr>
          <w:rFonts w:ascii="Arial" w:hAnsi="Arial"/>
          <w:b w:val="0"/>
          <w:i w:val="0"/>
          <w:color w:val="111827"/>
          <w:sz w:val="22"/>
        </w:rPr>
        <w:t>Razão da escolha do contratado ou executante;</w:t>
      </w:r>
    </w:p>
    <w:p>
      <w:pPr>
        <w:spacing w:line="276" w:lineRule="auto" w:before="20" w:after="40"/>
        <w:ind w:left="425"/>
      </w:pPr>
      <w:r>
        <w:rPr>
          <w:rFonts w:ascii="Arial" w:hAnsi="Arial"/>
          <w:b/>
          <w:color w:val="1B365D"/>
          <w:sz w:val="22"/>
        </w:rPr>
        <w:t xml:space="preserve">8. </w:t>
      </w:r>
      <w:r>
        <w:rPr>
          <w:rFonts w:ascii="Arial" w:hAnsi="Arial"/>
          <w:b w:val="0"/>
          <w:i w:val="0"/>
          <w:color w:val="111827"/>
          <w:sz w:val="22"/>
        </w:rPr>
        <w:t>Parecer jurídico do órgão de assessoramento advocatício da Administração e eventuais pareceres técnicos;</w:t>
      </w:r>
    </w:p>
    <w:p>
      <w:pPr>
        <w:spacing w:line="276" w:lineRule="auto" w:before="20" w:after="40"/>
        <w:ind w:left="425"/>
      </w:pPr>
      <w:r>
        <w:rPr>
          <w:rFonts w:ascii="Arial" w:hAnsi="Arial"/>
          <w:b/>
          <w:color w:val="1B365D"/>
          <w:sz w:val="22"/>
        </w:rPr>
        <w:t xml:space="preserve">9. </w:t>
      </w:r>
      <w:r>
        <w:rPr>
          <w:rFonts w:ascii="Arial" w:hAnsi="Arial"/>
          <w:b w:val="0"/>
          <w:i w:val="0"/>
          <w:color w:val="111827"/>
          <w:sz w:val="22"/>
        </w:rPr>
        <w:t>Autorização expressa e motivação emanada da autoridade máxima competente.</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Eficácia no PNCP (Art. 94 e Art. 72, parágrafo único):</w:t>
      </w:r>
    </w:p>
    <w:p>
      <w:pPr>
        <w:spacing w:line="240" w:lineRule="auto" w:before="40" w:after="40"/>
        <w:ind w:left="2268"/>
      </w:pPr>
      <w:r>
        <w:rPr>
          <w:rFonts w:ascii="Arial" w:hAnsi="Arial"/>
          <w:b w:val="0"/>
          <w:i w:val="0"/>
          <w:color w:val="111827"/>
          <w:sz w:val="20"/>
        </w:rPr>
        <w:t xml:space="preserve">O ato que autoriza a contratação direta ou o respectivo extrato de contrato deve ser publicado e divulgado obrigatoriamente no </w:t>
      </w:r>
      <w:r>
        <w:rPr>
          <w:rFonts w:ascii="Arial" w:hAnsi="Arial"/>
          <w:b/>
          <w:i w:val="0"/>
          <w:color w:val="111827"/>
          <w:sz w:val="20"/>
        </w:rPr>
        <w:t>Portal Nacional de Contratações Públicas (PNCP)</w:t>
      </w:r>
      <w:r>
        <w:rPr>
          <w:rFonts w:ascii="Arial" w:hAnsi="Arial"/>
          <w:b w:val="0"/>
          <w:i w:val="0"/>
          <w:color w:val="111827"/>
          <w:sz w:val="20"/>
        </w:rPr>
        <w:t xml:space="preserve"> no prazo de </w:t>
      </w:r>
      <w:r>
        <w:rPr>
          <w:rFonts w:ascii="Arial" w:hAnsi="Arial"/>
          <w:b/>
          <w:i w:val="0"/>
          <w:color w:val="111827"/>
          <w:sz w:val="20"/>
        </w:rPr>
        <w:t>10 (dez) dias úteis</w:t>
      </w:r>
      <w:r>
        <w:rPr>
          <w:rFonts w:ascii="Arial" w:hAnsi="Arial"/>
          <w:b w:val="0"/>
          <w:i w:val="0"/>
          <w:color w:val="111827"/>
          <w:sz w:val="20"/>
        </w:rPr>
        <w:t>, contado da data de sua assinatura, como condição indispensável para sua eficácia jurídica perante terceiros.</w:t>
      </w:r>
    </w:p>
    <w:p>
      <w:pPr>
        <w:spacing w:after="80"/>
      </w:pPr>
    </w:p>
    <w:p>
      <w:pPr>
        <w:keepNext/>
        <w:spacing w:before="200" w:after="80"/>
      </w:pPr>
      <w:r>
        <w:rPr>
          <w:rFonts w:ascii="Arial" w:hAnsi="Arial"/>
          <w:b/>
          <w:i w:val="0"/>
          <w:color w:val="2B6CB0"/>
          <w:sz w:val="24"/>
        </w:rPr>
        <w:t>4. Inexigibilidade de Licitação (Art. 74 - Inviabilidade de Competição)</w:t>
      </w:r>
    </w:p>
    <w:p>
      <w:pPr>
        <w:spacing w:line="360" w:lineRule="auto" w:before="0" w:after="80"/>
        <w:jc w:val="both"/>
      </w:pPr>
      <w:r>
        <w:rPr>
          <w:rFonts w:ascii="Arial" w:hAnsi="Arial"/>
          <w:b w:val="0"/>
          <w:i w:val="0"/>
          <w:color w:val="111827"/>
          <w:sz w:val="24"/>
        </w:rPr>
        <w:t xml:space="preserve">A inexigibilidade é caracterizada pela inviabilidade fática ou jurídica de certame licitatório. O rol do art. 74 é </w:t>
      </w:r>
      <w:r>
        <w:rPr>
          <w:rFonts w:ascii="Arial" w:hAnsi="Arial"/>
          <w:b/>
          <w:i w:val="0"/>
          <w:color w:val="111827"/>
          <w:sz w:val="24"/>
        </w:rPr>
        <w:t>exemplificativo</w:t>
      </w:r>
      <w:r>
        <w:rPr>
          <w:rFonts w:ascii="Arial" w:hAnsi="Arial"/>
          <w:b w:val="0"/>
          <w:i w:val="0"/>
          <w:color w:val="111827"/>
          <w:sz w:val="24"/>
        </w:rPr>
        <w:t>. As hipóteses legais expressas são:</w:t>
      </w:r>
    </w:p>
    <w:p>
      <w:pPr>
        <w:keepNext/>
        <w:spacing w:before="120" w:after="40"/>
      </w:pPr>
      <w:r>
        <w:rPr>
          <w:rFonts w:ascii="Arial" w:hAnsi="Arial"/>
          <w:b/>
          <w:i/>
          <w:color w:val="334155"/>
          <w:sz w:val="22"/>
        </w:rPr>
        <w:t>4.1 Fornecedor e Prestador Exclusivo (Inciso 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Aquisição de materiais, equipamentos ou gêneros, ou contratação de serviços que só possam ser fornecidos por produtor, empresa ou representante comercial exclusivo.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Comprovação Formal Obrigatória:</w:t>
      </w:r>
      <w:r>
        <w:rPr>
          <w:rFonts w:ascii="Arial" w:hAnsi="Arial"/>
          <w:b w:val="0"/>
          <w:i w:val="0"/>
          <w:color w:val="111827"/>
          <w:sz w:val="22"/>
        </w:rPr>
        <w:t xml:space="preserve"> Atestado emitido pelo órgão de registro do comércio local, pelo sindicato, federação ou confederação patronal, ou entidade equivalente.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Vedação à Preferência de Marca:</w:t>
      </w:r>
      <w:r>
        <w:rPr>
          <w:rFonts w:ascii="Arial" w:hAnsi="Arial"/>
          <w:b w:val="0"/>
          <w:i w:val="0"/>
          <w:color w:val="111827"/>
          <w:sz w:val="22"/>
        </w:rPr>
        <w:t xml:space="preserve"> É expressamente vedada a indicação de marca, modelo ou preferência injustificada na fase preparatória que venha a fabricar artificialmente uma exclusividade mercantil.</w:t>
      </w:r>
    </w:p>
    <w:p>
      <w:pPr>
        <w:keepNext/>
        <w:spacing w:before="120" w:after="40"/>
      </w:pPr>
      <w:r>
        <w:rPr>
          <w:rFonts w:ascii="Arial" w:hAnsi="Arial"/>
          <w:b/>
          <w:i/>
          <w:color w:val="334155"/>
          <w:sz w:val="22"/>
        </w:rPr>
        <w:t>4.2 Profissional do Setor Artístico Consagrado (Inciso II)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Contratação de profissional de qualquer setor artístico, diretamente ou por meio de empresário exclusivo.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Requisito Subjetivo:</w:t>
      </w:r>
      <w:r>
        <w:rPr>
          <w:rFonts w:ascii="Arial" w:hAnsi="Arial"/>
          <w:b w:val="0"/>
          <w:i w:val="0"/>
          <w:color w:val="111827"/>
          <w:sz w:val="22"/>
        </w:rPr>
        <w:t xml:space="preserve"> O artista deve ser consagrado pela crítica especializada ou pela opinião pública regional/nacional.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Empresário Exclusivo:</w:t>
      </w:r>
      <w:r>
        <w:rPr>
          <w:rFonts w:ascii="Arial" w:hAnsi="Arial"/>
          <w:b w:val="0"/>
          <w:i w:val="0"/>
          <w:color w:val="111827"/>
          <w:sz w:val="22"/>
        </w:rPr>
        <w:t xml:space="preserve"> A lei exige a representação por empresário exclusivo de fato (com contrato de exclusividade arquivado e de ampla duração), vedada a intermediação por agenciadores eventuais que recebem procurações de ocasião apenas para o evento licitado.</w:t>
      </w:r>
    </w:p>
    <w:p>
      <w:pPr>
        <w:keepNext/>
        <w:spacing w:before="120" w:after="40"/>
      </w:pPr>
      <w:r>
        <w:rPr>
          <w:rFonts w:ascii="Arial" w:hAnsi="Arial"/>
          <w:b/>
          <w:i/>
          <w:color w:val="334155"/>
          <w:sz w:val="22"/>
        </w:rPr>
        <w:t>4.3 Serviços Técnicos Especializados e Notória Especialização (Inciso III)</w:t>
      </w:r>
    </w:p>
    <w:p>
      <w:pPr>
        <w:spacing w:line="360" w:lineRule="auto" w:before="0" w:after="80"/>
        <w:jc w:val="both"/>
      </w:pPr>
      <w:r>
        <w:rPr>
          <w:rFonts w:ascii="Arial" w:hAnsi="Arial"/>
          <w:b w:val="0"/>
          <w:i w:val="0"/>
          <w:color w:val="111827"/>
          <w:sz w:val="24"/>
        </w:rPr>
        <w:t>A contratação direta sem licitação para serviços técnicos especializados exige cumulativamente três requisitos fundamentais: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 xml:space="preserve">Que o serviço seja de natureza </w:t>
      </w:r>
      <w:r>
        <w:rPr>
          <w:rFonts w:ascii="Arial" w:hAnsi="Arial"/>
          <w:b/>
          <w:i w:val="0"/>
          <w:color w:val="111827"/>
          <w:sz w:val="22"/>
        </w:rPr>
        <w:t>predominantemente intelectual</w:t>
      </w:r>
      <w:r>
        <w:rPr>
          <w:rFonts w:ascii="Arial" w:hAnsi="Arial"/>
          <w:b w:val="0"/>
          <w:i w:val="0"/>
          <w:color w:val="111827"/>
          <w:sz w:val="22"/>
        </w:rPr>
        <w:t xml:space="preserve"> e enquadrado no rol do art. 67 (pareceres, perícias, laudos, assessorias técnicas, patrocínio ou defesa de causas judiciais e administrativas, auditorias financeiras e tributárias, restauração de obras de arte, treinamento e aperfeiçoamento de pessoal);</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Que seja executado por profissional ou empresa de </w:t>
      </w:r>
      <w:r>
        <w:rPr>
          <w:rFonts w:ascii="Arial" w:hAnsi="Arial"/>
          <w:b/>
          <w:i w:val="0"/>
          <w:color w:val="111827"/>
          <w:sz w:val="22"/>
        </w:rPr>
        <w:t>notória especialização</w:t>
      </w:r>
      <w:r>
        <w:rPr>
          <w:rFonts w:ascii="Arial" w:hAnsi="Arial"/>
          <w:b w:val="0"/>
          <w:i w:val="0"/>
          <w:color w:val="111827"/>
          <w:sz w:val="22"/>
        </w:rPr>
        <w:t xml:space="preserve"> (cujo conceito, histórico profissional, titulação, pesquisas e trabalhos anteriores permitam inferir que seu trabalho é indiscutivelmente o mais adequado e essencial à plena satisfação do objeto);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Que o serviço possua natureza </w:t>
      </w:r>
      <w:r>
        <w:rPr>
          <w:rFonts w:ascii="Arial" w:hAnsi="Arial"/>
          <w:b/>
          <w:i w:val="0"/>
          <w:color w:val="111827"/>
          <w:sz w:val="22"/>
        </w:rPr>
        <w:t>singular</w:t>
      </w:r>
      <w:r>
        <w:rPr>
          <w:rFonts w:ascii="Arial" w:hAnsi="Arial"/>
          <w:b w:val="0"/>
          <w:i w:val="0"/>
          <w:color w:val="111827"/>
          <w:sz w:val="22"/>
        </w:rPr>
        <w:t xml:space="preserve"> (características peculiares que afastam a padronização comum de mercado).</w:t>
      </w:r>
    </w:p>
    <w:p>
      <w:pPr>
        <w:spacing w:line="240" w:lineRule="auto" w:before="40" w:after="40"/>
        <w:ind w:left="2268"/>
      </w:pPr>
      <w:r>
        <w:rPr>
          <w:rFonts w:ascii="Arial" w:hAnsi="Arial"/>
          <w:b w:val="0"/>
          <w:i w:val="0"/>
          <w:color w:val="111827"/>
          <w:sz w:val="20"/>
        </w:rPr>
        <w:t xml:space="preserve">🚫 </w:t>
      </w:r>
      <w:r>
        <w:rPr>
          <w:rFonts w:ascii="Arial" w:hAnsi="Arial"/>
          <w:b/>
          <w:i w:val="0"/>
          <w:color w:val="111827"/>
          <w:sz w:val="20"/>
        </w:rPr>
        <w:t>VEDAÇÃO ABSOLUTA DA NLLC (Art. 74, § 3º):</w:t>
      </w:r>
    </w:p>
    <w:p>
      <w:pPr>
        <w:spacing w:line="240" w:lineRule="auto" w:before="40" w:after="40"/>
        <w:ind w:left="2268"/>
      </w:pPr>
      <w:r>
        <w:rPr>
          <w:rFonts w:ascii="Arial" w:hAnsi="Arial"/>
          <w:b w:val="0"/>
          <w:i w:val="0"/>
          <w:color w:val="111827"/>
          <w:sz w:val="20"/>
        </w:rPr>
        <w:t xml:space="preserve">É </w:t>
      </w:r>
      <w:r>
        <w:rPr>
          <w:rFonts w:ascii="Arial" w:hAnsi="Arial"/>
          <w:b/>
          <w:i w:val="0"/>
          <w:color w:val="111827"/>
          <w:sz w:val="20"/>
        </w:rPr>
        <w:t>vedada a inexigibilidade de licitação para serviços de publicidade e divulgação</w:t>
      </w:r>
      <w:r>
        <w:rPr>
          <w:rFonts w:ascii="Arial" w:hAnsi="Arial"/>
          <w:b w:val="0"/>
          <w:i w:val="0"/>
          <w:color w:val="111827"/>
          <w:sz w:val="20"/>
        </w:rPr>
        <w:t>. Campanhas publicitárias institucionais e propaganda governamental exigem compulsoriamente licitação com rito regulado pela Lei Federal nº 12.232/2010 (julgamento por melhor técnica ou técnica e preço, com subcomissão técnica imparcial).</w:t>
      </w:r>
    </w:p>
    <w:p>
      <w:pPr>
        <w:spacing w:after="80"/>
      </w:pPr>
    </w:p>
    <w:p>
      <w:pPr>
        <w:keepNext/>
        <w:spacing w:before="120" w:after="40"/>
      </w:pPr>
      <w:r>
        <w:rPr>
          <w:rFonts w:ascii="Arial" w:hAnsi="Arial"/>
          <w:b/>
          <w:i/>
          <w:color w:val="334155"/>
          <w:sz w:val="22"/>
        </w:rPr>
        <w:t>4.4 Aquisição ou Locação de Imóvel Singular (Inciso V)</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Aquisição ou locação de imóvel cujas características de instalações e de localização tornem necessária sua escolha pela Administração.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Requisitos Formais:</w:t>
      </w:r>
      <w:r>
        <w:rPr>
          <w:rFonts w:ascii="Arial" w:hAnsi="Arial"/>
          <w:b w:val="0"/>
          <w:i w:val="0"/>
          <w:color w:val="111827"/>
          <w:sz w:val="22"/>
        </w:rPr>
        <w:t xml:space="preserve"> Exige avaliação prévia de mercado, certificação da inexistência de imóveis públicos vagos adequados e justificativa técnica detalhada comprovando a singularidade do imóvel para o desempenho das atividades institucionais.</w:t>
      </w:r>
    </w:p>
    <w:p>
      <w:pPr>
        <w:keepNext/>
        <w:spacing w:before="200" w:after="80"/>
      </w:pPr>
      <w:r>
        <w:rPr>
          <w:rFonts w:ascii="Arial" w:hAnsi="Arial"/>
          <w:b/>
          <w:i w:val="0"/>
          <w:color w:val="2B6CB0"/>
          <w:sz w:val="24"/>
        </w:rPr>
        <w:t>5. Dispensa de Licitação (Art. 75 - Rol Taxativo)</w:t>
      </w:r>
    </w:p>
    <w:p>
      <w:pPr>
        <w:spacing w:line="360" w:lineRule="auto" w:before="0" w:after="80"/>
        <w:jc w:val="both"/>
      </w:pPr>
      <w:r>
        <w:rPr>
          <w:rFonts w:ascii="Arial" w:hAnsi="Arial"/>
          <w:b w:val="0"/>
          <w:i w:val="0"/>
          <w:color w:val="111827"/>
          <w:sz w:val="24"/>
        </w:rPr>
        <w:t xml:space="preserve">A dispensa de licitação ocorre em circunstâncias nas quais a competição entre particulares seria perfeitamente viável, mas a lei autoriza a Administração a contratar diretamente por razões de eficiência, utilidade ou conveniência coletiva. O rol do art. 75 é </w:t>
      </w:r>
      <w:r>
        <w:rPr>
          <w:rFonts w:ascii="Arial" w:hAnsi="Arial"/>
          <w:b/>
          <w:i w:val="0"/>
          <w:color w:val="111827"/>
          <w:sz w:val="24"/>
        </w:rPr>
        <w:t>taxativo</w:t>
      </w:r>
      <w:r>
        <w:rPr>
          <w:rFonts w:ascii="Arial" w:hAnsi="Arial"/>
          <w:b w:val="0"/>
          <w:i w:val="0"/>
          <w:color w:val="111827"/>
          <w:sz w:val="24"/>
        </w:rPr>
        <w:t xml:space="preserve"> (</w:t>
      </w:r>
      <w:r>
        <w:rPr>
          <w:rFonts w:ascii="Arial" w:hAnsi="Arial"/>
          <w:b w:val="0"/>
          <w:i/>
          <w:color w:val="111827"/>
          <w:sz w:val="24"/>
        </w:rPr>
        <w:t>numerus clausus</w:t>
      </w:r>
      <w:r>
        <w:rPr>
          <w:rFonts w:ascii="Arial" w:hAnsi="Arial"/>
          <w:b w:val="0"/>
          <w:i w:val="0"/>
          <w:color w:val="111827"/>
          <w:sz w:val="24"/>
        </w:rPr>
        <w:t>).</w:t>
      </w:r>
    </w:p>
    <w:p>
      <w:pPr>
        <w:keepNext/>
        <w:spacing w:before="120" w:after="40"/>
      </w:pPr>
      <w:r>
        <w:rPr>
          <w:rFonts w:ascii="Arial" w:hAnsi="Arial"/>
          <w:b/>
          <w:i/>
          <w:color w:val="334155"/>
          <w:sz w:val="22"/>
        </w:rPr>
        <w:t>5.1 Dispensa em Razão do Valor (Pequeno Valor - Incisos I e II)</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Inciso I:</w:t>
      </w:r>
      <w:r>
        <w:rPr>
          <w:rFonts w:ascii="Arial" w:hAnsi="Arial"/>
          <w:b w:val="0"/>
          <w:i w:val="0"/>
          <w:color w:val="111827"/>
          <w:sz w:val="22"/>
        </w:rPr>
        <w:t xml:space="preserve"> Obras e serviços de engenharia ou serviços de manutenção de veículos automotores (valor-base de R$ 100.000,00 na publicação da lei, reajustado anualmente por decreto federal).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Inciso II:</w:t>
      </w:r>
      <w:r>
        <w:rPr>
          <w:rFonts w:ascii="Arial" w:hAnsi="Arial"/>
          <w:b w:val="0"/>
          <w:i w:val="0"/>
          <w:color w:val="111827"/>
          <w:sz w:val="22"/>
        </w:rPr>
        <w:t xml:space="preserve"> Outros serviços e compras em geral (valor-base de R$ 50.000,00 na publicação da lei, reajustado anualmente por decreto federal).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Vedação ao Fracionamento Ilícito (§ 1º do art. 75):</w:t>
      </w:r>
      <w:r>
        <w:rPr>
          <w:rFonts w:ascii="Arial" w:hAnsi="Arial"/>
          <w:b w:val="0"/>
          <w:i w:val="0"/>
          <w:color w:val="111827"/>
          <w:sz w:val="22"/>
        </w:rPr>
        <w:t xml:space="preserve"> Para fins de aferição dos valores-limite, deve ser considerado o somatório do que for despendido no mesmo </w:t>
      </w:r>
      <w:r>
        <w:rPr>
          <w:rFonts w:ascii="Arial" w:hAnsi="Arial"/>
          <w:b/>
          <w:i w:val="0"/>
          <w:color w:val="111827"/>
          <w:sz w:val="22"/>
        </w:rPr>
        <w:t>exercício financeiro</w:t>
      </w:r>
      <w:r>
        <w:rPr>
          <w:rFonts w:ascii="Arial" w:hAnsi="Arial"/>
          <w:b w:val="0"/>
          <w:i w:val="0"/>
          <w:color w:val="111827"/>
          <w:sz w:val="22"/>
        </w:rPr>
        <w:t xml:space="preserve"> pela mesma </w:t>
      </w:r>
      <w:r>
        <w:rPr>
          <w:rFonts w:ascii="Arial" w:hAnsi="Arial"/>
          <w:b/>
          <w:i w:val="0"/>
          <w:color w:val="111827"/>
          <w:sz w:val="22"/>
        </w:rPr>
        <w:t>unidade gestora</w:t>
      </w:r>
      <w:r>
        <w:rPr>
          <w:rFonts w:ascii="Arial" w:hAnsi="Arial"/>
          <w:b w:val="0"/>
          <w:i w:val="0"/>
          <w:color w:val="111827"/>
          <w:sz w:val="22"/>
        </w:rPr>
        <w:t xml:space="preserve"> com objetos de </w:t>
      </w:r>
      <w:r>
        <w:rPr>
          <w:rFonts w:ascii="Arial" w:hAnsi="Arial"/>
          <w:b/>
          <w:i w:val="0"/>
          <w:color w:val="111827"/>
          <w:sz w:val="22"/>
        </w:rPr>
        <w:t>mesma natureza</w:t>
      </w:r>
      <w:r>
        <w:rPr>
          <w:rFonts w:ascii="Arial" w:hAnsi="Arial"/>
          <w:b w:val="0"/>
          <w:i w:val="0"/>
          <w:color w:val="111827"/>
          <w:sz w:val="22"/>
        </w:rPr>
        <w:t>, entendidos como aqueles relativos a contratações no mesmo ramo de atividade econômica.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Duplicação de Limites (§ 2º):</w:t>
      </w:r>
      <w:r>
        <w:rPr>
          <w:rFonts w:ascii="Arial" w:hAnsi="Arial"/>
          <w:b w:val="0"/>
          <w:i w:val="0"/>
          <w:color w:val="111827"/>
          <w:sz w:val="22"/>
        </w:rPr>
        <w:t xml:space="preserve"> Os valores-limite são duplicados (2x) para contratações realizadas por consórcios públicos e agências executivas.</w:t>
      </w:r>
    </w:p>
    <w:p>
      <w:pPr>
        <w:keepNext/>
        <w:spacing w:before="120" w:after="40"/>
      </w:pPr>
      <w:r>
        <w:rPr>
          <w:rFonts w:ascii="Arial" w:hAnsi="Arial"/>
          <w:b/>
          <w:i/>
          <w:color w:val="334155"/>
          <w:sz w:val="22"/>
        </w:rPr>
        <w:t>5.2 Dispensa por Emergência ou Calamidade Pública (Inciso VIII)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Aplica-se em situações de emergência ou calamidade pública quando caracterizada urgência de atendimento de situação que possa ocasionar prejuízo ou comprometer a segurança de pessoas, obras, serviços, equipamentos e outros bens, públicos ou particulares.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Destina-se exclusivamente à contratação de bens e serviços necessários ao atendimento da situação emergencial concreta, no limite do estritamente indispensável.</w:t>
      </w:r>
    </w:p>
    <w:p>
      <w:pPr>
        <w:spacing w:line="360" w:lineRule="auto" w:before="0" w:after="80"/>
        <w:jc w:val="both"/>
      </w:pPr>
      <w:r>
        <w:rPr>
          <w:rFonts w:ascii="Arial" w:hAnsi="Arial"/>
          <w:b/>
          <w:i w:val="0"/>
          <w:color w:val="111827"/>
          <w:sz w:val="24"/>
        </w:rPr>
        <w:t>Inovações Capitais da Lei 14.133/2021 sobre Emergência: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Prazo de Vigência Contratual:</w:t>
      </w:r>
      <w:r>
        <w:rPr>
          <w:rFonts w:ascii="Arial" w:hAnsi="Arial"/>
          <w:b w:val="0"/>
          <w:i w:val="0"/>
          <w:color w:val="111827"/>
          <w:sz w:val="22"/>
        </w:rPr>
        <w:t xml:space="preserve"> O contrato emergencial terá prazo máximo de vigência de até </w:t>
      </w:r>
      <w:r>
        <w:rPr>
          <w:rFonts w:ascii="Arial" w:hAnsi="Arial"/>
          <w:b/>
          <w:i w:val="0"/>
          <w:color w:val="111827"/>
          <w:sz w:val="22"/>
        </w:rPr>
        <w:t>1 (um) ano</w:t>
      </w:r>
      <w:r>
        <w:rPr>
          <w:rFonts w:ascii="Arial" w:hAnsi="Arial"/>
          <w:b w:val="0"/>
          <w:i w:val="0"/>
          <w:color w:val="111827"/>
          <w:sz w:val="22"/>
        </w:rPr>
        <w:t>, contado da data de ocorrência da emergência (superando o antigo limite de 180 dias da Lei 8.666/93).</w:t>
      </w:r>
    </w:p>
    <w:p>
      <w:pPr>
        <w:spacing w:line="276" w:lineRule="auto" w:before="20" w:after="40"/>
        <w:ind w:left="425"/>
      </w:pPr>
      <w:r>
        <w:rPr>
          <w:rFonts w:ascii="Arial" w:hAnsi="Arial"/>
          <w:b/>
          <w:color w:val="1B365D"/>
          <w:sz w:val="22"/>
        </w:rPr>
        <w:t xml:space="preserve">2. </w:t>
      </w:r>
      <w:r>
        <w:rPr>
          <w:rFonts w:ascii="Arial" w:hAnsi="Arial"/>
          <w:b/>
          <w:i w:val="0"/>
          <w:color w:val="111827"/>
          <w:sz w:val="22"/>
        </w:rPr>
        <w:t>Vedação Absoluta de Prorrogação:</w:t>
      </w:r>
      <w:r>
        <w:rPr>
          <w:rFonts w:ascii="Arial" w:hAnsi="Arial"/>
          <w:b w:val="0"/>
          <w:i w:val="0"/>
          <w:color w:val="111827"/>
          <w:sz w:val="22"/>
        </w:rPr>
        <w:t xml:space="preserve"> É </w:t>
      </w:r>
      <w:r>
        <w:rPr>
          <w:rFonts w:ascii="Arial" w:hAnsi="Arial"/>
          <w:b/>
          <w:i w:val="0"/>
          <w:color w:val="111827"/>
          <w:sz w:val="22"/>
        </w:rPr>
        <w:t>expressamente proibida a prorrogação</w:t>
      </w:r>
      <w:r>
        <w:rPr>
          <w:rFonts w:ascii="Arial" w:hAnsi="Arial"/>
          <w:b w:val="0"/>
          <w:i w:val="0"/>
          <w:color w:val="111827"/>
          <w:sz w:val="22"/>
        </w:rPr>
        <w:t xml:space="preserve"> dos contratos administrativos emergenciais firmados sob este inciso.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Vedação de Recontratação da Empresa Causadora:</w:t>
      </w:r>
      <w:r>
        <w:rPr>
          <w:rFonts w:ascii="Arial" w:hAnsi="Arial"/>
          <w:b w:val="0"/>
          <w:i w:val="0"/>
          <w:color w:val="111827"/>
          <w:sz w:val="22"/>
        </w:rPr>
        <w:t xml:space="preserve"> É expressamente vedada a recontratação de empresa que tenha dado causa à situação emergencial ou de calamidade por inexecução culposa ou inadimplemento de contrato anterior.</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 xml:space="preserve">A ocorrência de "emergência fabricada" — isto é, decorrente da desídia, inércia ou omissão de gestores públicos que deixaram de licitar a tempo um contrato continuado — </w:t>
            </w:r>
            <w:r>
              <w:rPr>
                <w:rFonts w:ascii="Arial" w:hAnsi="Arial"/>
                <w:b/>
                <w:i w:val="0"/>
                <w:color w:val="111827"/>
                <w:sz w:val="21"/>
              </w:rPr>
              <w:t>não impede</w:t>
            </w:r>
            <w:r>
              <w:rPr>
                <w:rFonts w:ascii="Arial" w:hAnsi="Arial"/>
                <w:b w:val="0"/>
                <w:i w:val="0"/>
                <w:color w:val="111827"/>
                <w:sz w:val="21"/>
              </w:rPr>
              <w:t xml:space="preserve"> a contratação emergencial quando o interesse coletivo exigir a continuidade do serviço ou preservação de vidas. Todavia, a NLLC e a jurisprudência sumulada do TCU determinam que a autoridade deve determinar imediatamente a instauração de processo administrativo para apuração de responsabilidade dos agentes que deram causa à emergência por dolo ou negligência.</w:t>
            </w:r>
          </w:p>
        </w:tc>
      </w:tr>
    </w:tbl>
    <w:p>
      <w:pPr>
        <w:spacing w:before="0" w:after="120"/>
      </w:pPr>
    </w:p>
    <w:p>
      <w:pPr>
        <w:keepNext/>
        <w:spacing w:before="120" w:after="40"/>
      </w:pPr>
      <w:r>
        <w:rPr>
          <w:rFonts w:ascii="Arial" w:hAnsi="Arial"/>
          <w:b/>
          <w:i/>
          <w:color w:val="334155"/>
          <w:sz w:val="22"/>
        </w:rPr>
        <w:t>5.3 Licitação Deserta, Fracassada e Remanescente de Contrato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Licitação Deserta (Art. 75, III, "a"):</w:t>
      </w:r>
      <w:r>
        <w:rPr>
          <w:rFonts w:ascii="Arial" w:hAnsi="Arial"/>
          <w:b w:val="0"/>
          <w:i w:val="0"/>
          <w:color w:val="111827"/>
          <w:sz w:val="22"/>
        </w:rPr>
        <w:t xml:space="preserve"> Licitação na qual não compareceu nenhum licitante interessado (ausência de propostas). A dispensa é autorizada se comprovado que nova licitação causaria prejuízo à Administração e desde que sejam mantidas todas as condições preestabelecidas no edital primitivo.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Licitação Fracassada (Art. 75, III, "b"):</w:t>
      </w:r>
      <w:r>
        <w:rPr>
          <w:rFonts w:ascii="Arial" w:hAnsi="Arial"/>
          <w:b w:val="0"/>
          <w:i w:val="0"/>
          <w:color w:val="111827"/>
          <w:sz w:val="22"/>
        </w:rPr>
        <w:t xml:space="preserve"> Certame em que todas as propostas apresentadas foram desclassificadas (preços abusivos ou desconformidade técnica) ou todos os licitantes foram inabilitados. A dispensa exige a comprovação de prejuízo na repetição do certame e a estrita manutenção das condições do edital.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Remanescente de Obra, Serviço ou Fornecimento (Art. 75, VII):</w:t>
      </w:r>
      <w:r>
        <w:rPr>
          <w:rFonts w:ascii="Arial" w:hAnsi="Arial"/>
          <w:b w:val="0"/>
          <w:i w:val="0"/>
          <w:color w:val="111827"/>
          <w:sz w:val="22"/>
        </w:rPr>
        <w:t xml:space="preserve"> Ocorre após a rescisão contratual de ajuste anterior. A contratação direta é facultada aos demais licitantes classificados no certame original, atendida a ordem de classificação originária e desde que o convocado aceite celebrar o contrato nas mesmas condições econômicas propostas pelo licitante vencedor original.</w:t>
      </w:r>
    </w:p>
    <w:p>
      <w:pPr>
        <w:keepNext/>
        <w:spacing w:before="280" w:after="120"/>
      </w:pPr>
      <w:r>
        <w:rPr>
          <w:rFonts w:ascii="Arial" w:hAnsi="Arial"/>
          <w:b/>
          <w:i w:val="0"/>
          <w:color w:val="2C5282"/>
          <w:sz w:val="28"/>
        </w:rPr>
        <w:t>🌐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14.133/2021 - Artigos 71 a 88 (Contratação Direta e Procedimentos Auxiliares)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Normas legais completas sobre credenciamento, pré-qualificação, SRP, dispensa e inexigibilidade.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Decreto Federal nº 11.462/2023 - Regulamento do Sistema de Registro de Preços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Regulamento federal das regras de gestão da ARP e limites objetivos de adesão por caronas.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Jurisprudência Selecionada do Tribunal de Contas da União (TCU)</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Acórdãos essenciais sobre emergência fabricada, notória especialização e vedação ao fracionamento indevido.</w:t>
      </w:r>
    </w:p>
    <w:p>
      <w:pPr>
        <w:keepNext/>
        <w:spacing w:before="280" w:after="120"/>
      </w:pPr>
      <w:r>
        <w:rPr>
          <w:rFonts w:ascii="Arial" w:hAnsi="Arial"/>
          <w:b/>
          <w:i w:val="0"/>
          <w:color w:val="2C5282"/>
          <w:sz w:val="28"/>
        </w:rPr>
        <w:t>📝 Questões Comentadas no Padrão FCC (Justificadas de A a E)</w:t>
      </w:r>
    </w:p>
    <w:p>
      <w:pPr>
        <w:keepNext/>
        <w:spacing w:before="200" w:after="80"/>
      </w:pPr>
      <w:r>
        <w:rPr>
          <w:rFonts w:ascii="Arial" w:hAnsi="Arial"/>
          <w:b/>
          <w:i w:val="0"/>
          <w:color w:val="2B6CB0"/>
          <w:sz w:val="24"/>
        </w:rPr>
        <w:t>Questão 1 (FCC - Analista de Controle Externo / Adaptada TCE-GO)</w:t>
      </w:r>
    </w:p>
    <w:p>
      <w:pPr>
        <w:spacing w:line="360" w:lineRule="auto" w:before="0" w:after="80"/>
        <w:jc w:val="both"/>
      </w:pPr>
      <w:r>
        <w:rPr>
          <w:rFonts w:ascii="Arial" w:hAnsi="Arial"/>
          <w:b w:val="0"/>
          <w:i w:val="0"/>
          <w:color w:val="111827"/>
          <w:sz w:val="24"/>
        </w:rPr>
        <w:t>O Tribunal de Contas do Estado de Goiás necessita contratar com presteza parecer técnico-jurídico e patrocínio em processo contencioso de controle concentrado perante o Supremo Tribunal Federal, versando sobre as garantias orçamentárias constitucionais dos membros da Corte de Contas. A Presidência do Tribunal deliberou pela contratação direta de renomado jurista de projeção nacional, autor de clássicas obras doutrinárias e titular de cátedra universitária, reconhecido pela comunidade jurídica como expoente máximo na matéria constitucional controvertida.</w:t>
      </w:r>
    </w:p>
    <w:p>
      <w:pPr>
        <w:spacing w:line="360" w:lineRule="auto" w:before="0" w:after="80"/>
        <w:jc w:val="both"/>
      </w:pPr>
      <w:r>
        <w:rPr>
          <w:rFonts w:ascii="Arial" w:hAnsi="Arial"/>
          <w:b w:val="0"/>
          <w:i w:val="0"/>
          <w:color w:val="111827"/>
          <w:sz w:val="24"/>
        </w:rPr>
        <w:t>Em face do regramento das contratações diretas na Lei Federal nº 14.133/2021:</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hipótese caracteriza Inexigibilidade de Licitação, visto que envolve serviço técnico especializado de natureza predominantemente intelectual prestado por profissional de notória especialização, caracterizador de inviabilidade de competição.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caso configura típica hipótese de Dispensa de Licitação por emergência funcional de representação judicial.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É obrigatória a deflagração de Concorrência de Menor Preço, sendo vedada a contratação direta de advogados e pareceristas pela Administração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contratação é nula, pois serviços técnicos intelectuais devem ser contratados exclusivamente mediante a modalidade Pregão Eletrônico.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hipótese deve ser processada obrigatoriamente por Leilão com lances decrescentes de honorários sucumbenciais.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Conforme o art. 74, inciso III, alínea "c", da Lei nº 14.133/2021, é inexigível a licitação para a contratação de serviços técnicos especializados de natureza predominantemente intelectual com profissionais ou empresas de notória especialização, notadamente para o patrocínio ou defesa de causas judiciais ou administrativas, bem como para emissão de pareceres e perícias (alínea "b"). A notória especialização e a natureza singular do debate constitucional inviabilizam a disputa por menor preço, justificando plenamente a inexigibilidade.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fundamento não reside em dispensa emergencial (art. 75, VIII), mas na inviabilidade fática de comparação de propostas pelo mérito intelectual do especialista (inexigibilidade, art. 74).</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contratação direta de serviços técnicos jurídicos intelectuais por inexigibilidade é expressamente autorizada pela NLLC, não se exigindo concorrência.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pregão destina-se a bens e serviços comuns com padrões objetivos de desempenho no mercado, não se aplicando a serviços intelectuais singulares de notória especialização.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leilão é modalidade destinada à alienação de bens públicos a quem oferecer maior lance, descabendo para contratação de serviços intelectuais.</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2 (FCC - Técnico de Controle Externo / Administrativa)</w:t>
      </w:r>
    </w:p>
    <w:p>
      <w:pPr>
        <w:spacing w:line="360" w:lineRule="auto" w:before="0" w:after="80"/>
        <w:jc w:val="both"/>
      </w:pPr>
      <w:r>
        <w:rPr>
          <w:rFonts w:ascii="Arial" w:hAnsi="Arial"/>
          <w:b w:val="0"/>
          <w:i w:val="0"/>
          <w:color w:val="111827"/>
          <w:sz w:val="24"/>
        </w:rPr>
        <w:t>Uma autarquia estadual goiana pretende adquirir medicamentos essenciais para a rede ambulatorial aderindo, na condição de "órgão não participante" (carona), a uma Ata de Registro de Preços gerenciada pela Secretaria de Estado da Saúde de Goiás. Na ata em vigor, consta o quantitativo de 20.000 caixas de determinado antibiótico registrado para o órgão gerenciador.</w:t>
      </w:r>
    </w:p>
    <w:p>
      <w:pPr>
        <w:spacing w:line="360" w:lineRule="auto" w:before="0" w:after="80"/>
        <w:jc w:val="both"/>
      </w:pPr>
      <w:r>
        <w:rPr>
          <w:rFonts w:ascii="Arial" w:hAnsi="Arial"/>
          <w:b w:val="0"/>
          <w:i w:val="0"/>
          <w:color w:val="111827"/>
          <w:sz w:val="24"/>
        </w:rPr>
        <w:t>De acordo com os limites objetivos estipulados pelo art. 86 da Lei Federal nº 14.133/2021 para a adesão de órgãos não participantes: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autarquia pode aderir à ata para adquirir até 100% do quantitativo original do órgão gerenciador.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As aquisições ou contratações adicionais por órgão não participante não poderão exceder, por órgão ou entidade, a 50% dos quantitativos registrados na ata de registro de preços para o órgão gerenciador e participantes.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NLLC proibiu terminantemente qualquer adesão tardia por órgãos caronas no Sistema de Registro de Preços.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somatório de todas as caronas concedidas durante a validade da ata não possui teto financeiro ou quantitativo.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limite individual do carona é de 10% e o limite global é de 30% dos quantitativos registrados.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limite individual fixado pela lei é de até 50% do quantitativo do item registrado, e não 100%.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De acordo com o art. 86, § 4º, da Lei nº 14.133/2021, as aquisições ou as contratações adicionais por órgão não participante não poderão exceder, por órgão ou entidade individual, a 50% (cinquenta por cento) dos quantitativos dos itens do instrumento convocatório e registrados na ata para o gerenciador e participantes.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NLLC não proibiu a adesão tardia do carona, mas submeteu o instituto a rígidos limites objetivos (50% individual e 2x global).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Há teto global imperativo: conforme o art. 86, § 5º, a soma de todas as adesões de caronas não poderá exceder, na totalidade, ao dobro (200% ou 2x) do quantitativo de cada item registrado na ata.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Os limites estipulados pela Lei 14.133/2021 são de 50% individual e o dobro global, e não 10% e 30%.</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Auditor de Controle Externo / Adaptada)</w:t>
      </w:r>
    </w:p>
    <w:p>
      <w:pPr>
        <w:spacing w:line="360" w:lineRule="auto" w:before="0" w:after="80"/>
        <w:jc w:val="both"/>
      </w:pPr>
      <w:r>
        <w:rPr>
          <w:rFonts w:ascii="Arial" w:hAnsi="Arial"/>
          <w:b w:val="0"/>
          <w:i w:val="0"/>
          <w:color w:val="111827"/>
          <w:sz w:val="24"/>
        </w:rPr>
        <w:t>Em razão de chuvas torrenciais atípicas que destruíram a principal ponte de acesso a determinado município goiano, isolando a população local, o Governo do Estado decretou situação de calamidade pública e contratou diretamente, com fundamento no art. 75, VIII, da Lei nº 14.133/2021, uma empreiteira para construir emergencialmente uma estrutura viária provisória e recompor o tráfego de ambulâncias e mantimentos.</w:t>
      </w:r>
    </w:p>
    <w:p>
      <w:pPr>
        <w:spacing w:line="360" w:lineRule="auto" w:before="0" w:after="80"/>
        <w:jc w:val="both"/>
      </w:pPr>
      <w:r>
        <w:rPr>
          <w:rFonts w:ascii="Arial" w:hAnsi="Arial"/>
          <w:b w:val="0"/>
          <w:i w:val="0"/>
          <w:color w:val="111827"/>
          <w:sz w:val="24"/>
        </w:rPr>
        <w:t xml:space="preserve">Sobre o regime jurídico do contrato administrativo decorrente de </w:t>
      </w:r>
      <w:r>
        <w:rPr>
          <w:rFonts w:ascii="Arial" w:hAnsi="Arial"/>
          <w:b/>
          <w:i w:val="0"/>
          <w:color w:val="111827"/>
          <w:sz w:val="24"/>
        </w:rPr>
        <w:t>dispensa por emergência ou calamidade pública</w:t>
      </w:r>
      <w:r>
        <w:rPr>
          <w:rFonts w:ascii="Arial" w:hAnsi="Arial"/>
          <w:b w:val="0"/>
          <w:i w:val="0"/>
          <w:color w:val="111827"/>
          <w:sz w:val="24"/>
        </w:rPr>
        <w:t>, a Lei nº 14.133/2021 determina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contrato terá prazo máximo de vigência de até 1 (um) ano, contado da data de ocorrência da emergência, sendo expressamente vedada a sua prorrogação.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contrato emergencial pode ser prorrogado sucessivamente por até dez anos enquanto perdurarem os transtornos no tráfego municipal.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É obrigatória a contratação da mesma empresa que construiu a ponte original que ruiu, independentemente de ter havido falha estrutural anterior.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dispensa emergencial exige a realização prévia de audiência pública presencial com prazo de 60 dias de antecedência.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vigência do contrato emergencial é fixada no prazo máximo improrrogável de 180 dias.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Conforme o art. 75, inciso VIII, da Lei nº 14.133/2021, nas contratações por emergência ou calamidade pública, a vigência do contrato administrativo é de no máximo 1 (um) ano, contado da ocorrência da emergência, sendo expressamente vedada a prorrogação dos respectivos contratos e vedada a recontratação de empresa que tenha dado causa à emergência.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prorrogação de contrato emergencial é terminantemente proibida pela Lei 14.133/2021, inexistindo possibilidade de prorrogação decenal.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Se a empresa anterior deu causa culposa ou estrutural ao colapso, sua recontratação é expressamente proibida pelo art. 75, VIII.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natureza urgente e inadiável da calamidade pública repele audiências públicas prévias com prazos dilatados de 60 dias.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prazo de 180 dias era a regra da antiga Lei nº 8.666/1993; a NLLC inovou expressamente fixando o teto em até 1 ano improrrogável.</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4 (FCC - Procurador do Estado / Adaptada)</w:t>
      </w:r>
    </w:p>
    <w:p>
      <w:pPr>
        <w:spacing w:line="360" w:lineRule="auto" w:before="0" w:after="80"/>
        <w:jc w:val="both"/>
      </w:pPr>
      <w:r>
        <w:rPr>
          <w:rFonts w:ascii="Arial" w:hAnsi="Arial"/>
          <w:b w:val="0"/>
          <w:i w:val="0"/>
          <w:color w:val="111827"/>
          <w:sz w:val="24"/>
        </w:rPr>
        <w:t>O Governador do Estado autorizou a contratação direta, mediante invocação de Inexigibilidade de Licitação por notória especialização, de uma famosa agência de publicidade sediada em São Paulo para criar e veicular em rede nacional uma campanha de divulgação dos atrativos turísticos de Goiás, dispensando a realização de certame licitatório.</w:t>
      </w:r>
    </w:p>
    <w:p>
      <w:pPr>
        <w:spacing w:line="360" w:lineRule="auto" w:before="0" w:after="80"/>
        <w:jc w:val="both"/>
      </w:pPr>
      <w:r>
        <w:rPr>
          <w:rFonts w:ascii="Arial" w:hAnsi="Arial"/>
          <w:b w:val="0"/>
          <w:i w:val="0"/>
          <w:color w:val="111827"/>
          <w:sz w:val="24"/>
        </w:rPr>
        <w:t>Analisando a legalidade da contratação direta com base no regime da Lei Federal nº 14.133/2021:</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contratação é válida, pois agências de publicidade premiadas internacionalmente qualificam-se automaticamente como profissionais de notória especialização intelectual.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contratação padece de ilegalidade manifesta, haja vista que a Lei Federal nº 14.133/2021 veda expressamente a inexigibilidade de licitação para serviços de publicidade e divulgação.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inexigibilidade é lícita desde que o valor total da campanha não ultrapasse R$ 5 milhões.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publicidade institucional dispensa qualquer licitação sempre que visar a divulgação de turismo regional.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contratação direta deveria ter ocorrido sob a modalidade Diálogo Competitivo com chancela do Tribunal de Contas.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Embora a agência possua reputação e prêmios, a lei veda de forma absoluta a inexigibilidade para publicidade e propaganda.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art. 74, § 3º, da Lei nº 14.133/2021 estabelece taxativamente: </w:t>
            </w:r>
            <w:r>
              <w:rPr>
                <w:rFonts w:ascii="Arial" w:hAnsi="Arial"/>
                <w:b w:val="0"/>
                <w:i/>
                <w:color w:val="111827"/>
                <w:sz w:val="21"/>
              </w:rPr>
              <w:t>"É vedada a inexigibilidade de licitação para serviços de publicidade e divulgação."</w:t>
            </w:r>
            <w:r>
              <w:rPr>
                <w:rFonts w:ascii="Arial" w:hAnsi="Arial"/>
                <w:b w:val="0"/>
                <w:i w:val="0"/>
                <w:color w:val="111827"/>
                <w:sz w:val="21"/>
              </w:rPr>
              <w:t xml:space="preserve"> Tais serviços exigem compulsoriamente certame licitatório regulado pela Lei Federal nº 12.232/2010.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vedação é material e absoluta, não dependendo de teto ou valor da contratação.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Não existe hipótese de dispensa ou inexigibilidade genérica para publicidade governamental, ainda que de fomento ao turismo.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Diálogo Competitivo é modalidade licitatória destinada à inovação tecnológica e soluções complexas sem padrão de mercado, não se aplicando à veiculação ordinária de publicidade.</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Analista Judiciário)</w:t>
      </w:r>
    </w:p>
    <w:p>
      <w:pPr>
        <w:spacing w:line="360" w:lineRule="auto" w:before="0" w:after="80"/>
        <w:jc w:val="both"/>
      </w:pPr>
      <w:r>
        <w:rPr>
          <w:rFonts w:ascii="Arial" w:hAnsi="Arial"/>
          <w:b w:val="0"/>
          <w:i w:val="0"/>
          <w:color w:val="111827"/>
          <w:sz w:val="24"/>
        </w:rPr>
        <w:t>O Secretário de Saúde do Estado de Goiás necessita contratar serviços médicos ambulatoriais complementares de oftalmologia para zerar a fila de espera do SUS na região metropolitana de Goiânia. Como a demanda é muito superior à capacidade de atendimento de um único hospital privado, a pasta pretende credenciar todas as clínicas oftalmológicas que atendam aos requisitos técnicos estabelecidos em edital público permanente, fixando a remuneração por consulta e cirurgia conforme a tabela unificada do SUS, cabendo ao paciente a escolha do estabelecimento de sua preferência.</w:t>
      </w:r>
    </w:p>
    <w:p>
      <w:pPr>
        <w:spacing w:line="360" w:lineRule="auto" w:before="0" w:after="80"/>
        <w:jc w:val="both"/>
      </w:pPr>
      <w:r>
        <w:rPr>
          <w:rFonts w:ascii="Arial" w:hAnsi="Arial"/>
          <w:b w:val="0"/>
          <w:i w:val="0"/>
          <w:color w:val="111827"/>
          <w:sz w:val="24"/>
        </w:rPr>
        <w:t>A sistemática adotada pela Secretaria de Saúde qualifica-se como: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Concorrência Internacional com critério de técnica e preço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Credenciamento, procedimento auxiliar caracterizado pelo chamamento público aberto com remuneração pré-fixada e contratação paralela não excludente a critério de terceiros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Dispensa de licitação por fracionamento contínuo de despesa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Sistema de Registro de Preços para contratação em lote fechado exclusivo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Leilão invertido com disputa de lances decrescentes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concorrência visa selecionar uma proposta vencedora excludente, enquanto no credenciamento todos os que preenchem as condições são contratados.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Configura fielmente o procedimento auxiliar de Credenciamento previsto nos arts. 78, I, e 79 da Lei nº 14.133/2021. Trata-se de hipótese paralela e não excludente com seleção a critério de terceiros (o usuário final do SUS escolhe o prestador) com remuneração tabelada e uniforme previamente fixada pelo Poder Público.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credenciamento é procedimento legal e plenamente legítimo, não se confundindo com burla ou fracionamento indevido de dispensa.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SRP destina-se ao registro de preços unitários para aquisições parceladas futuras mediante seleção concorrencial do menor preço, e não credenciamento de todos os interessados sob tabela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leilão destina-se à alienação de bens públicos para o maior lance.</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04 - Contratos Administrativos: Execução, Alterações, Equilíbrio e Sanções (Lei 14.133/2021)</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Licitações e Contratos Administrativos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04_contratos_administrativos_fiscalizacao_alteracoes_e_sancoes.md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Oficial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Contratos administrativos: conceito, características, formalização e cláusulas exorbitantes.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Garantias contratuais (caução, fiança bancária e seguro-garantia com cláusula de retomada / </w:t>
      </w:r>
      <w:r>
        <w:rPr>
          <w:rFonts w:ascii="Arial" w:hAnsi="Arial"/>
          <w:b w:val="0"/>
          <w:i/>
          <w:color w:val="111827"/>
          <w:sz w:val="22"/>
        </w:rPr>
        <w:t>step-in rights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Duração dos contratos administrativos: prazos de vigência ordinários e contratações contínuas (até 5 anos, prorrogáveis até 10 anos).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Gestão e fiscalização contratual: atribuições do gestor e fiscais (técnico, administrativo e setorial).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Responsabilidade trabalhista da Administração Pública e Tema 246 do STF (ADC 16 - comprovação de culpa </w:t>
      </w:r>
      <w:r>
        <w:rPr>
          <w:rFonts w:ascii="Arial" w:hAnsi="Arial"/>
          <w:b w:val="0"/>
          <w:i/>
          <w:color w:val="111827"/>
          <w:sz w:val="22"/>
        </w:rPr>
        <w:t>in vigilando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Recebimento provisório e definitivo do objeto.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Alterações contratuais unilaterais e consensuais: limites de 25% e 50%.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Equilíbrio econômico-financeiro: reajuste por índice, repactuação e revisão/reequilíbrio (</w:t>
      </w:r>
      <w:r>
        <w:rPr>
          <w:rFonts w:ascii="Arial" w:hAnsi="Arial"/>
          <w:b w:val="0"/>
          <w:i/>
          <w:color w:val="111827"/>
          <w:sz w:val="22"/>
        </w:rPr>
        <w:t>álea</w:t>
      </w:r>
      <w:r>
        <w:rPr>
          <w:rFonts w:ascii="Arial" w:hAnsi="Arial"/>
          <w:b w:val="0"/>
          <w:i w:val="0"/>
          <w:color w:val="111827"/>
          <w:sz w:val="22"/>
        </w:rPr>
        <w:t xml:space="preserve"> extraordinária).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Sanções administrativas: advertência, multa, impedimento de licitar e declaração de inidoneidade.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Processo administrativo sancionador e reabilitação.</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1B365D"/>
          <w:sz w:val="22"/>
        </w:rPr>
        <w:t xml:space="preserve">1. </w:t>
      </w:r>
      <w:r>
        <w:rPr>
          <w:rFonts w:ascii="Arial" w:hAnsi="Arial"/>
          <w:color w:val="2B6CB0"/>
          <w:sz w:val="22"/>
          <w:u w:val="single"/>
        </w:rPr>
        <w:t>Conceito, Características e Cláusulas Exorbitantes dos Contratos Administrativos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1.1 </w:t>
      </w:r>
      <w:r>
        <w:rPr>
          <w:rFonts w:ascii="Arial" w:hAnsi="Arial"/>
          <w:color w:val="2B6CB0"/>
          <w:sz w:val="22"/>
          <w:u w:val="single"/>
        </w:rPr>
        <w:t>Características Fundamentais e Formalização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1.2 </w:t>
      </w:r>
      <w:r>
        <w:rPr>
          <w:rFonts w:ascii="Arial" w:hAnsi="Arial"/>
          <w:color w:val="2B6CB0"/>
          <w:sz w:val="22"/>
          <w:u w:val="single"/>
        </w:rPr>
        <w:t>Cláusulas Exorbitantes e Restrição à Exceção do Contrato Não Cumprido</w:t>
      </w:r>
    </w:p>
    <w:p>
      <w:pPr>
        <w:spacing w:line="276" w:lineRule="auto" w:before="20" w:after="40"/>
        <w:ind w:left="425"/>
      </w:pPr>
      <w:r>
        <w:rPr>
          <w:rFonts w:ascii="Arial" w:hAnsi="Arial"/>
          <w:b/>
          <w:color w:val="1B365D"/>
          <w:sz w:val="22"/>
        </w:rPr>
        <w:t xml:space="preserve">2. </w:t>
      </w:r>
      <w:r>
        <w:rPr>
          <w:rFonts w:ascii="Arial" w:hAnsi="Arial"/>
          <w:color w:val="2B6CB0"/>
          <w:sz w:val="22"/>
          <w:u w:val="single"/>
        </w:rPr>
        <w:t>Garantias Contratuais e Seguro-Garantia com Cláusula de Retomada (Step-in Rights)</w:t>
      </w:r>
    </w:p>
    <w:p>
      <w:pPr>
        <w:spacing w:line="276" w:lineRule="auto" w:before="20" w:after="40"/>
        <w:ind w:left="425"/>
      </w:pPr>
      <w:r>
        <w:rPr>
          <w:rFonts w:ascii="Arial" w:hAnsi="Arial"/>
          <w:b/>
          <w:color w:val="1B365D"/>
          <w:sz w:val="22"/>
        </w:rPr>
        <w:t xml:space="preserve">3. </w:t>
      </w:r>
      <w:r>
        <w:rPr>
          <w:rFonts w:ascii="Arial" w:hAnsi="Arial"/>
          <w:color w:val="2B6CB0"/>
          <w:sz w:val="22"/>
          <w:u w:val="single"/>
        </w:rPr>
        <w:t>Duração e Prorrogação dos Contratos Administrativos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3.1 </w:t>
      </w:r>
      <w:r>
        <w:rPr>
          <w:rFonts w:ascii="Arial" w:hAnsi="Arial"/>
          <w:color w:val="2B6CB0"/>
          <w:sz w:val="22"/>
          <w:u w:val="single"/>
        </w:rPr>
        <w:t>Serviços e Fornecimentos Contínuos (Regra 5 + 5 = Até 10 Anos)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3.2 </w:t>
      </w:r>
      <w:r>
        <w:rPr>
          <w:rFonts w:ascii="Arial" w:hAnsi="Arial"/>
          <w:color w:val="2B6CB0"/>
          <w:sz w:val="22"/>
          <w:u w:val="single"/>
        </w:rPr>
        <w:t>Contratos por Escopo</w:t>
      </w:r>
    </w:p>
    <w:p>
      <w:pPr>
        <w:spacing w:line="276" w:lineRule="auto" w:before="20" w:after="40"/>
        <w:ind w:left="425"/>
      </w:pPr>
      <w:r>
        <w:rPr>
          <w:rFonts w:ascii="Arial" w:hAnsi="Arial"/>
          <w:b/>
          <w:color w:val="1B365D"/>
          <w:sz w:val="22"/>
        </w:rPr>
        <w:t xml:space="preserve">4. </w:t>
      </w:r>
      <w:r>
        <w:rPr>
          <w:rFonts w:ascii="Arial" w:hAnsi="Arial"/>
          <w:color w:val="2B6CB0"/>
          <w:sz w:val="22"/>
          <w:u w:val="single"/>
        </w:rPr>
        <w:t>Gestão, Fiscalização e Responsabilidade Trabalhista do Estado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4.1 </w:t>
      </w:r>
      <w:r>
        <w:rPr>
          <w:rFonts w:ascii="Arial" w:hAnsi="Arial"/>
          <w:color w:val="2B6CB0"/>
          <w:sz w:val="22"/>
          <w:u w:val="single"/>
        </w:rPr>
        <w:t>Estrutura de Gestão e Fiscalização Contratual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4.2 </w:t>
      </w:r>
      <w:r>
        <w:rPr>
          <w:rFonts w:ascii="Arial" w:hAnsi="Arial"/>
          <w:color w:val="2B6CB0"/>
          <w:sz w:val="22"/>
          <w:u w:val="single"/>
        </w:rPr>
        <w:t>Responsabilidade Trabalhista e Previdenciária: O Tema 246 do STF</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4.3 </w:t>
      </w:r>
      <w:r>
        <w:rPr>
          <w:rFonts w:ascii="Arial" w:hAnsi="Arial"/>
          <w:color w:val="2B6CB0"/>
          <w:sz w:val="22"/>
          <w:u w:val="single"/>
        </w:rPr>
        <w:t>Recebimento Provisório e Definitivo do Objeto</w:t>
      </w:r>
    </w:p>
    <w:p>
      <w:pPr>
        <w:spacing w:line="276" w:lineRule="auto" w:before="20" w:after="40"/>
        <w:ind w:left="425"/>
      </w:pPr>
      <w:r>
        <w:rPr>
          <w:rFonts w:ascii="Arial" w:hAnsi="Arial"/>
          <w:b/>
          <w:color w:val="1B365D"/>
          <w:sz w:val="22"/>
        </w:rPr>
        <w:t xml:space="preserve">5. </w:t>
      </w:r>
      <w:r>
        <w:rPr>
          <w:rFonts w:ascii="Arial" w:hAnsi="Arial"/>
          <w:color w:val="2B6CB0"/>
          <w:sz w:val="22"/>
          <w:u w:val="single"/>
        </w:rPr>
        <w:t>Alterações Contratuais e Manutenção do Equilíbrio Econômico-Financeiro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5.1 </w:t>
      </w:r>
      <w:r>
        <w:rPr>
          <w:rFonts w:ascii="Arial" w:hAnsi="Arial"/>
          <w:color w:val="2B6CB0"/>
          <w:sz w:val="22"/>
          <w:u w:val="single"/>
        </w:rPr>
        <w:t>Alterações Unilaterais e Consensuais: Limites de 25% e 50%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5.2 </w:t>
      </w:r>
      <w:r>
        <w:rPr>
          <w:rFonts w:ascii="Arial" w:hAnsi="Arial"/>
          <w:color w:val="2B6CB0"/>
          <w:sz w:val="22"/>
          <w:u w:val="single"/>
        </w:rPr>
        <w:t>Instrumentos de Recomposição: Reajuste, Repactuação e Revisão</w:t>
      </w:r>
    </w:p>
    <w:p>
      <w:pPr>
        <w:spacing w:line="276" w:lineRule="auto" w:before="20" w:after="40"/>
        <w:ind w:left="425"/>
      </w:pPr>
      <w:r>
        <w:rPr>
          <w:rFonts w:ascii="Arial" w:hAnsi="Arial"/>
          <w:b/>
          <w:color w:val="1B365D"/>
          <w:sz w:val="22"/>
        </w:rPr>
        <w:t xml:space="preserve">6. </w:t>
      </w:r>
      <w:r>
        <w:rPr>
          <w:rFonts w:ascii="Arial" w:hAnsi="Arial"/>
          <w:color w:val="2B6CB0"/>
          <w:sz w:val="22"/>
          <w:u w:val="single"/>
        </w:rPr>
        <w:t>Infrações, Sistema Sancionador e Processo de Reabilitação</w:t>
      </w:r>
    </w:p>
    <w:p>
      <w:pPr>
        <w:spacing w:line="276" w:lineRule="auto" w:before="20" w:after="40"/>
        <w:ind w:left="425"/>
      </w:pPr>
      <w:r>
        <w:rPr>
          <w:rFonts w:ascii="Arial" w:hAnsi="Arial"/>
          <w:b/>
          <w:color w:val="1B365D"/>
          <w:sz w:val="22"/>
        </w:rPr>
        <w:t xml:space="preserve">7. </w:t>
      </w:r>
      <w:r>
        <w:rPr>
          <w:rFonts w:ascii="Arial" w:hAnsi="Arial"/>
          <w:color w:val="2B6CB0"/>
          <w:sz w:val="22"/>
          <w:u w:val="single"/>
        </w:rPr>
        <w:t>Fontes Recomendadas na Internet</w:t>
      </w:r>
    </w:p>
    <w:p>
      <w:pPr>
        <w:spacing w:line="276" w:lineRule="auto" w:before="20" w:after="40"/>
        <w:ind w:left="425"/>
      </w:pPr>
      <w:r>
        <w:rPr>
          <w:rFonts w:ascii="Arial" w:hAnsi="Arial"/>
          <w:b/>
          <w:color w:val="1B365D"/>
          <w:sz w:val="22"/>
        </w:rPr>
        <w:t xml:space="preserve">8. </w:t>
      </w:r>
      <w:r>
        <w:rPr>
          <w:rFonts w:ascii="Arial" w:hAnsi="Arial"/>
          <w:color w:val="2B6CB0"/>
          <w:sz w:val="22"/>
          <w:u w:val="single"/>
        </w:rPr>
        <w:t>Questões Comentadas no Padrão FCC (Justificadas de A a E)</w:t>
      </w:r>
    </w:p>
    <w:p>
      <w:pPr>
        <w:keepNext/>
        <w:spacing w:before="280" w:after="120"/>
      </w:pPr>
      <w:r>
        <w:rPr>
          <w:rFonts w:ascii="Arial" w:hAnsi="Arial"/>
          <w:b/>
          <w:i w:val="0"/>
          <w:color w:val="2C5282"/>
          <w:sz w:val="28"/>
        </w:rPr>
        <w:t>📖 Teoria Aprofundada e Pontos Críticos</w:t>
      </w:r>
    </w:p>
    <w:p>
      <w:pPr>
        <w:keepNext/>
        <w:spacing w:before="200" w:after="80"/>
      </w:pPr>
      <w:r>
        <w:rPr>
          <w:rFonts w:ascii="Arial" w:hAnsi="Arial"/>
          <w:b/>
          <w:i w:val="0"/>
          <w:color w:val="2B6CB0"/>
          <w:sz w:val="24"/>
        </w:rPr>
        <w:t>1. Conceito, Características e Cláusulas Exorbitantes dos Contratos Administrativos</w:t>
      </w:r>
    </w:p>
    <w:p>
      <w:pPr>
        <w:spacing w:line="360" w:lineRule="auto" w:before="0" w:after="80"/>
        <w:jc w:val="both"/>
      </w:pPr>
      <w:r>
        <w:rPr>
          <w:rFonts w:ascii="Arial" w:hAnsi="Arial"/>
          <w:b w:val="0"/>
          <w:i w:val="0"/>
          <w:color w:val="111827"/>
          <w:sz w:val="24"/>
        </w:rPr>
        <w:t>O contrato administrativo é o ajuste bilateral de vontades celebrado entre a Administração Pública (atuando nessa qualidade revestida do regime de direito público) e o particular ou outra entidade pública, tendo por objetivo a consecução de uma utilidade de interesse público, sob condições reguladas pela legislação e pelo instrumento convocatório.</w:t>
      </w:r>
    </w:p>
    <w:p>
      <w:pPr>
        <w:keepNext/>
        <w:spacing w:before="120" w:after="40"/>
      </w:pPr>
      <w:r>
        <w:rPr>
          <w:rFonts w:ascii="Arial" w:hAnsi="Arial"/>
          <w:b/>
          <w:i/>
          <w:color w:val="334155"/>
          <w:sz w:val="22"/>
        </w:rPr>
        <w:t>1.1 Características Fundamentais e Formalização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Consensual:</w:t>
      </w:r>
      <w:r>
        <w:rPr>
          <w:rFonts w:ascii="Arial" w:hAnsi="Arial"/>
          <w:b w:val="0"/>
          <w:i w:val="0"/>
          <w:color w:val="111827"/>
          <w:sz w:val="22"/>
        </w:rPr>
        <w:t xml:space="preserve"> Aperfeiçoa-se com o consentimento mútuo manifestado na assinatura do ajuste, não dependendo da entrega física imediata da coisa para sua existência.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Formal:</w:t>
      </w:r>
      <w:r>
        <w:rPr>
          <w:rFonts w:ascii="Arial" w:hAnsi="Arial"/>
          <w:b w:val="0"/>
          <w:i w:val="0"/>
          <w:color w:val="111827"/>
          <w:sz w:val="22"/>
        </w:rPr>
        <w:t xml:space="preserve"> A forma escrita é solene e obrigatória. O art. 95 da Lei nº 14.133/2021 estabelece que o instrumento de contrato é obrigatório, admitindo sua substituição por outros instrumentos hábeis (carta-contrato, nota de empenho de despesa, autorização de compra ou ordem de execução de serviço) apenas em dispensas de pequeno valor ou compras com entrega imediata e integral sem obrigações futuras. É nulo e de nenhum efeito o contrato verbal com a Administração, ressalvadas pequenas compras de pronto pagamento feitas em regime de adiantamento (suprimento de fundos) de valor irrisório.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Bilateral (ou Sinalagmático):</w:t>
      </w:r>
      <w:r>
        <w:rPr>
          <w:rFonts w:ascii="Arial" w:hAnsi="Arial"/>
          <w:b w:val="0"/>
          <w:i w:val="0"/>
          <w:color w:val="111827"/>
          <w:sz w:val="22"/>
        </w:rPr>
        <w:t xml:space="preserve"> Gera direitos e obrigações recíprocas e interdependentes para ambas as partes.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Oneroso:</w:t>
      </w:r>
      <w:r>
        <w:rPr>
          <w:rFonts w:ascii="Arial" w:hAnsi="Arial"/>
          <w:b w:val="0"/>
          <w:i w:val="0"/>
          <w:color w:val="111827"/>
          <w:sz w:val="22"/>
        </w:rPr>
        <w:t xml:space="preserve"> Impõe sacrifício patrimonial proporcional a ambas as partes contratantes.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Comutativo:</w:t>
      </w:r>
      <w:r>
        <w:rPr>
          <w:rFonts w:ascii="Arial" w:hAnsi="Arial"/>
          <w:b w:val="0"/>
          <w:i w:val="0"/>
          <w:color w:val="111827"/>
          <w:sz w:val="22"/>
        </w:rPr>
        <w:t xml:space="preserve"> As prestações das partes são certas, conhecidas e tidas como equivalentes no momento da pactuação original.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**Personalíssimo (</w:t>
      </w:r>
      <w:r>
        <w:rPr>
          <w:rFonts w:ascii="Arial" w:hAnsi="Arial"/>
          <w:b w:val="0"/>
          <w:i/>
          <w:color w:val="111827"/>
          <w:sz w:val="22"/>
        </w:rPr>
        <w:t>intuitu personae</w:t>
      </w:r>
      <w:r>
        <w:rPr>
          <w:rFonts w:ascii="Arial" w:hAnsi="Arial"/>
          <w:b w:val="0"/>
          <w:i w:val="0"/>
          <w:color w:val="111827"/>
          <w:sz w:val="22"/>
        </w:rPr>
        <w:t>):** Celebrado em função das qualidades subjetivas e habilitações demonstradas pelo licitante vencedor no certame, limitando-se a subcontratação às estritas balizas do edital e com prévia anuência da Administração.</w:t>
      </w:r>
    </w:p>
    <w:p>
      <w:pPr>
        <w:keepNext/>
        <w:spacing w:before="120" w:after="40"/>
      </w:pPr>
      <w:r>
        <w:rPr>
          <w:rFonts w:ascii="Arial" w:hAnsi="Arial"/>
          <w:b/>
          <w:i/>
          <w:color w:val="334155"/>
          <w:sz w:val="22"/>
        </w:rPr>
        <w:t>1.2 Cláusulas Exorbitantes e Restrição à Exceção do Contrato Não Cumprido</w:t>
      </w:r>
    </w:p>
    <w:p>
      <w:pPr>
        <w:spacing w:line="360" w:lineRule="auto" w:before="0" w:after="80"/>
        <w:jc w:val="both"/>
      </w:pPr>
      <w:r>
        <w:rPr>
          <w:rFonts w:ascii="Arial" w:hAnsi="Arial"/>
          <w:b w:val="0"/>
          <w:i w:val="0"/>
          <w:color w:val="111827"/>
          <w:sz w:val="24"/>
        </w:rPr>
        <w:t>As cláusulas exorbitantes (art. 104 da Lei nº 14.133/2021) conferem prerrogativas extraordinárias que extrapolam o direito privado comum, justificadas pela supremacia do interesse público sobre o privado: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Modificação unilateral do contrato:</w:t>
      </w:r>
      <w:r>
        <w:rPr>
          <w:rFonts w:ascii="Arial" w:hAnsi="Arial"/>
          <w:b w:val="0"/>
          <w:i w:val="0"/>
          <w:color w:val="111827"/>
          <w:sz w:val="22"/>
        </w:rPr>
        <w:t xml:space="preserve"> A Administração pode alterar qualitativa ou quantitativamente as cláusulas de serviço para melhor adequação técnica ao interesse público;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Extinção unilateral do contrato:</w:t>
      </w:r>
      <w:r>
        <w:rPr>
          <w:rFonts w:ascii="Arial" w:hAnsi="Arial"/>
          <w:b w:val="0"/>
          <w:i w:val="0"/>
          <w:color w:val="111827"/>
          <w:sz w:val="22"/>
        </w:rPr>
        <w:t xml:space="preserve"> Rescisão decorrente de inadimplemento do contratado ou por razões de interesse público de alta relevância;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Fiscalização contínua da execução:</w:t>
      </w:r>
      <w:r>
        <w:rPr>
          <w:rFonts w:ascii="Arial" w:hAnsi="Arial"/>
          <w:b w:val="0"/>
          <w:i w:val="0"/>
          <w:color w:val="111827"/>
          <w:sz w:val="22"/>
        </w:rPr>
        <w:t xml:space="preserve"> Acompanhamento técnico, administrativo e financeiro pelo Poder Público;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Aplicação direta de sanções administrativas:</w:t>
      </w:r>
      <w:r>
        <w:rPr>
          <w:rFonts w:ascii="Arial" w:hAnsi="Arial"/>
          <w:b w:val="0"/>
          <w:i w:val="0"/>
          <w:color w:val="111827"/>
          <w:sz w:val="22"/>
        </w:rPr>
        <w:t xml:space="preserve"> Imposição de sanções pelo próprio órgão contratante sem necessidade de intervenção prévia do Poder Judiciário;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Ocupação provisória de bens e serviços:</w:t>
      </w:r>
      <w:r>
        <w:rPr>
          <w:rFonts w:ascii="Arial" w:hAnsi="Arial"/>
          <w:b w:val="0"/>
          <w:i w:val="0"/>
          <w:color w:val="111827"/>
          <w:sz w:val="22"/>
        </w:rPr>
        <w:t xml:space="preserve"> Utilização de bens móveis, imóveis e pessoal do contratado necessários à continuidade de serviços públicos essenciais paralisados;</w:t>
      </w:r>
    </w:p>
    <w:p>
      <w:pPr>
        <w:spacing w:line="276" w:lineRule="auto" w:before="20" w:after="40"/>
        <w:ind w:left="425"/>
      </w:pPr>
      <w:r>
        <w:rPr>
          <w:rFonts w:ascii="Arial" w:hAnsi="Arial"/>
          <w:b/>
          <w:color w:val="1B365D"/>
          <w:sz w:val="22"/>
        </w:rPr>
        <w:t xml:space="preserve">6. </w:t>
      </w:r>
      <w:r>
        <w:rPr>
          <w:rFonts w:ascii="Arial" w:hAnsi="Arial"/>
          <w:b w:val="0"/>
          <w:i w:val="0"/>
          <w:color w:val="111827"/>
          <w:sz w:val="22"/>
        </w:rPr>
        <w:t xml:space="preserve">**Atenuação da </w:t>
      </w:r>
      <w:r>
        <w:rPr>
          <w:rFonts w:ascii="Arial" w:hAnsi="Arial"/>
          <w:b w:val="0"/>
          <w:i/>
          <w:color w:val="111827"/>
          <w:sz w:val="22"/>
        </w:rPr>
        <w:t>Exceptio Non Adimpleti Contractus</w:t>
      </w:r>
      <w:r>
        <w:rPr>
          <w:rFonts w:ascii="Arial" w:hAnsi="Arial"/>
          <w:b w:val="0"/>
          <w:i w:val="0"/>
          <w:color w:val="111827"/>
          <w:sz w:val="22"/>
        </w:rPr>
        <w:t xml:space="preserve"> (Exceção do Contrato Não Cumprido):**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No direito civil comum, se um contratante deixa de pagar, o outro pode imediatamente paralisar suas atividades contratuais.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No regime jurídico-administrativo, em virtude do </w:t>
      </w:r>
      <w:r>
        <w:rPr>
          <w:rFonts w:ascii="Arial" w:hAnsi="Arial"/>
          <w:b/>
          <w:i w:val="0"/>
          <w:color w:val="111827"/>
          <w:sz w:val="22"/>
        </w:rPr>
        <w:t>princípio da continuidade do serviço público</w:t>
      </w:r>
      <w:r>
        <w:rPr>
          <w:rFonts w:ascii="Arial" w:hAnsi="Arial"/>
          <w:b w:val="0"/>
          <w:i w:val="0"/>
          <w:color w:val="111827"/>
          <w:sz w:val="22"/>
        </w:rPr>
        <w:t xml:space="preserve">, o contratado </w:t>
      </w:r>
      <w:r>
        <w:rPr>
          <w:rFonts w:ascii="Arial" w:hAnsi="Arial"/>
          <w:b/>
          <w:i w:val="0"/>
          <w:color w:val="111827"/>
          <w:sz w:val="22"/>
        </w:rPr>
        <w:t>não pode paralisar imediatamente</w:t>
      </w:r>
      <w:r>
        <w:rPr>
          <w:rFonts w:ascii="Arial" w:hAnsi="Arial"/>
          <w:b w:val="0"/>
          <w:i w:val="0"/>
          <w:color w:val="111827"/>
          <w:sz w:val="22"/>
        </w:rPr>
        <w:t xml:space="preserve"> as obras ou serviços em caso de inadimplemento financeiro do Estado.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Pelo art. 137, § 2º, inciso IV, da Lei nº 14.133/2021, o particular é obrigado a continuar executando o contrato até o limite de </w:t>
      </w:r>
      <w:r>
        <w:rPr>
          <w:rFonts w:ascii="Arial" w:hAnsi="Arial"/>
          <w:b/>
          <w:i w:val="0"/>
          <w:color w:val="111827"/>
          <w:sz w:val="22"/>
        </w:rPr>
        <w:t>2 (dois) meses de atraso ininterrupto</w:t>
      </w:r>
      <w:r>
        <w:rPr>
          <w:rFonts w:ascii="Arial" w:hAnsi="Arial"/>
          <w:b w:val="0"/>
          <w:i w:val="0"/>
          <w:color w:val="111827"/>
          <w:sz w:val="22"/>
        </w:rPr>
        <w:t xml:space="preserve"> nos pagamentos devidos pela Administração Pública. Somente após transcorridos 2 meses contínuos de inadimplemento é que assiste ao particular o direito de suspender a execução de suas obrigações ou requerer a extinção do contrato.</w:t>
      </w:r>
    </w:p>
    <w:p>
      <w:pPr>
        <w:spacing w:after="120"/>
      </w:pPr>
    </w:p>
    <w:p>
      <w:pPr>
        <w:keepNext/>
        <w:spacing w:before="200" w:after="80"/>
      </w:pPr>
      <w:r>
        <w:rPr>
          <w:rFonts w:ascii="Arial" w:hAnsi="Arial"/>
          <w:b/>
          <w:i w:val="0"/>
          <w:color w:val="2B6CB0"/>
          <w:sz w:val="24"/>
        </w:rPr>
        <w:t>2. Garantias Contratuais e Seguro-Garantia com Cláusula de Retomada (Step-in Rights)</w:t>
      </w:r>
    </w:p>
    <w:p>
      <w:pPr>
        <w:spacing w:line="360" w:lineRule="auto" w:before="0" w:after="80"/>
        <w:jc w:val="both"/>
      </w:pPr>
      <w:r>
        <w:rPr>
          <w:rFonts w:ascii="Arial" w:hAnsi="Arial"/>
          <w:b w:val="0"/>
          <w:i w:val="0"/>
          <w:color w:val="111827"/>
          <w:sz w:val="24"/>
        </w:rPr>
        <w:t xml:space="preserve">A critério da autoridade competente, em cada contratação a Administração pode exigir do contratado a prestação de garantia (art. 96). Caberá ao </w:t>
      </w:r>
      <w:r>
        <w:rPr>
          <w:rFonts w:ascii="Arial" w:hAnsi="Arial"/>
          <w:b/>
          <w:i w:val="0"/>
          <w:color w:val="111827"/>
          <w:sz w:val="24"/>
        </w:rPr>
        <w:t>contratado optar</w:t>
      </w:r>
      <w:r>
        <w:rPr>
          <w:rFonts w:ascii="Arial" w:hAnsi="Arial"/>
          <w:b w:val="0"/>
          <w:i w:val="0"/>
          <w:color w:val="111827"/>
          <w:sz w:val="24"/>
        </w:rPr>
        <w:t xml:space="preserve"> por uma das seguintes modalidades: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Caução em dinheiro ou em títulos da dívida pública;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Fiança bancária</w:t>
      </w:r>
      <w:r>
        <w:rPr>
          <w:rFonts w:ascii="Arial" w:hAnsi="Arial"/>
          <w:b w:val="0"/>
          <w:i w:val="0"/>
          <w:color w:val="111827"/>
          <w:sz w:val="22"/>
        </w:rPr>
        <w:t xml:space="preserve"> emitida por banco ou instituição financeira autorizada pelo Banco Central;</w:t>
      </w:r>
    </w:p>
    <w:p>
      <w:pPr>
        <w:spacing w:line="276" w:lineRule="auto" w:before="20" w:after="40"/>
        <w:ind w:left="425"/>
      </w:pPr>
      <w:r>
        <w:rPr>
          <w:rFonts w:ascii="Arial" w:hAnsi="Arial"/>
          <w:b/>
          <w:color w:val="1B365D"/>
          <w:sz w:val="22"/>
        </w:rPr>
        <w:t xml:space="preserve">3. </w:t>
      </w:r>
      <w:r>
        <w:rPr>
          <w:rFonts w:ascii="Arial" w:hAnsi="Arial"/>
          <w:b/>
          <w:i w:val="0"/>
          <w:color w:val="111827"/>
          <w:sz w:val="22"/>
        </w:rPr>
        <w:t>Seguro-garantia</w:t>
      </w:r>
      <w:r>
        <w:rPr>
          <w:rFonts w:ascii="Arial" w:hAnsi="Arial"/>
          <w:b w:val="0"/>
          <w:i w:val="0"/>
          <w:color w:val="111827"/>
          <w:sz w:val="22"/>
        </w:rPr>
        <w:t xml:space="preserve"> emitido por seguradora autorizada pela SUSEP.</w:t>
      </w:r>
    </w:p>
    <w:p>
      <w:pPr>
        <w:spacing w:line="360" w:lineRule="auto" w:before="0" w:after="80"/>
        <w:jc w:val="both"/>
      </w:pPr>
      <w:r>
        <w:rPr>
          <w:rFonts w:ascii="Arial" w:hAnsi="Arial"/>
          <w:b/>
          <w:i w:val="0"/>
          <w:color w:val="111827"/>
          <w:sz w:val="24"/>
        </w:rPr>
        <w:t>Limites Ordinários de Garantia: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Regra Geral:</w:t>
      </w:r>
      <w:r>
        <w:rPr>
          <w:rFonts w:ascii="Arial" w:hAnsi="Arial"/>
          <w:b w:val="0"/>
          <w:i w:val="0"/>
          <w:color w:val="111827"/>
          <w:sz w:val="22"/>
        </w:rPr>
        <w:t xml:space="preserve"> O percentual de garantia contratual será de até </w:t>
      </w:r>
      <w:r>
        <w:rPr>
          <w:rFonts w:ascii="Arial" w:hAnsi="Arial"/>
          <w:b/>
          <w:i w:val="0"/>
          <w:color w:val="111827"/>
          <w:sz w:val="22"/>
        </w:rPr>
        <w:t>5% (cinco por cento)</w:t>
      </w:r>
      <w:r>
        <w:rPr>
          <w:rFonts w:ascii="Arial" w:hAnsi="Arial"/>
          <w:b w:val="0"/>
          <w:i w:val="0"/>
          <w:color w:val="111827"/>
          <w:sz w:val="22"/>
        </w:rPr>
        <w:t xml:space="preserve"> do valor inicial do contrato (art. 98).</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Contratos de Alta Complexidade Técnica ou Riscos Elevados:</w:t>
      </w:r>
      <w:r>
        <w:rPr>
          <w:rFonts w:ascii="Arial" w:hAnsi="Arial"/>
          <w:b w:val="0"/>
          <w:i w:val="0"/>
          <w:color w:val="111827"/>
          <w:sz w:val="22"/>
        </w:rPr>
        <w:t xml:space="preserve"> A garantia pode ser fixada em até </w:t>
      </w:r>
      <w:r>
        <w:rPr>
          <w:rFonts w:ascii="Arial" w:hAnsi="Arial"/>
          <w:b/>
          <w:i w:val="0"/>
          <w:color w:val="111827"/>
          <w:sz w:val="22"/>
        </w:rPr>
        <w:t>10% (dez por cento)</w:t>
      </w:r>
      <w:r>
        <w:rPr>
          <w:rFonts w:ascii="Arial" w:hAnsi="Arial"/>
          <w:b w:val="0"/>
          <w:i w:val="0"/>
          <w:color w:val="111827"/>
          <w:sz w:val="22"/>
        </w:rPr>
        <w:t xml:space="preserve"> do valor do contrato, desde que expressamente motivada na fase preparatória (art. 98, § 1º).</w:t>
      </w:r>
    </w:p>
    <w:p>
      <w:pPr>
        <w:keepNext/>
        <w:spacing w:before="120" w:after="40"/>
      </w:pPr>
      <w:r>
        <w:rPr>
          <w:rFonts w:ascii="Arial" w:hAnsi="Arial"/>
          <w:b/>
          <w:i/>
          <w:color w:val="334155"/>
          <w:sz w:val="22"/>
        </w:rPr>
        <w:t>Seguro-Garantia com Cláusula de Retomada (</w:t>
      </w:r>
      <w:r>
        <w:rPr>
          <w:rFonts w:ascii="Arial" w:hAnsi="Arial"/>
          <w:b/>
          <w:i/>
          <w:color w:val="334155"/>
          <w:sz w:val="22"/>
        </w:rPr>
        <w:t>Step-in Rights</w:t>
      </w:r>
      <w:r>
        <w:rPr>
          <w:rFonts w:ascii="Arial" w:hAnsi="Arial"/>
          <w:b/>
          <w:i/>
          <w:color w:val="334155"/>
          <w:sz w:val="22"/>
        </w:rPr>
        <w:t xml:space="preserve"> - Art. 102)</w:t>
      </w:r>
    </w:p>
    <w:p>
      <w:pPr>
        <w:spacing w:line="360" w:lineRule="auto" w:before="0" w:after="80"/>
        <w:jc w:val="both"/>
      </w:pPr>
      <w:r>
        <w:rPr>
          <w:rFonts w:ascii="Arial" w:hAnsi="Arial"/>
          <w:b w:val="0"/>
          <w:i w:val="0"/>
          <w:color w:val="111827"/>
          <w:sz w:val="24"/>
        </w:rPr>
        <w:t>Para combater o problema crônico nacional de paralisação e abandono de obras públicas, a Nova Lei de Licitações introduziu uma inovação profunda inspirada no modelo norte-americano (</w:t>
      </w:r>
      <w:r>
        <w:rPr>
          <w:rFonts w:ascii="Arial" w:hAnsi="Arial"/>
          <w:b w:val="0"/>
          <w:i/>
          <w:color w:val="111827"/>
          <w:sz w:val="24"/>
        </w:rPr>
        <w:t>performance bond</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Em contratações de obras e serviços de engenharia de </w:t>
      </w:r>
      <w:r>
        <w:rPr>
          <w:rFonts w:ascii="Arial" w:hAnsi="Arial"/>
          <w:b/>
          <w:i w:val="0"/>
          <w:color w:val="111827"/>
          <w:sz w:val="22"/>
        </w:rPr>
        <w:t>grande vulto</w:t>
      </w:r>
      <w:r>
        <w:rPr>
          <w:rFonts w:ascii="Arial" w:hAnsi="Arial"/>
          <w:b w:val="0"/>
          <w:i w:val="0"/>
          <w:color w:val="111827"/>
          <w:sz w:val="22"/>
        </w:rPr>
        <w:t xml:space="preserve"> (valor superior a R$ 200 milhões na edição da lei, atualizado anualmente), o edital pode prever a obrigatoriedade de seguro-garantia com previsão expressa de </w:t>
      </w:r>
      <w:r>
        <w:rPr>
          <w:rFonts w:ascii="Arial" w:hAnsi="Arial"/>
          <w:b/>
          <w:i w:val="0"/>
          <w:color w:val="111827"/>
          <w:sz w:val="22"/>
        </w:rPr>
        <w:t>cláusula de retomada</w:t>
      </w:r>
      <w:r>
        <w:rPr>
          <w:rFonts w:ascii="Arial" w:hAnsi="Arial"/>
          <w:b w:val="0"/>
          <w:i w:val="0"/>
          <w:color w:val="111827"/>
          <w:sz w:val="22"/>
        </w:rPr>
        <w:t xml:space="preserve"> (</w:t>
      </w:r>
      <w:r>
        <w:rPr>
          <w:rFonts w:ascii="Arial" w:hAnsi="Arial"/>
          <w:b w:val="0"/>
          <w:i/>
          <w:color w:val="111827"/>
          <w:sz w:val="22"/>
        </w:rPr>
        <w:t>step-in rights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Nessa modalidade, o valor da garantia pode alcançar até </w:t>
      </w:r>
      <w:r>
        <w:rPr>
          <w:rFonts w:ascii="Arial" w:hAnsi="Arial"/>
          <w:b/>
          <w:i w:val="0"/>
          <w:color w:val="111827"/>
          <w:sz w:val="22"/>
        </w:rPr>
        <w:t>30% (trinta por cento)</w:t>
      </w:r>
      <w:r>
        <w:rPr>
          <w:rFonts w:ascii="Arial" w:hAnsi="Arial"/>
          <w:b w:val="0"/>
          <w:i w:val="0"/>
          <w:color w:val="111827"/>
          <w:sz w:val="22"/>
        </w:rPr>
        <w:t xml:space="preserve"> do valor inicial do contrato.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Funcionamento:</w:t>
      </w:r>
      <w:r>
        <w:rPr>
          <w:rFonts w:ascii="Arial" w:hAnsi="Arial"/>
          <w:b w:val="0"/>
          <w:i w:val="0"/>
          <w:color w:val="111827"/>
          <w:sz w:val="22"/>
        </w:rPr>
        <w:t xml:space="preserve"> Em caso de inadimplemento, atraso grave ou abandono por parte da construtora, a seguradora é notificada para intervir diretamente. A seguradora assume a administração do canteiro de obras e conclui a execução do objeto contratado, diretamente ou mediante subcontratação de terceiros idôneos aprovados pelo Poder Público.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Concluída a obra pela seguradora, ela fica liberada da obrigação de pagar a indenização em dinheiro correspondente à apólice.</w:t>
      </w:r>
    </w:p>
    <w:p>
      <w:pPr>
        <w:keepNext/>
        <w:spacing w:before="200" w:after="80"/>
      </w:pPr>
      <w:r>
        <w:rPr>
          <w:rFonts w:ascii="Arial" w:hAnsi="Arial"/>
          <w:b/>
          <w:i w:val="0"/>
          <w:color w:val="2B6CB0"/>
          <w:sz w:val="24"/>
        </w:rPr>
        <w:t>3. Duração e Prorrogação dos Contratos Administrativos</w:t>
      </w:r>
    </w:p>
    <w:p>
      <w:pPr>
        <w:spacing w:line="360" w:lineRule="auto" w:before="0" w:after="80"/>
        <w:jc w:val="both"/>
      </w:pPr>
      <w:r>
        <w:rPr>
          <w:rFonts w:ascii="Arial" w:hAnsi="Arial"/>
          <w:b w:val="0"/>
          <w:i w:val="0"/>
          <w:color w:val="111827"/>
          <w:sz w:val="24"/>
        </w:rPr>
        <w:t>A regra orçamentária tradicional vinculava a vigência contratual aos créditos orçamentários do respectivo exercício financeiro (regra do ano civil). A Lei nº 14.133/2021 flexibilizou essa sistemática com regras modernas de planejamento (arts. 105 a 114):</w:t>
      </w:r>
    </w:p>
    <w:p>
      <w:pPr>
        <w:keepNext/>
        <w:spacing w:before="120" w:after="40"/>
      </w:pPr>
      <w:r>
        <w:rPr>
          <w:rFonts w:ascii="Arial" w:hAnsi="Arial"/>
          <w:b/>
          <w:i/>
          <w:color w:val="334155"/>
          <w:sz w:val="22"/>
        </w:rPr>
        <w:t>3.1 Serviços e Fornecimentos Contínuos (Regra 5 + 5 = Até 10 Anos)</w:t>
      </w:r>
    </w:p>
    <w:p>
      <w:pPr>
        <w:spacing w:line="360" w:lineRule="auto" w:before="0" w:after="80"/>
        <w:jc w:val="both"/>
      </w:pPr>
      <w:r>
        <w:rPr>
          <w:rFonts w:ascii="Arial" w:hAnsi="Arial"/>
          <w:b w:val="0"/>
          <w:i w:val="0"/>
          <w:color w:val="111827"/>
          <w:sz w:val="24"/>
        </w:rPr>
        <w:t>O art. 106 da NLLC estabelece uma revolução para os contratos de serviços e fornecimentos contínuos (limpeza, vigilância, suporte de TI, manutenção predial, locação de equipamentos):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Podem ser celebrados com prazo de vigência inicial de </w:t>
      </w:r>
      <w:r>
        <w:rPr>
          <w:rFonts w:ascii="Arial" w:hAnsi="Arial"/>
          <w:b/>
          <w:i w:val="0"/>
          <w:color w:val="111827"/>
          <w:sz w:val="22"/>
        </w:rPr>
        <w:t>até 5 (cinco) anos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Administração pode prorrogar sucessivamente a contratação até o limite máximo total de </w:t>
      </w:r>
      <w:r>
        <w:rPr>
          <w:rFonts w:ascii="Arial" w:hAnsi="Arial"/>
          <w:b/>
          <w:i w:val="0"/>
          <w:color w:val="111827"/>
          <w:sz w:val="22"/>
        </w:rPr>
        <w:t>10 (dez) anos</w:t>
      </w:r>
      <w:r>
        <w:rPr>
          <w:rFonts w:ascii="Arial" w:hAnsi="Arial"/>
          <w:b w:val="0"/>
          <w:i w:val="0"/>
          <w:color w:val="111827"/>
          <w:sz w:val="22"/>
        </w:rPr>
        <w:t>, desde que comprovada documentalmente a vantajosidade econômica das condições e a manutenção da qualidade da execução.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Permite amortização mais eficiente de investimentos e redução substantiva dos custos de transação causados por licitações repetitivas anuais.</w:t>
      </w:r>
    </w:p>
    <w:p>
      <w:pPr>
        <w:keepNext/>
        <w:spacing w:before="120" w:after="40"/>
      </w:pPr>
      <w:r>
        <w:rPr>
          <w:rFonts w:ascii="Arial" w:hAnsi="Arial"/>
          <w:b/>
          <w:i/>
          <w:color w:val="334155"/>
          <w:sz w:val="22"/>
        </w:rPr>
        <w:t>3.2 Contratos por Escopo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Nos contratos cujo objeto é a entrega de um produto ou realização de obra certa e predeterminada (contratos por escopo predeterminado), o prazo de vigência original deve corresponder ao cronograma de execução física.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Conforme o art. 111, o prazo de vigência será </w:t>
      </w:r>
      <w:r>
        <w:rPr>
          <w:rFonts w:ascii="Arial" w:hAnsi="Arial"/>
          <w:b/>
          <w:i w:val="0"/>
          <w:color w:val="111827"/>
          <w:sz w:val="22"/>
        </w:rPr>
        <w:t>automaticamente prorrogado</w:t>
      </w:r>
      <w:r>
        <w:rPr>
          <w:rFonts w:ascii="Arial" w:hAnsi="Arial"/>
          <w:b w:val="0"/>
          <w:i w:val="0"/>
          <w:color w:val="111827"/>
          <w:sz w:val="22"/>
        </w:rPr>
        <w:t xml:space="preserve"> quando o seu objeto não for concluído no período inicialmente firmado por razões imputáveis à Administração ou por fatos supervenientes de caso fortuito/força maior, assegurando-se a conclusão da obra e a apuração de responsabilidades caso o atraso decorra de culpa exclusiva do contratado.</w:t>
      </w:r>
    </w:p>
    <w:p>
      <w:pPr>
        <w:keepNext/>
        <w:spacing w:before="200" w:after="80"/>
      </w:pPr>
      <w:r>
        <w:rPr>
          <w:rFonts w:ascii="Arial" w:hAnsi="Arial"/>
          <w:b/>
          <w:i w:val="0"/>
          <w:color w:val="2B6CB0"/>
          <w:sz w:val="24"/>
        </w:rPr>
        <w:t>4. Gestão, Fiscalização e Responsabilidade Trabalhista do Estado</w:t>
      </w:r>
    </w:p>
    <w:p>
      <w:pPr>
        <w:keepNext/>
        <w:spacing w:before="120" w:after="40"/>
      </w:pPr>
      <w:r>
        <w:rPr>
          <w:rFonts w:ascii="Arial" w:hAnsi="Arial"/>
          <w:b/>
          <w:i/>
          <w:color w:val="334155"/>
          <w:sz w:val="22"/>
        </w:rPr>
        <w:t>4.1 Estrutura de Gestão e Fiscalização Contratual</w:t>
      </w:r>
    </w:p>
    <w:p>
      <w:pPr>
        <w:spacing w:line="360" w:lineRule="auto" w:before="0" w:after="80"/>
        <w:jc w:val="both"/>
      </w:pPr>
      <w:r>
        <w:rPr>
          <w:rFonts w:ascii="Arial" w:hAnsi="Arial"/>
          <w:b w:val="0"/>
          <w:i w:val="0"/>
          <w:color w:val="111827"/>
          <w:sz w:val="24"/>
        </w:rPr>
        <w:t>A execução do contrato deve ser acompanhada e fiscalizada permanentemente por um ou mais fiscais do contrato, auxiliados por gestores, atendendo ao princípio da segregação de funções (art. 117):</w:t>
      </w:r>
    </w:p>
    <w:p>
      <w:pPr>
        <w:spacing w:line="276" w:lineRule="auto" w:before="20" w:after="40"/>
        <w:ind w:left="425"/>
      </w:pPr>
      <w:r>
        <w:rPr>
          <w:rFonts w:ascii="Arial" w:hAnsi="Arial"/>
          <w:b/>
          <w:color w:val="2B6CB0"/>
          <w:sz w:val="22"/>
        </w:rPr>
        <w:t xml:space="preserve">• </w:t>
      </w:r>
      <w:r>
        <w:rPr>
          <w:rFonts w:ascii="Arial" w:hAnsi="Arial"/>
          <w:b/>
          <w:i w:val="0"/>
          <w:color w:val="111827"/>
          <w:sz w:val="22"/>
        </w:rPr>
        <w:t>Gestor do Contrato:</w:t>
      </w:r>
      <w:r>
        <w:rPr>
          <w:rFonts w:ascii="Arial" w:hAnsi="Arial"/>
          <w:b w:val="0"/>
          <w:i w:val="0"/>
          <w:color w:val="111827"/>
          <w:sz w:val="22"/>
        </w:rPr>
        <w:t xml:space="preserve"> Servidor responsável pela coordenação global dos atos administrativos, prorrogações, reajustes e controle financeiro macro.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Fiscal Técnico:</w:t>
      </w:r>
      <w:r>
        <w:rPr>
          <w:rFonts w:ascii="Arial" w:hAnsi="Arial"/>
          <w:b w:val="0"/>
          <w:i w:val="0"/>
          <w:color w:val="111827"/>
          <w:sz w:val="22"/>
        </w:rPr>
        <w:t xml:space="preserve"> Servidor responsável pelo acompanhamento prático, rotineiro e presencial da conformidade dos serviços e obras executados em relação às especificações do projeto.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Fiscal Administrativo:</w:t>
      </w:r>
      <w:r>
        <w:rPr>
          <w:rFonts w:ascii="Arial" w:hAnsi="Arial"/>
          <w:b w:val="0"/>
          <w:i w:val="0"/>
          <w:color w:val="111827"/>
          <w:sz w:val="22"/>
        </w:rPr>
        <w:t xml:space="preserve"> Servidor responsável pela fiscalização da documentação fiscal, previdenciária e trabalhista da mão de obra terceirizada.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Fiscal Setorial / do Público Usuário:</w:t>
      </w:r>
      <w:r>
        <w:rPr>
          <w:rFonts w:ascii="Arial" w:hAnsi="Arial"/>
          <w:b w:val="0"/>
          <w:i w:val="0"/>
          <w:color w:val="111827"/>
          <w:sz w:val="22"/>
        </w:rPr>
        <w:t xml:space="preserve"> Servidores designados em unidades descentralizadas ou comissões de usuários para atestar a efetiva entrega dos bens ou serviços.</w:t>
      </w:r>
    </w:p>
    <w:p>
      <w:pPr>
        <w:keepNext/>
        <w:spacing w:before="120" w:after="40"/>
      </w:pPr>
      <w:r>
        <w:rPr>
          <w:rFonts w:ascii="Arial" w:hAnsi="Arial"/>
          <w:b/>
          <w:i/>
          <w:color w:val="334155"/>
          <w:sz w:val="22"/>
        </w:rPr>
        <w:t>4.2 Responsabilidade Trabalhista e Previdenciária: O Tema 246 do STF</w:t>
      </w:r>
    </w:p>
    <w:p>
      <w:pPr>
        <w:spacing w:line="360" w:lineRule="auto" w:before="0" w:after="80"/>
        <w:jc w:val="both"/>
      </w:pPr>
      <w:r>
        <w:rPr>
          <w:rFonts w:ascii="Arial" w:hAnsi="Arial"/>
          <w:b w:val="0"/>
          <w:i w:val="0"/>
          <w:color w:val="111827"/>
          <w:sz w:val="24"/>
        </w:rPr>
        <w:t>A responsabilidade do Estado perante terceiros na terceirização de serviços é tema de alta incidência na jurisprudência e concursos: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Encargos Fiscais e Comerciais:</w:t>
      </w:r>
      <w:r>
        <w:rPr>
          <w:rFonts w:ascii="Arial" w:hAnsi="Arial"/>
          <w:b w:val="0"/>
          <w:i w:val="0"/>
          <w:color w:val="111827"/>
          <w:sz w:val="22"/>
        </w:rPr>
        <w:t xml:space="preserve"> A inadimplência do contratado não transfere em hipótese alguma a responsabilidade ao Poder Público (art. 121, § 1º).</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Encargos Previdenciários:</w:t>
      </w:r>
      <w:r>
        <w:rPr>
          <w:rFonts w:ascii="Arial" w:hAnsi="Arial"/>
          <w:b w:val="0"/>
          <w:i w:val="0"/>
          <w:color w:val="111827"/>
          <w:sz w:val="22"/>
        </w:rPr>
        <w:t xml:space="preserve"> O Estado responde solidariamente pelos débitos previdenciários nos moldes do art. 31 da Lei nº 8.212/91 e art. 121, § 2º.</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Encargos Trabalhistas e o Tema 246 do STF (ADC 16 e RE 760.931):</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art. 121, § 1º, da NLLC reforça que o inadimplemento trabalhista da empresa terceirizada </w:t>
      </w:r>
      <w:r>
        <w:rPr>
          <w:rFonts w:ascii="Arial" w:hAnsi="Arial"/>
          <w:b/>
          <w:i w:val="0"/>
          <w:color w:val="111827"/>
          <w:sz w:val="22"/>
        </w:rPr>
        <w:t>não transfere automaticamente</w:t>
      </w:r>
      <w:r>
        <w:rPr>
          <w:rFonts w:ascii="Arial" w:hAnsi="Arial"/>
          <w:b w:val="0"/>
          <w:i w:val="0"/>
          <w:color w:val="111827"/>
          <w:sz w:val="22"/>
        </w:rPr>
        <w:t xml:space="preserve"> a responsabilidade de pagamento ao Poder Público tomador de serviços.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STF, ao julgar com repercussão geral o </w:t>
      </w:r>
      <w:r>
        <w:rPr>
          <w:rFonts w:ascii="Arial" w:hAnsi="Arial"/>
          <w:b/>
          <w:i w:val="0"/>
          <w:color w:val="111827"/>
          <w:sz w:val="22"/>
        </w:rPr>
        <w:t>Tema 246</w:t>
      </w:r>
      <w:r>
        <w:rPr>
          <w:rFonts w:ascii="Arial" w:hAnsi="Arial"/>
          <w:b w:val="0"/>
          <w:i w:val="0"/>
          <w:color w:val="111827"/>
          <w:sz w:val="22"/>
        </w:rPr>
        <w:t xml:space="preserve">, consolidou que o Estado </w:t>
      </w:r>
      <w:r>
        <w:rPr>
          <w:rFonts w:ascii="Arial" w:hAnsi="Arial"/>
          <w:b/>
          <w:i w:val="0"/>
          <w:color w:val="111827"/>
          <w:sz w:val="22"/>
        </w:rPr>
        <w:t>não possui responsabilidade objetiva</w:t>
      </w:r>
      <w:r>
        <w:rPr>
          <w:rFonts w:ascii="Arial" w:hAnsi="Arial"/>
          <w:b w:val="0"/>
          <w:i w:val="0"/>
          <w:color w:val="111827"/>
          <w:sz w:val="22"/>
        </w:rPr>
        <w:t xml:space="preserve"> nem responde automaticamente.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condenação subsidiária da Administração Pública só é admitida se restar cabalmente demonstrada nos autos processuais a sua **culpa *in vigilando*** — caracterizada pela omissão reiterada e culposa do dever legal de fiscalizar mensalmente o adimplemento dos salários, recolhimento de FGTS e verbas da folha pela contratada.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encargo probatório dessa conduta omissiva recai sobre o trabalhador reclamante, sendo vedada presunção automática de culpa contra a Fazenda Pública.</w:t>
      </w:r>
    </w:p>
    <w:p>
      <w:pPr>
        <w:keepNext/>
        <w:spacing w:before="120" w:after="40"/>
      </w:pPr>
      <w:r>
        <w:rPr>
          <w:rFonts w:ascii="Arial" w:hAnsi="Arial"/>
          <w:b/>
          <w:i/>
          <w:color w:val="334155"/>
          <w:sz w:val="22"/>
        </w:rPr>
        <w:t>4.3 Recebimento Provisório e Definitivo do Objeto</w:t>
      </w:r>
    </w:p>
    <w:p>
      <w:pPr>
        <w:spacing w:line="360" w:lineRule="auto" w:before="0" w:after="80"/>
        <w:jc w:val="both"/>
      </w:pPr>
      <w:r>
        <w:rPr>
          <w:rFonts w:ascii="Arial" w:hAnsi="Arial"/>
          <w:b w:val="0"/>
          <w:i w:val="0"/>
          <w:color w:val="111827"/>
          <w:sz w:val="24"/>
        </w:rPr>
        <w:t>O art. 140 da NLLC disciplina as fases de entrega do objeto contratado: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Recebimento Provisório:</w:t>
      </w:r>
      <w:r>
        <w:rPr>
          <w:rFonts w:ascii="Arial" w:hAnsi="Arial"/>
          <w:b w:val="0"/>
          <w:i w:val="0"/>
          <w:color w:val="111827"/>
          <w:sz w:val="22"/>
        </w:rPr>
        <w:t xml:space="preserve"> Realizado pelo </w:t>
      </w:r>
      <w:r>
        <w:rPr>
          <w:rFonts w:ascii="Arial" w:hAnsi="Arial"/>
          <w:b/>
          <w:i w:val="0"/>
          <w:color w:val="111827"/>
          <w:sz w:val="22"/>
        </w:rPr>
        <w:t>fiscal do contrato</w:t>
      </w:r>
      <w:r>
        <w:rPr>
          <w:rFonts w:ascii="Arial" w:hAnsi="Arial"/>
          <w:b w:val="0"/>
          <w:i w:val="0"/>
          <w:color w:val="111827"/>
          <w:sz w:val="22"/>
        </w:rPr>
        <w:t>, mediante termo circunstanciado, para efeito de posterior verificação da conformidade do material ou serviço com as especificações exigidas.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Recebimento Definitivo:</w:t>
      </w:r>
      <w:r>
        <w:rPr>
          <w:rFonts w:ascii="Arial" w:hAnsi="Arial"/>
          <w:b w:val="0"/>
          <w:i w:val="0"/>
          <w:color w:val="111827"/>
          <w:sz w:val="22"/>
        </w:rPr>
        <w:t xml:space="preserve"> Realizado por </w:t>
      </w:r>
      <w:r>
        <w:rPr>
          <w:rFonts w:ascii="Arial" w:hAnsi="Arial"/>
          <w:b/>
          <w:i w:val="0"/>
          <w:color w:val="111827"/>
          <w:sz w:val="22"/>
        </w:rPr>
        <w:t>servidor ou comissão designada pela autoridade competente</w:t>
      </w:r>
      <w:r>
        <w:rPr>
          <w:rFonts w:ascii="Arial" w:hAnsi="Arial"/>
          <w:b w:val="0"/>
          <w:i w:val="0"/>
          <w:color w:val="111827"/>
          <w:sz w:val="22"/>
        </w:rPr>
        <w:t>, mediante termo circunstanciado que comprove a perfeita adequação do objeto aos termos contratuais e técnicos.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recebimento provisório ou definitivo não exclui a responsabilidade civil do contratado pela solidez e segurança da obra ou serviço durante o prazo legal de 5 anos (art. 618 do Código Civil), nem por vícios ocultos.</w:t>
      </w:r>
    </w:p>
    <w:p>
      <w:pPr>
        <w:keepNext/>
        <w:spacing w:before="200" w:after="80"/>
      </w:pPr>
      <w:r>
        <w:rPr>
          <w:rFonts w:ascii="Arial" w:hAnsi="Arial"/>
          <w:b/>
          <w:i w:val="0"/>
          <w:color w:val="2B6CB0"/>
          <w:sz w:val="24"/>
        </w:rPr>
        <w:t>5. Alterações Contratuais e Manutenção do Equilíbrio Econômico-Financeiro</w:t>
      </w:r>
    </w:p>
    <w:p>
      <w:pPr>
        <w:keepNext/>
        <w:spacing w:before="120" w:after="40"/>
      </w:pPr>
      <w:r>
        <w:rPr>
          <w:rFonts w:ascii="Arial" w:hAnsi="Arial"/>
          <w:b/>
          <w:i/>
          <w:color w:val="334155"/>
          <w:sz w:val="22"/>
        </w:rPr>
        <w:t>5.1 Alterações Unilaterais e Consensuais: Limites de 25% e 50%</w:t>
      </w:r>
    </w:p>
    <w:p>
      <w:pPr>
        <w:spacing w:line="360" w:lineRule="auto" w:before="0" w:after="80"/>
        <w:jc w:val="both"/>
      </w:pPr>
      <w:r>
        <w:rPr>
          <w:rFonts w:ascii="Arial" w:hAnsi="Arial"/>
          <w:b w:val="0"/>
          <w:i w:val="0"/>
          <w:color w:val="111827"/>
          <w:sz w:val="24"/>
        </w:rPr>
        <w:t>Os contratos administrativos podem ser alterados unilateralmente pela Administração (quando houver modificação de projeto ou adequação quantitativa) ou consensualmente por acordo mútuo entre as partes (para substituição de garantia ou repactuação) — art. 124.</w:t>
      </w:r>
    </w:p>
    <w:p>
      <w:pPr>
        <w:spacing w:line="360" w:lineRule="auto" w:before="0" w:after="80"/>
        <w:jc w:val="both"/>
      </w:pPr>
      <w:r>
        <w:rPr>
          <w:rFonts w:ascii="Arial" w:hAnsi="Arial"/>
          <w:b w:val="0"/>
          <w:i w:val="0"/>
          <w:color w:val="111827"/>
          <w:sz w:val="24"/>
        </w:rPr>
        <w:t>O art. 125 estipula os limites legais obrigatórios que o contratado é obrigado a aceitar nas alterações unilaterais: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Regra Geral (Compras, Serviços e Obras):</w:t>
      </w:r>
      <w:r>
        <w:rPr>
          <w:rFonts w:ascii="Arial" w:hAnsi="Arial"/>
          <w:b w:val="0"/>
          <w:i w:val="0"/>
          <w:color w:val="111827"/>
          <w:sz w:val="22"/>
        </w:rPr>
        <w:t xml:space="preserve"> O contratado fica obrigado a aceitar, nas mesmas condições contratuais, acréscimos ou supressões de até </w:t>
      </w:r>
      <w:r>
        <w:rPr>
          <w:rFonts w:ascii="Arial" w:hAnsi="Arial"/>
          <w:b/>
          <w:i w:val="0"/>
          <w:color w:val="111827"/>
          <w:sz w:val="22"/>
        </w:rPr>
        <w:t>25% (vinte e cinco por cento)</w:t>
      </w:r>
      <w:r>
        <w:rPr>
          <w:rFonts w:ascii="Arial" w:hAnsi="Arial"/>
          <w:b w:val="0"/>
          <w:i w:val="0"/>
          <w:color w:val="111827"/>
          <w:sz w:val="22"/>
        </w:rPr>
        <w:t xml:space="preserve"> do valor inicial atualizado do contrato.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Exceção Específica para REFORMAS de Edifícios ou Equipamentos:</w:t>
      </w:r>
      <w:r>
        <w:rPr>
          <w:rFonts w:ascii="Arial" w:hAnsi="Arial"/>
          <w:b w:val="0"/>
          <w:i w:val="0"/>
          <w:color w:val="111827"/>
          <w:sz w:val="22"/>
        </w:rPr>
        <w:t xml:space="preserve"> O limite para </w:t>
      </w:r>
      <w:r>
        <w:rPr>
          <w:rFonts w:ascii="Arial" w:hAnsi="Arial"/>
          <w:b/>
          <w:i w:val="0"/>
          <w:color w:val="111827"/>
          <w:sz w:val="22"/>
        </w:rPr>
        <w:t>acréscimos será de até 50% (cinquenta por cento)</w:t>
      </w:r>
      <w:r>
        <w:rPr>
          <w:rFonts w:ascii="Arial" w:hAnsi="Arial"/>
          <w:b w:val="0"/>
          <w:i w:val="0"/>
          <w:color w:val="111827"/>
          <w:sz w:val="22"/>
        </w:rPr>
        <w:t xml:space="preserve"> do valor inicial atualizado do contrato.</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1. O limite ampliado de </w:t>
            </w:r>
            <w:r>
              <w:rPr>
                <w:rFonts w:ascii="Arial" w:hAnsi="Arial"/>
                <w:b/>
                <w:i w:val="0"/>
                <w:color w:val="111827"/>
                <w:sz w:val="21"/>
              </w:rPr>
              <w:t>até 50% é exclusivo para acréscimos em reformas</w:t>
            </w:r>
            <w:r>
              <w:rPr>
                <w:rFonts w:ascii="Arial" w:hAnsi="Arial"/>
                <w:b w:val="0"/>
                <w:i w:val="0"/>
                <w:color w:val="111827"/>
                <w:sz w:val="21"/>
              </w:rPr>
              <w:t xml:space="preserve"> de edifícios ou de equipamentos. Obras novas ou ampliações submetem-se ao teto de 25%.</w:t>
            </w:r>
          </w:p>
          <w:p>
            <w:pPr>
              <w:spacing w:line="288" w:lineRule="auto" w:before="40" w:after="40"/>
            </w:pPr>
            <w:r>
              <w:rPr>
                <w:rFonts w:ascii="Arial" w:hAnsi="Arial"/>
                <w:b w:val="0"/>
                <w:i w:val="0"/>
                <w:color w:val="111827"/>
                <w:sz w:val="21"/>
              </w:rPr>
              <w:t xml:space="preserve">2. </w:t>
            </w:r>
            <w:r>
              <w:rPr>
                <w:rFonts w:ascii="Arial" w:hAnsi="Arial"/>
                <w:b/>
                <w:i w:val="0"/>
                <w:color w:val="111827"/>
                <w:sz w:val="21"/>
              </w:rPr>
              <w:t>Para supressões (reduções quantitativas), o limite legal é sempre de 25%</w:t>
            </w:r>
            <w:r>
              <w:rPr>
                <w:rFonts w:ascii="Arial" w:hAnsi="Arial"/>
                <w:b w:val="0"/>
                <w:i w:val="0"/>
                <w:color w:val="111827"/>
                <w:sz w:val="21"/>
              </w:rPr>
              <w:t>, inclusive em reformas de edifícios!</w:t>
            </w:r>
          </w:p>
          <w:p>
            <w:pPr>
              <w:spacing w:line="288" w:lineRule="auto" w:before="40" w:after="40"/>
            </w:pPr>
            <w:r>
              <w:rPr>
                <w:rFonts w:ascii="Arial" w:hAnsi="Arial"/>
                <w:b w:val="0"/>
                <w:i w:val="0"/>
                <w:color w:val="111827"/>
                <w:sz w:val="21"/>
              </w:rPr>
              <w:t xml:space="preserve">3. É </w:t>
            </w:r>
            <w:r>
              <w:rPr>
                <w:rFonts w:ascii="Arial" w:hAnsi="Arial"/>
                <w:b/>
                <w:i w:val="0"/>
                <w:color w:val="111827"/>
                <w:sz w:val="21"/>
              </w:rPr>
              <w:t>terminantemente proibida a compensação matemática</w:t>
            </w:r>
            <w:r>
              <w:rPr>
                <w:rFonts w:ascii="Arial" w:hAnsi="Arial"/>
                <w:b w:val="0"/>
                <w:i w:val="0"/>
                <w:color w:val="111827"/>
                <w:sz w:val="21"/>
              </w:rPr>
              <w:t xml:space="preserve"> entre acréscimos e supressões para efeito de cumprimento dos limites legais (ex.: acrescer 40% em um item e suprimir 40% em outro configura ilegalidade manifesta pelo "jogo de planilhas").</w:t>
            </w:r>
          </w:p>
        </w:tc>
      </w:tr>
    </w:tbl>
    <w:p>
      <w:pPr>
        <w:spacing w:before="0" w:after="120"/>
      </w:pPr>
    </w:p>
    <w:p>
      <w:pPr>
        <w:keepNext/>
        <w:spacing w:before="120" w:after="40"/>
      </w:pPr>
      <w:r>
        <w:rPr>
          <w:rFonts w:ascii="Arial" w:hAnsi="Arial"/>
          <w:b/>
          <w:i/>
          <w:color w:val="334155"/>
          <w:sz w:val="22"/>
        </w:rPr>
        <w:t>5.2 Instrumentos de Recomposição: Reajuste, Repactuação e Revisão</w:t>
      </w:r>
    </w:p>
    <w:p>
      <w:pPr>
        <w:spacing w:line="360" w:lineRule="auto" w:before="0" w:after="80"/>
        <w:jc w:val="both"/>
      </w:pPr>
      <w:r>
        <w:rPr>
          <w:rFonts w:ascii="Arial" w:hAnsi="Arial"/>
          <w:b w:val="0"/>
          <w:i w:val="0"/>
          <w:color w:val="111827"/>
          <w:sz w:val="24"/>
        </w:rPr>
        <w:t>A garantia da equação econômico-financeira original é direito fundamental do contratado previsto no art. 37, XXI, da CF/88. A Lei nº 14.133/2021 distingue com clareza três institutos: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Instituto Jurídico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Hipótese de Aplicação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Periodicidade Mínima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Base de Cálculo / Fundamento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Reajuste em Sentido Estrito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Variação inflacionária ordinária do custo dos insumos e produtos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 ano</w:t>
            </w:r>
            <w:r>
              <w:rPr>
                <w:rFonts w:ascii="Arial" w:hAnsi="Arial"/>
                <w:b w:val="0"/>
                <w:i w:val="0"/>
                <w:color w:val="111827"/>
                <w:sz w:val="19"/>
              </w:rPr>
              <w:t xml:space="preserve"> (interregno mínimo)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Aplicação automática de índice oficial de correção de preços previsto no edital (ex.: IPCA, INCC, IGP-M).</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Repactuação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Serviços contínuos com </w:t>
            </w:r>
            <w:r>
              <w:rPr>
                <w:rFonts w:ascii="Arial" w:hAnsi="Arial"/>
                <w:b/>
                <w:i w:val="0"/>
                <w:color w:val="111827"/>
                <w:sz w:val="19"/>
              </w:rPr>
              <w:t>dedicação exclusiva de mão de obra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 ano</w:t>
            </w:r>
            <w:r>
              <w:rPr>
                <w:rFonts w:ascii="Arial" w:hAnsi="Arial"/>
                <w:b w:val="0"/>
                <w:i w:val="0"/>
                <w:color w:val="111827"/>
                <w:sz w:val="19"/>
              </w:rPr>
              <w:t xml:space="preserve"> (interregno mínimo)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Demonstração analítica da variação de custos decorrente de nova </w:t>
            </w:r>
            <w:r>
              <w:rPr>
                <w:rFonts w:ascii="Arial" w:hAnsi="Arial"/>
                <w:b/>
                <w:i w:val="0"/>
                <w:color w:val="111827"/>
                <w:sz w:val="19"/>
              </w:rPr>
              <w:t>Convenção Coletiva de Trabalho (CCT)</w:t>
            </w:r>
            <w:r>
              <w:rPr>
                <w:rFonts w:ascii="Arial" w:hAnsi="Arial"/>
                <w:b w:val="0"/>
                <w:i w:val="0"/>
                <w:color w:val="111827"/>
                <w:sz w:val="19"/>
              </w:rPr>
              <w:t xml:space="preserve"> ou Dissídio Coletivo.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Revisão (Reequilíbrio em Sentido Estrito)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Fatos imprevisíveis, caso fortuito, força maior, fato do príncipe ou fato da administração (</w:t>
            </w:r>
            <w:r>
              <w:rPr>
                <w:rFonts w:ascii="Arial" w:hAnsi="Arial"/>
                <w:b/>
                <w:i w:val="0"/>
                <w:color w:val="111827"/>
                <w:sz w:val="19"/>
              </w:rPr>
              <w:t>álea extraordinária</w:t>
            </w:r>
            <w:r>
              <w:rPr>
                <w:rFonts w:ascii="Arial" w:hAnsi="Arial"/>
                <w:b w:val="0"/>
                <w:i w:val="0"/>
                <w:color w:val="111827"/>
                <w:sz w:val="19"/>
              </w:rPr>
              <w:t>)</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 qualquer tempo</w:t>
            </w:r>
            <w:r>
              <w:rPr>
                <w:rFonts w:ascii="Arial" w:hAnsi="Arial"/>
                <w:b w:val="0"/>
                <w:i w:val="0"/>
                <w:color w:val="111827"/>
                <w:sz w:val="19"/>
              </w:rPr>
              <w:t xml:space="preserve"> (não exige interregno anual)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Teoria da Imprevisão; recomposição integral da margem econômica desequilibrada por evento extraordinário e extracontratual.</w:t>
            </w:r>
          </w:p>
        </w:tc>
      </w:tr>
    </w:tbl>
    <w:p>
      <w:pPr>
        <w:spacing w:after="120"/>
      </w:pPr>
    </w:p>
    <w:p>
      <w:pPr>
        <w:keepNext/>
        <w:spacing w:before="200" w:after="80"/>
      </w:pPr>
      <w:r>
        <w:rPr>
          <w:rFonts w:ascii="Arial" w:hAnsi="Arial"/>
          <w:b/>
          <w:i w:val="0"/>
          <w:color w:val="2B6CB0"/>
          <w:sz w:val="24"/>
        </w:rPr>
        <w:t>6. Infrações, Sistema Sancionador e Processo de Reabilitação</w:t>
      </w:r>
    </w:p>
    <w:p>
      <w:pPr>
        <w:spacing w:line="360" w:lineRule="auto" w:before="0" w:after="80"/>
        <w:jc w:val="both"/>
      </w:pPr>
      <w:r>
        <w:rPr>
          <w:rFonts w:ascii="Arial" w:hAnsi="Arial"/>
          <w:b w:val="0"/>
          <w:i w:val="0"/>
          <w:color w:val="111827"/>
          <w:sz w:val="24"/>
        </w:rPr>
        <w:t>O cometimento de infrações administrativas elencadas no art. 155 da Lei nº 14.133/2021 (dar causa à inexecução parcial ou total, fraudar a licitação, praticar ato ilícito com vistas a frustrar os objetivos do certame, comportar-se de modo inidôneo) sujeita o licitante ou contratado a quatro sanções administrativas (art. 156):</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Sanção Administrativa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Prazo de Duração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Abrangência Territorial e Subjetiva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Autoridade Competente para Aplicação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Advertência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Aplicada imediatamente à falta leve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Restrita àquele contrato específico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Autoridade designada em regulamento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Multa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Cobrada de imediato (0,5% a 30% do valor do contrato)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Pecuniária; pode ser cumulada com outras sanções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Autoridade designada em regulamento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Impedimento de Licitar e Contratar</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Até 3 (três) anos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No âmbito da Administração Pública direta e indireta do </w:t>
            </w:r>
            <w:r>
              <w:rPr>
                <w:rFonts w:ascii="Arial" w:hAnsi="Arial"/>
                <w:b/>
                <w:i w:val="0"/>
                <w:color w:val="111827"/>
                <w:sz w:val="19"/>
              </w:rPr>
              <w:t>ente federativo sancionador</w:t>
            </w:r>
            <w:r>
              <w:rPr>
                <w:rFonts w:ascii="Arial" w:hAnsi="Arial"/>
                <w:b w:val="0"/>
                <w:i w:val="0"/>
                <w:color w:val="111827"/>
                <w:sz w:val="19"/>
              </w:rPr>
              <w:t xml:space="preserve"> (ex.: apenas no Estado de Goiás)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Autoridade competente do respectivo órgão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Declaração de Inidoneidade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 3 (três) a 6 (seis) anos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Toda a Administração Pública</w:t>
            </w:r>
            <w:r>
              <w:rPr>
                <w:rFonts w:ascii="Arial" w:hAnsi="Arial"/>
                <w:b w:val="0"/>
                <w:i w:val="0"/>
                <w:color w:val="111827"/>
                <w:sz w:val="19"/>
              </w:rPr>
              <w:t xml:space="preserve"> direta e indireta de </w:t>
            </w:r>
            <w:r>
              <w:rPr>
                <w:rFonts w:ascii="Arial" w:hAnsi="Arial"/>
                <w:b/>
                <w:i w:val="0"/>
                <w:color w:val="111827"/>
                <w:sz w:val="19"/>
              </w:rPr>
              <w:t>todos os entes federativos</w:t>
            </w:r>
            <w:r>
              <w:rPr>
                <w:rFonts w:ascii="Arial" w:hAnsi="Arial"/>
                <w:b w:val="0"/>
                <w:i w:val="0"/>
                <w:color w:val="111827"/>
                <w:sz w:val="19"/>
              </w:rPr>
              <w:t xml:space="preserve"> do país (União, Estados, DF e Municípios)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Ministro de Estado</w:t>
            </w:r>
            <w:r>
              <w:rPr>
                <w:rFonts w:ascii="Arial" w:hAnsi="Arial"/>
                <w:b w:val="0"/>
                <w:i w:val="0"/>
                <w:color w:val="111827"/>
                <w:sz w:val="19"/>
              </w:rPr>
              <w:t xml:space="preserve">, </w:t>
            </w:r>
            <w:r>
              <w:rPr>
                <w:rFonts w:ascii="Arial" w:hAnsi="Arial"/>
                <w:b/>
                <w:i w:val="0"/>
                <w:color w:val="111827"/>
                <w:sz w:val="19"/>
              </w:rPr>
              <w:t>Secretário de Estado</w:t>
            </w:r>
            <w:r>
              <w:rPr>
                <w:rFonts w:ascii="Arial" w:hAnsi="Arial"/>
                <w:b w:val="0"/>
                <w:i w:val="0"/>
                <w:color w:val="111827"/>
                <w:sz w:val="19"/>
              </w:rPr>
              <w:t xml:space="preserve"> ou </w:t>
            </w:r>
            <w:r>
              <w:rPr>
                <w:rFonts w:ascii="Arial" w:hAnsi="Arial"/>
                <w:b/>
                <w:i w:val="0"/>
                <w:color w:val="111827"/>
                <w:sz w:val="19"/>
              </w:rPr>
              <w:t>Secretário Municipal</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FCC:</w:t>
            </w:r>
          </w:p>
          <w:p>
            <w:pPr>
              <w:spacing w:line="288" w:lineRule="auto" w:before="40" w:after="40"/>
            </w:pPr>
            <w:r>
              <w:rPr>
                <w:rFonts w:ascii="Arial" w:hAnsi="Arial"/>
                <w:b w:val="0"/>
                <w:i w:val="0"/>
                <w:color w:val="111827"/>
                <w:sz w:val="21"/>
              </w:rPr>
              <w:t>A declaração de inidoneidade da NLLC inovou ao fixar prazo mínimo de 3 anos e máximo de 6 anos, estabelecendo eficácia extensiva nacional compulsória. Sua aplicação é ato privativo da autoridade superior (Secretário ou Ministro), exigindo instrução técnica e parecer jurídico vinculante.</w:t>
            </w:r>
          </w:p>
        </w:tc>
      </w:tr>
    </w:tbl>
    <w:p>
      <w:pPr>
        <w:spacing w:before="0" w:after="120"/>
      </w:pPr>
    </w:p>
    <w:p>
      <w:pPr>
        <w:spacing w:line="360" w:lineRule="auto" w:before="0" w:after="80"/>
        <w:jc w:val="both"/>
      </w:pPr>
      <w:r>
        <w:rPr>
          <w:rFonts w:ascii="Arial" w:hAnsi="Arial"/>
          <w:b/>
          <w:i w:val="0"/>
          <w:color w:val="111827"/>
          <w:sz w:val="24"/>
        </w:rPr>
        <w:t>Reabilitação do Sancionado (Art. 163):</w:t>
      </w:r>
    </w:p>
    <w:p>
      <w:pPr>
        <w:spacing w:line="360" w:lineRule="auto" w:before="0" w:after="80"/>
        <w:jc w:val="both"/>
      </w:pPr>
      <w:r>
        <w:rPr>
          <w:rFonts w:ascii="Arial" w:hAnsi="Arial"/>
          <w:b w:val="0"/>
          <w:i w:val="0"/>
          <w:color w:val="111827"/>
          <w:sz w:val="24"/>
        </w:rPr>
        <w:t>A reabilitação perante a Administração exige cumulativamente:</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Reparação integral do dano causado ao erário;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Pagamento da multa aplicada;</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 xml:space="preserve">Transcurso do prazo mínimo de </w:t>
      </w:r>
      <w:r>
        <w:rPr>
          <w:rFonts w:ascii="Arial" w:hAnsi="Arial"/>
          <w:b/>
          <w:i w:val="0"/>
          <w:color w:val="111827"/>
          <w:sz w:val="22"/>
        </w:rPr>
        <w:t>1 ano</w:t>
      </w:r>
      <w:r>
        <w:rPr>
          <w:rFonts w:ascii="Arial" w:hAnsi="Arial"/>
          <w:b w:val="0"/>
          <w:i w:val="0"/>
          <w:color w:val="111827"/>
          <w:sz w:val="22"/>
        </w:rPr>
        <w:t xml:space="preserve"> da aplicação de impedimento de licitar ou </w:t>
      </w:r>
      <w:r>
        <w:rPr>
          <w:rFonts w:ascii="Arial" w:hAnsi="Arial"/>
          <w:b/>
          <w:i w:val="0"/>
          <w:color w:val="111827"/>
          <w:sz w:val="22"/>
        </w:rPr>
        <w:t>3 anos</w:t>
      </w:r>
      <w:r>
        <w:rPr>
          <w:rFonts w:ascii="Arial" w:hAnsi="Arial"/>
          <w:b w:val="0"/>
          <w:i w:val="0"/>
          <w:color w:val="111827"/>
          <w:sz w:val="22"/>
        </w:rPr>
        <w:t xml:space="preserve"> da declaração de inidoneidade;</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Cumprimento das condições de reabilitação e implantação ou aperfeiçoamento de **programa de integridade (</w:t>
      </w:r>
      <w:r>
        <w:rPr>
          <w:rFonts w:ascii="Arial" w:hAnsi="Arial"/>
          <w:b w:val="0"/>
          <w:i/>
          <w:color w:val="111827"/>
          <w:sz w:val="22"/>
        </w:rPr>
        <w:t>compliance</w:t>
      </w:r>
      <w:r>
        <w:rPr>
          <w:rFonts w:ascii="Arial" w:hAnsi="Arial"/>
          <w:b w:val="0"/>
          <w:i w:val="0"/>
          <w:color w:val="111827"/>
          <w:sz w:val="22"/>
        </w:rPr>
        <w:t>)**, exigido compulsoriamente nas sanções por atos de corrupção ou fraude da Lei Anticorrupção.</w:t>
      </w:r>
    </w:p>
    <w:p>
      <w:pPr>
        <w:keepNext/>
        <w:spacing w:before="280" w:after="120"/>
      </w:pPr>
      <w:r>
        <w:rPr>
          <w:rFonts w:ascii="Arial" w:hAnsi="Arial"/>
          <w:b/>
          <w:i w:val="0"/>
          <w:color w:val="2C5282"/>
          <w:sz w:val="28"/>
        </w:rPr>
        <w:t>🌐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14.133/2021 - Artigos 89 a 163 (Contratos e Sanções)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Normas legais sobre garantias, vigência contratual decenal, alterações e penalidades administrativas.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STF - Tema 246 da Repercussão Geral (ADC 16 e RE 760.931)</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Jurisprudência vinculante do Supremo afastando a responsabilidade objetiva da Administração Pública na terceirização.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Tribunal de Contas da União (TCU) - Jurisprudência sobre Sanções e Retomada de Obras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Acórdãos sobre limites de alteração contratual unilateral e efetividade dos </w:t>
      </w:r>
      <w:r>
        <w:rPr>
          <w:rFonts w:ascii="Arial" w:hAnsi="Arial"/>
          <w:b w:val="0"/>
          <w:i/>
          <w:color w:val="111827"/>
          <w:sz w:val="22"/>
        </w:rPr>
        <w:t>step-in rights</w:t>
      </w:r>
      <w:r>
        <w:rPr>
          <w:rFonts w:ascii="Arial" w:hAnsi="Arial"/>
          <w:b w:val="0"/>
          <w:i w:val="0"/>
          <w:color w:val="111827"/>
          <w:sz w:val="22"/>
        </w:rPr>
        <w:t>.</w:t>
      </w:r>
    </w:p>
    <w:p>
      <w:pPr>
        <w:keepNext/>
        <w:spacing w:before="280" w:after="120"/>
      </w:pPr>
      <w:r>
        <w:rPr>
          <w:rFonts w:ascii="Arial" w:hAnsi="Arial"/>
          <w:b/>
          <w:i w:val="0"/>
          <w:color w:val="2C5282"/>
          <w:sz w:val="28"/>
        </w:rPr>
        <w:t>📝 Questões Comentadas no Padrão FCC (Justificadas de A a E)</w:t>
      </w:r>
    </w:p>
    <w:p>
      <w:pPr>
        <w:keepNext/>
        <w:spacing w:before="200" w:after="80"/>
      </w:pPr>
      <w:r>
        <w:rPr>
          <w:rFonts w:ascii="Arial" w:hAnsi="Arial"/>
          <w:b/>
          <w:i w:val="0"/>
          <w:color w:val="2B6CB0"/>
          <w:sz w:val="24"/>
        </w:rPr>
        <w:t>Questão 1 (FCC - Analista de Controle Externo / Adaptada TCE-GO)</w:t>
      </w:r>
    </w:p>
    <w:p>
      <w:pPr>
        <w:spacing w:line="360" w:lineRule="auto" w:before="0" w:after="80"/>
        <w:jc w:val="both"/>
      </w:pPr>
      <w:r>
        <w:rPr>
          <w:rFonts w:ascii="Arial" w:hAnsi="Arial"/>
          <w:b w:val="0"/>
          <w:i w:val="0"/>
          <w:color w:val="111827"/>
          <w:sz w:val="24"/>
        </w:rPr>
        <w:t>O Tribunal de Contas do Estado de Goiás formalizou contrato administrativo para a reforma predial integral das instalações do edifício de sua sede em Goiânia, pelo valor original de R</w:t>
      </w:r>
      <w:r>
        <w:rPr>
          <w:rFonts w:ascii="Cambria Math" w:hAnsi="Cambria Math"/>
          <w:i/>
          <w:color w:val="1B365D"/>
          <w:sz w:val="24"/>
        </w:rPr>
        <w:t xml:space="preserve"> 4.000.000,00. Após o início dos serviços de demolição, os engenheiros detectaram falhas geológicas estruturais nas fundações do subsolo não previstas no projeto original, que exigem obras emergenciais de estaqueamento e contenção, orçadas em R</w:t>
      </w:r>
      <w:r>
        <w:rPr>
          <w:rFonts w:ascii="Arial" w:hAnsi="Arial"/>
          <w:b w:val="0"/>
          <w:i w:val="0"/>
          <w:color w:val="111827"/>
          <w:sz w:val="24"/>
        </w:rPr>
        <w:t xml:space="preserve"> 1.600.000,00 adicionais.</w:t>
      </w:r>
    </w:p>
    <w:p>
      <w:pPr>
        <w:spacing w:line="360" w:lineRule="auto" w:before="0" w:after="80"/>
        <w:jc w:val="both"/>
      </w:pPr>
      <w:r>
        <w:rPr>
          <w:rFonts w:ascii="Arial" w:hAnsi="Arial"/>
          <w:b w:val="0"/>
          <w:i w:val="0"/>
          <w:color w:val="111827"/>
          <w:sz w:val="24"/>
        </w:rPr>
        <w:t>Em face dos limites de alteração unilateral estabelecidos no art. 125 da Lei Federal nº 14.133/2021:</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acréscimo pretendido é ilegal, visto que a NLLC fixou o teto inflexível de 25% para qualquer alteração contratual no setor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aditivo de valor é juridicamente admitido, tendo em vista que, no caso de reforma de edifício ou de equipamento, o limite legal para os acréscimos unilaterais é de até 50% do valor inicial atualizado do contrato.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reformas prediais admitem acréscimos unilaterais ilimitados, desde que autorizados pelo Conselho de Engenharia (CREA).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Administração é obrigada a anular o contrato e instaurar concurso público para contratação de novos operários.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limite de 50% aplica-se apenas caso a empreiteira comprove que o aço foi importado de país membro do Mercosul.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Desconsidera a regra específica do art. 125 que autoriza teto de até 50% exclusivamente para acréscimos em reformas de edifícios ou equipamentos.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Conforme o art. 125 da Lei nº 14.133/2021, o contratado fica obrigado a aceitar, nas mesmas condições contratuais, acréscimos ou supressões de até 25% do valor inicial do contrato, mas, no caso de reforma de edifício ou de equipamento, o limite para os acréscimos será de até 50% (cinquenta por cento). Como o contrato original era de R</w:t>
            </w:r>
            <w:r>
              <w:rPr>
                <w:rFonts w:ascii="Cambria Math" w:hAnsi="Cambria Math"/>
                <w:i/>
                <w:color w:val="1B365D"/>
                <w:sz w:val="21"/>
              </w:rPr>
              <w:t xml:space="preserve"> 4 milhões, o teto de 50% equivale a R</w:t>
            </w:r>
            <w:r>
              <w:rPr>
                <w:rFonts w:ascii="Arial" w:hAnsi="Arial"/>
                <w:b w:val="0"/>
                <w:i w:val="0"/>
                <w:color w:val="111827"/>
                <w:sz w:val="21"/>
              </w:rPr>
              <w:t xml:space="preserve"> 2 milhões adicionais; logo, o aditivo de R$ 1,6 milhão (40%) é perfeitamente lícito.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Não existe permissão legal para alterações unilaterais ilimitadas, e o CREA não possui competência para derrogar o teto legal de 50%.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Havendo previsão expressa na Lei para aditamentos qualitativos e quantitativos, a continuidade do contrato é a via regular, descabendo anulação.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Condição exótica sem qualquer respaldo legal no regramento licitatório brasileiro.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Técnico de Controle Externo / TCE-GO)</w:t>
      </w:r>
    </w:p>
    <w:p>
      <w:pPr>
        <w:spacing w:line="360" w:lineRule="auto" w:before="0" w:after="80"/>
        <w:jc w:val="both"/>
      </w:pPr>
      <w:r>
        <w:rPr>
          <w:rFonts w:ascii="Arial" w:hAnsi="Arial"/>
          <w:b w:val="0"/>
          <w:i w:val="0"/>
          <w:color w:val="111827"/>
          <w:sz w:val="24"/>
        </w:rPr>
        <w:t xml:space="preserve">Durante a execução de um contrato administrativo de fornecimento de sistemas de segurança eletrônica celebrado por uma Secretaria de Estado, apurou-se em processo sancionador que a empresa contratada cometeu fraude dolosa ao apresentar certidões negativas tributárias ideologicamente falsas e tentar subornar o fiscal do contrato. O Secretário de Estado aplicou à infratora a penalidade de </w:t>
      </w:r>
      <w:r>
        <w:rPr>
          <w:rFonts w:ascii="Arial" w:hAnsi="Arial"/>
          <w:b/>
          <w:i w:val="0"/>
          <w:color w:val="111827"/>
          <w:sz w:val="24"/>
        </w:rPr>
        <w:t>Declaração de Inidoneidade para Licitar ou Contratar</w:t>
      </w:r>
      <w:r>
        <w:rPr>
          <w:rFonts w:ascii="Arial" w:hAnsi="Arial"/>
          <w:b w:val="0"/>
          <w:i w:val="0"/>
          <w:color w:val="111827"/>
          <w:sz w:val="24"/>
        </w:rPr>
        <w:t>.</w:t>
      </w:r>
    </w:p>
    <w:p>
      <w:pPr>
        <w:spacing w:line="360" w:lineRule="auto" w:before="0" w:after="80"/>
        <w:jc w:val="both"/>
      </w:pPr>
      <w:r>
        <w:rPr>
          <w:rFonts w:ascii="Arial" w:hAnsi="Arial"/>
          <w:b w:val="0"/>
          <w:i w:val="0"/>
          <w:color w:val="111827"/>
          <w:sz w:val="24"/>
        </w:rPr>
        <w:t>À luz do regime sancionatório da Lei Federal nº 14.133/2021, a sanção aplicada: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Produz efeitos restritos ao órgão contratante, permitindo que a empresa continue licitando com outros órgãos do Estado de Goiás e com Municípios.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Impede o responsável de licitar ou contratar no âmbito da Administração Pública direta e indireta de todos os entes federativos (União, Estados, DF e Municípios), pelo prazo de 3 a 6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Tem vigência perpétua e irreversível, sendo vedada qualquer reabilitação jurídica do sancionado.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Pode ser aplicada monocraticamente pelo fiscal administrativo do contrato em despacho ordinário.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Extingue-se automaticamente caso a empresa altere sua denominação social e seu quadro de sócios.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sanção que se restringe à esfera do próprio ente federativo é o "Impedimento de licitar e contratar" (art. 156, III). A declaração de inidoneidade tem efeito nacional amplo.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De acordo com o art. 156, § 5º, da Lei nº 14.133/2021, a sanção de declaração de inidoneidade para licitar ou contratar impedirá o responsável de licitar ou contratar no âmbito da Administração Pública direta e indireta de todos os entes federativos (União, Estados, Distrito Federal e Municípios), pelo prazo mínimo de 3 (três) anos e máximo de 6 (seis) anos.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sanção não é perpétua e admite processo de reabilitação após cumprido o prazo mínimo de 3 anos, reparado o dano e atendidas exigências de integridade (art. 163).</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declaração de inidoneidade é privativa de Ministro de Estado, Secretário de Estado ou Secretário Municipal, não podendo ser aplicada por fiscal de contrato.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fraude de sucessão societária atrai o instituto da desconsideração da personalidade jurídica (art. 160), estendendo as sanções aos novos sócios.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Procurador do Estado / Adaptada)</w:t>
      </w:r>
    </w:p>
    <w:p>
      <w:pPr>
        <w:spacing w:line="360" w:lineRule="auto" w:before="0" w:after="80"/>
        <w:jc w:val="both"/>
      </w:pPr>
      <w:r>
        <w:rPr>
          <w:rFonts w:ascii="Arial" w:hAnsi="Arial"/>
          <w:b w:val="0"/>
          <w:i w:val="0"/>
          <w:color w:val="111827"/>
          <w:sz w:val="24"/>
        </w:rPr>
        <w:t>Um empregado terceirizado que prestava serviços de vigilância armada no prédio do Tribunal de Contas ajuizou reclamação trabalhista perante a Justiça do Trabalho em face da empresa terceirizada e do Estado de Goiás, postulando o pagamento de horas extras e verbas rescisórias inadimplidas pela empregadora. O magistrado trabalhista condenou o Estado de forma subsidiária automática, fundamentando a decisão apenas no fato objetivo de a Administração ter se beneficiado da força de trabalho do reclamante.</w:t>
      </w:r>
    </w:p>
    <w:p>
      <w:pPr>
        <w:spacing w:line="360" w:lineRule="auto" w:before="0" w:after="80"/>
        <w:jc w:val="both"/>
      </w:pPr>
      <w:r>
        <w:rPr>
          <w:rFonts w:ascii="Arial" w:hAnsi="Arial"/>
          <w:b w:val="0"/>
          <w:i w:val="0"/>
          <w:color w:val="111827"/>
          <w:sz w:val="24"/>
        </w:rPr>
        <w:t xml:space="preserve">Diante do art. 121, § 1º, da Lei Federal nº 14.133/2021 e da tese de repercussão geral fixada pelo Supremo Tribunal Federal no </w:t>
      </w:r>
      <w:r>
        <w:rPr>
          <w:rFonts w:ascii="Arial" w:hAnsi="Arial"/>
          <w:b/>
          <w:i w:val="0"/>
          <w:color w:val="111827"/>
          <w:sz w:val="24"/>
        </w:rPr>
        <w:t>Tema 246</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condenação foi escorreita, visto que a responsabilidade trabalhista do Poder Público tomador de serviços terceirizados é objetiva e prescinde de qualquer prova de culpa.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condenação subsidiária do ente público é indevida sem a comprovação cabal de sua culpa </w:t>
      </w:r>
      <w:r>
        <w:rPr>
          <w:rFonts w:ascii="Arial" w:hAnsi="Arial"/>
          <w:b w:val="0"/>
          <w:i/>
          <w:color w:val="111827"/>
          <w:sz w:val="22"/>
        </w:rPr>
        <w:t>in vigilando</w:t>
      </w:r>
      <w:r>
        <w:rPr>
          <w:rFonts w:ascii="Arial" w:hAnsi="Arial"/>
          <w:b w:val="0"/>
          <w:i w:val="0"/>
          <w:color w:val="111827"/>
          <w:sz w:val="22"/>
        </w:rPr>
        <w:t xml:space="preserve"> na fiscalização do cumprimento das obrigações contratuais e trabalhistas da empresa prestadora de serviços.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Estado responde de forma solidária primária, equiparando-se o terceirizado a servidor público concursado.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Lei nº 14.133/2021 extinguiu qualquer possibilidade de condenação da Fazenda Pública na Justiça do Trabalho.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ônus de provar a regularidade fiscalização das guias de FGTS transfere-se automaticamente para o Ministério Público do Trabalho.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STF fixou expressamente no RE 760.931 (Tema 246) que o inadimplemento trabalhista do contratado não transfere responsabilidade objetiva ao Estado.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Pelo art. 121, § 1º, da Lei 14.133/2021 c/c o Tema 246 da Repercussão Geral do STF, a responsabilidade subsidiária da Administração Pública não opera por transferência automática. É indispensável a comprovação inequívoca nos autos de conduta culposa da Administração no dever de fiscalizar (culpa </w:t>
            </w:r>
            <w:r>
              <w:rPr>
                <w:rFonts w:ascii="Arial" w:hAnsi="Arial"/>
                <w:b w:val="0"/>
                <w:i/>
                <w:color w:val="111827"/>
                <w:sz w:val="21"/>
              </w:rPr>
              <w:t>in vigilando</w:t>
            </w:r>
            <w:r>
              <w:rPr>
                <w:rFonts w:ascii="Arial" w:hAnsi="Arial"/>
                <w:b w:val="0"/>
                <w:i w:val="0"/>
                <w:color w:val="111827"/>
                <w:sz w:val="21"/>
              </w:rPr>
              <w:t>), ônus probatório que recai sobre o trabalhador postulante.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Não há solidariedade em matéria de verbas trabalhistas de terceirizados nem equiparação funcional com servidores efetivos.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responsabilidade subsidiária subsiste quando houver prova da omissão culposa da fiscalização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MPT não assume o encargo probatório da fiscalização do FGTS em reclamatórias trabalhistas individuais.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Auditor de Controle Externo / Adaptada)</w:t>
      </w:r>
    </w:p>
    <w:p>
      <w:pPr>
        <w:spacing w:line="360" w:lineRule="auto" w:before="0" w:after="80"/>
        <w:jc w:val="both"/>
      </w:pPr>
      <w:r>
        <w:rPr>
          <w:rFonts w:ascii="Arial" w:hAnsi="Arial"/>
          <w:b w:val="0"/>
          <w:i w:val="0"/>
          <w:color w:val="111827"/>
          <w:sz w:val="24"/>
        </w:rPr>
        <w:t>Durante a execução de um contrato administrativo de serviços de limpeza e conservação predial com dedicação exclusiva de mão de obra celebrado por determinado órgão estadual, ocorreu a homologação de nova Convenção Coletiva de Trabalho da categoria dos trabalhadores da limpeza, com reajuste salarial de 8% nos pisos da categoria. Paralelamente, em outro contrato de fornecimento de combustíveis para viaturas oficiais, a cotação internacional do barril de petróleo subiu extraordinariamente em virtude de eclosão de conflito armado imprevisível no exterior.</w:t>
      </w:r>
    </w:p>
    <w:p>
      <w:pPr>
        <w:spacing w:line="360" w:lineRule="auto" w:before="0" w:after="80"/>
        <w:jc w:val="both"/>
      </w:pPr>
      <w:r>
        <w:rPr>
          <w:rFonts w:ascii="Arial" w:hAnsi="Arial"/>
          <w:b w:val="0"/>
          <w:i w:val="0"/>
          <w:color w:val="111827"/>
          <w:sz w:val="24"/>
        </w:rPr>
        <w:t>Os institutos jurídicos cabíveis para a recomposição financeira dos contratos de limpeza e de combustíveis são,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Reajuste em sentido estrito e repactuação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Repactuação e revisão (reequilíbrio econômico-financeiro)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Revisão e reajuste por índice inflacionário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Supressão unilateral e rescisão consensual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Encampação e caducidade contratual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reajuste em sentido estrito adota índices oficiais de preços prefixados para cobrir a inflação ordinária, não se aplicando à majoração decorrente de CCT nem ao caso de guerra imprevisível.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Nos contratos com dedicação exclusiva de mão de obra (como o de limpeza), a variação de custos decorrente de Convenção Coletiva de Trabalho (CCT) é recomposta por meio do instituto da </w:t>
            </w:r>
            <w:r>
              <w:rPr>
                <w:rFonts w:ascii="Arial" w:hAnsi="Arial"/>
                <w:b/>
                <w:i w:val="0"/>
                <w:color w:val="111827"/>
                <w:sz w:val="21"/>
              </w:rPr>
              <w:t>Repactuação</w:t>
            </w:r>
            <w:r>
              <w:rPr>
                <w:rFonts w:ascii="Arial" w:hAnsi="Arial"/>
                <w:b w:val="0"/>
                <w:i w:val="0"/>
                <w:color w:val="111827"/>
                <w:sz w:val="21"/>
              </w:rPr>
              <w:t xml:space="preserve"> (art. 135 da Lei nº 14.133/2021). Já o aumento extraordinário e imprevisível de combustíveis por guerra externa caracteriza álea extraordinária, ensejando a </w:t>
            </w:r>
            <w:r>
              <w:rPr>
                <w:rFonts w:ascii="Arial" w:hAnsi="Arial"/>
                <w:b/>
                <w:i w:val="0"/>
                <w:color w:val="111827"/>
                <w:sz w:val="21"/>
              </w:rPr>
              <w:t>Revisão</w:t>
            </w:r>
            <w:r>
              <w:rPr>
                <w:rFonts w:ascii="Arial" w:hAnsi="Arial"/>
                <w:b w:val="0"/>
                <w:i w:val="0"/>
                <w:color w:val="111827"/>
                <w:sz w:val="21"/>
              </w:rPr>
              <w:t xml:space="preserve"> (Reequilíbrio Econômico-Financeiro em sentido estrito - art. 124, II, "d").</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Inverte a ordem dos institutos aplicáveis aos dois contratos apresentados.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Supressão unilateral e rescisão consensual são atos de extinção ou diminuição de escopo contratual, e não modalidades de recomposição pecuniária.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Encampação e caducidade são modalidades de extinção unilateral de concessões de serviços públicos (Lei nº 8.987/95).</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Analista Judiciário)</w:t>
      </w:r>
    </w:p>
    <w:p>
      <w:pPr>
        <w:spacing w:line="360" w:lineRule="auto" w:before="0" w:after="80"/>
        <w:jc w:val="both"/>
      </w:pPr>
      <w:r>
        <w:rPr>
          <w:rFonts w:ascii="Arial" w:hAnsi="Arial"/>
          <w:b w:val="0"/>
          <w:i w:val="0"/>
          <w:color w:val="111827"/>
          <w:sz w:val="24"/>
        </w:rPr>
        <w:t>Em uma licitação de obra pública de grande vulto (orçada em R$ 300 milhões) para construção de um complexo penitenciário de segurança máxima, o edital estabeleceu a obrigatoriedade de contratação de seguro-garantia com previsão de cláusula de retomada (</w:t>
      </w:r>
      <w:r>
        <w:rPr>
          <w:rFonts w:ascii="Arial" w:hAnsi="Arial"/>
          <w:b w:val="0"/>
          <w:i/>
          <w:color w:val="111827"/>
          <w:sz w:val="24"/>
        </w:rPr>
        <w:t>step-in rights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De acordo com o art. 102 da Lei Federal nº 14.133/2021, a </w:t>
      </w:r>
      <w:r>
        <w:rPr>
          <w:rFonts w:ascii="Arial" w:hAnsi="Arial"/>
          <w:b/>
          <w:i w:val="0"/>
          <w:color w:val="111827"/>
          <w:sz w:val="24"/>
        </w:rPr>
        <w:t>cláusula de retomada no seguro-garantia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Limita a garantia a 1% do valor do contrato e proíbe a seguradora de ingressar no canteiro de obras.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Pode prever garantia de até 30% do valor inicial do contrato, ficando a seguradora obrigada, em caso de inadimplemento do contratado, a assumir a execução e concluir o objeto do contrato.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Exige que a seguradora execute a obra diretamente por seus próprios corretores de seguros.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Isenta a seguradora de qualquer responsabilidade caso a construtora entre em recuperação judicial.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Transfere a titularidade da obra para a seguradora em regime de dação em pagamento definitiva.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limite de garantia com cláusula de retomada pode atingir até 30% do valor inicial do contrato, e o propósito basilar do dispositivo é autorizar a intervenção direta da seguradora para terminar a obra.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Conforme o art. 102 da Lei nº 14.133/2021, na contratação de obras e serviços de engenharia de grande vulto, o edital pode prever a obrigatoriedade de seguro-garantia com percentual de até 30% do valor inicial do contrato com previsão de cláusula de retomada (</w:t>
            </w:r>
            <w:r>
              <w:rPr>
                <w:rFonts w:ascii="Arial" w:hAnsi="Arial"/>
                <w:b w:val="0"/>
                <w:i/>
                <w:color w:val="111827"/>
                <w:sz w:val="21"/>
              </w:rPr>
              <w:t>step-in rights</w:t>
            </w:r>
            <w:r>
              <w:rPr>
                <w:rFonts w:ascii="Arial" w:hAnsi="Arial"/>
                <w:b w:val="0"/>
                <w:i w:val="0"/>
                <w:color w:val="111827"/>
                <w:sz w:val="21"/>
              </w:rPr>
              <w:t>), pela qual a seguradora, em caso de inadimplemento do contratado, assume a execução e conclui a obra, diretamente ou por meio de terceiros subcontratados.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seguradora assume a gestão jurídica da execução, podendo contratar empresas e engenheiros especializados para os serviços práticos de engenharia.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descumprimento por inadimplência ou quebra da construtora é precisamente o fato ensejador da execução do seguro e da ativação da retomada.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Não ocorre dação em pagamento ou alienação do bem público à seguradora; o bem permanece público e a seguradora apenas cumpre a prestação de fazer assumida na apólice.</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01 - Aplicabilidade das Normas Constitucionais e Princípios Fundamentais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Direito Constitucional</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01_aplicabilidade_das_normas_e_principios_fundamentais.md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Oficial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Da aplicabilidade das normas constitucionais (Classificação de José Afonso da Silva).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Normas constitucionais de eficácia plena, contida e limitada.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Normas constitucionais programáticas e princípio da reserva do possível vs. mínimo existencial.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Princípios Fundamentais da Constituição da República Federativa do Brasil de 1988 (Artigos 1º a 4º).</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Fundamentos da República Federativa do Brasil (Artigo 1º).</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Teoria da Separação dos Poderes e o sistema de freios e contrapesos (</w:t>
      </w:r>
      <w:r>
        <w:rPr>
          <w:rFonts w:ascii="Arial" w:hAnsi="Arial"/>
          <w:b w:val="0"/>
          <w:i/>
          <w:color w:val="111827"/>
          <w:sz w:val="22"/>
        </w:rPr>
        <w:t>Checks and Balances</w:t>
      </w:r>
      <w:r>
        <w:rPr>
          <w:rFonts w:ascii="Arial" w:hAnsi="Arial"/>
          <w:b w:val="0"/>
          <w:i w:val="0"/>
          <w:color w:val="111827"/>
          <w:sz w:val="22"/>
        </w:rPr>
        <w:t xml:space="preserve"> - Artigo 2º).</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Objetivos fundamentais da República Federativa do Brasil (Artigo 3º).</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Princípios que regem a República Federativa do Brasil em suas relações internacionais (Artigo 4º).</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1B365D"/>
          <w:sz w:val="22"/>
        </w:rPr>
        <w:t xml:space="preserve">1. </w:t>
      </w:r>
      <w:r>
        <w:rPr>
          <w:rFonts w:ascii="Arial" w:hAnsi="Arial"/>
          <w:color w:val="2B6CB0"/>
          <w:sz w:val="22"/>
          <w:u w:val="single"/>
        </w:rPr>
        <w:t>Eficácia e Aplicabilidade das Normas Constitucionais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1.1 </w:t>
      </w:r>
      <w:r>
        <w:rPr>
          <w:rFonts w:ascii="Arial" w:hAnsi="Arial"/>
          <w:color w:val="2B6CB0"/>
          <w:sz w:val="22"/>
          <w:u w:val="single"/>
        </w:rPr>
        <w:t>Classificação Tripartite de José Afonso da Silva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1.2 </w:t>
      </w:r>
      <w:r>
        <w:rPr>
          <w:rFonts w:ascii="Arial" w:hAnsi="Arial"/>
          <w:color w:val="2B6CB0"/>
          <w:sz w:val="22"/>
          <w:u w:val="single"/>
        </w:rPr>
        <w:t>Eficácia Mínima das Normas Limitadas e Remédios contra Omissão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1.3 </w:t>
      </w:r>
      <w:r>
        <w:rPr>
          <w:rFonts w:ascii="Arial" w:hAnsi="Arial"/>
          <w:color w:val="2B6CB0"/>
          <w:sz w:val="22"/>
          <w:u w:val="single"/>
        </w:rPr>
        <w:t>Reserva do Possível versus Mínimo Existencial</w:t>
      </w:r>
    </w:p>
    <w:p>
      <w:pPr>
        <w:spacing w:line="276" w:lineRule="auto" w:before="20" w:after="40"/>
        <w:ind w:left="425"/>
      </w:pPr>
      <w:r>
        <w:rPr>
          <w:rFonts w:ascii="Arial" w:hAnsi="Arial"/>
          <w:b/>
          <w:color w:val="1B365D"/>
          <w:sz w:val="22"/>
        </w:rPr>
        <w:t xml:space="preserve">2. </w:t>
      </w:r>
      <w:r>
        <w:rPr>
          <w:rFonts w:ascii="Arial" w:hAnsi="Arial"/>
          <w:color w:val="2B6CB0"/>
          <w:sz w:val="22"/>
          <w:u w:val="single"/>
        </w:rPr>
        <w:t>Princípios Fundamentais da CF/88 (Título I - Arts. 1º a 4º)</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2.1 </w:t>
      </w:r>
      <w:r>
        <w:rPr>
          <w:rFonts w:ascii="Arial" w:hAnsi="Arial"/>
          <w:color w:val="2B6CB0"/>
          <w:sz w:val="22"/>
          <w:u w:val="single"/>
        </w:rPr>
        <w:t>Forma de Estado, Forma de Governo e Regime Político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2.2 </w:t>
      </w:r>
      <w:r>
        <w:rPr>
          <w:rFonts w:ascii="Arial" w:hAnsi="Arial"/>
          <w:color w:val="2B6CB0"/>
          <w:sz w:val="22"/>
          <w:u w:val="single"/>
        </w:rPr>
        <w:t>Fundamentos da República Federativa do Brasil (Art. 1º)</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2.3 </w:t>
      </w:r>
      <w:r>
        <w:rPr>
          <w:rFonts w:ascii="Arial" w:hAnsi="Arial"/>
          <w:color w:val="2B6CB0"/>
          <w:sz w:val="22"/>
          <w:u w:val="single"/>
        </w:rPr>
        <w:t>Separação dos Poderes e o Sistema de Freios e Contrapesos (Art. 2º)</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2.4 </w:t>
      </w:r>
      <w:r>
        <w:rPr>
          <w:rFonts w:ascii="Arial" w:hAnsi="Arial"/>
          <w:color w:val="2B6CB0"/>
          <w:sz w:val="22"/>
          <w:u w:val="single"/>
        </w:rPr>
        <w:t>Objetivos Fundamentais da República (Art. 3º)</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2.5 </w:t>
      </w:r>
      <w:r>
        <w:rPr>
          <w:rFonts w:ascii="Arial" w:hAnsi="Arial"/>
          <w:color w:val="2B6CB0"/>
          <w:sz w:val="22"/>
          <w:u w:val="single"/>
        </w:rPr>
        <w:t>Princípios nas Relações Internacionais e Integração Latino-Americana (Art. 4º)</w:t>
      </w:r>
    </w:p>
    <w:p>
      <w:pPr>
        <w:spacing w:line="276" w:lineRule="auto" w:before="20" w:after="40"/>
        <w:ind w:left="425"/>
      </w:pPr>
      <w:r>
        <w:rPr>
          <w:rFonts w:ascii="Arial" w:hAnsi="Arial"/>
          <w:b/>
          <w:color w:val="1B365D"/>
          <w:sz w:val="22"/>
        </w:rPr>
        <w:t xml:space="preserve">3. </w:t>
      </w:r>
      <w:r>
        <w:rPr>
          <w:rFonts w:ascii="Arial" w:hAnsi="Arial"/>
          <w:color w:val="2B6CB0"/>
          <w:sz w:val="22"/>
          <w:u w:val="single"/>
        </w:rPr>
        <w:t>Fontes Recomendadas na Internet</w:t>
      </w:r>
    </w:p>
    <w:p>
      <w:pPr>
        <w:spacing w:line="276" w:lineRule="auto" w:before="20" w:after="40"/>
        <w:ind w:left="425"/>
      </w:pPr>
      <w:r>
        <w:rPr>
          <w:rFonts w:ascii="Arial" w:hAnsi="Arial"/>
          <w:b/>
          <w:color w:val="1B365D"/>
          <w:sz w:val="22"/>
        </w:rPr>
        <w:t xml:space="preserve">4. </w:t>
      </w:r>
      <w:r>
        <w:rPr>
          <w:rFonts w:ascii="Arial" w:hAnsi="Arial"/>
          <w:color w:val="2B6CB0"/>
          <w:sz w:val="22"/>
          <w:u w:val="single"/>
        </w:rPr>
        <w:t>Questões Comentadas no Padrão FCC (Justificadas de A a E)</w:t>
      </w:r>
    </w:p>
    <w:p>
      <w:pPr>
        <w:keepNext/>
        <w:spacing w:before="280" w:after="120"/>
      </w:pPr>
      <w:r>
        <w:rPr>
          <w:rFonts w:ascii="Arial" w:hAnsi="Arial"/>
          <w:b/>
          <w:i w:val="0"/>
          <w:color w:val="2C5282"/>
          <w:sz w:val="28"/>
        </w:rPr>
        <w:t>📖 Teoria Aprofundada e Pontos Críticos</w:t>
      </w:r>
    </w:p>
    <w:p>
      <w:pPr>
        <w:keepNext/>
        <w:spacing w:before="200" w:after="80"/>
      </w:pPr>
      <w:r>
        <w:rPr>
          <w:rFonts w:ascii="Arial" w:hAnsi="Arial"/>
          <w:b/>
          <w:i w:val="0"/>
          <w:color w:val="2B6CB0"/>
          <w:sz w:val="24"/>
        </w:rPr>
        <w:t>1. Eficácia e Aplicabilidade das Normas Constitucionais</w:t>
      </w:r>
    </w:p>
    <w:p>
      <w:pPr>
        <w:spacing w:line="360" w:lineRule="auto" w:before="0" w:after="80"/>
        <w:jc w:val="both"/>
      </w:pPr>
      <w:r>
        <w:rPr>
          <w:rFonts w:ascii="Arial" w:hAnsi="Arial"/>
          <w:b w:val="0"/>
          <w:i w:val="0"/>
          <w:color w:val="111827"/>
          <w:sz w:val="24"/>
        </w:rPr>
        <w:t>O estudo da aplicabilidade das normas constitucionais investiga o grau de aptidão que cada preceito da Lei Fundamental possui para produzir efeitos jurídicos no mundo dos fatos desde a sua promulgação. No direito público brasileiro, a doutrina amplamente majoritária e a jurisprudência pacífica do Supremo Tribunal Federal (STF) consagram a classificação tripartite formulada pelo professor José Afonso da Silva.</w:t>
      </w:r>
    </w:p>
    <w:p>
      <w:pPr>
        <w:keepNext/>
        <w:spacing w:before="120" w:after="40"/>
      </w:pPr>
      <w:r>
        <w:rPr>
          <w:rFonts w:ascii="Arial" w:hAnsi="Arial"/>
          <w:b/>
          <w:i/>
          <w:color w:val="334155"/>
          <w:sz w:val="22"/>
        </w:rPr>
        <w:t>1.1 Classificação Tripartite de José Afonso da Silva</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Classificação da Norma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Aplicabilidade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Depende de Lei Infraconstitucional?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Pode Ser Restringida por Lei?</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Exemplos Canônicos na CF/88</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Eficácia Plena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Direta, Imediata e Integral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Art. 2º (Separação dos Poderes); Art. 5º, III (Vedação da tortura); Art. 5º, LVI (Inadmissibilidade de provas ilícitas).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Eficácia Contida (ou Redutível)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Direta, Imediata e NÃO Integral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r>
              <w:rPr>
                <w:rFonts w:ascii="Arial" w:hAnsi="Arial"/>
                <w:b w:val="0"/>
                <w:i w:val="0"/>
                <w:color w:val="111827"/>
                <w:sz w:val="19"/>
              </w:rPr>
              <w:t xml:space="preserve"> (produz efeitos plenos desde a promulgação)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(a lei infraconstitucional pode restringir seu alcance)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Art. 5º, XIII (Liberdade de exercício profissional atendidas qualificações da lei); Art. 5º, XII (Inviolabilidade de sigilo telefônico salvo ordem judicial).</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Eficácia Limitada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Indireta, Mediata e Reduzida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r>
              <w:rPr>
                <w:rFonts w:ascii="Arial" w:hAnsi="Arial"/>
                <w:b w:val="0"/>
                <w:i w:val="0"/>
                <w:color w:val="111827"/>
                <w:sz w:val="19"/>
              </w:rPr>
              <w:t xml:space="preserve"> (depende de atuação integradora do legislador ordinário)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se aplica (o direito nasce contido e depende de ampliação legal)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Art. 37, VII (Direito de greve dos servidores públicos civis); Art. 196 (Direito à saúde como dever do Estado mediante políticas públicas).</w:t>
            </w:r>
          </w:p>
        </w:tc>
      </w:tr>
    </w:tbl>
    <w:p>
      <w:pPr>
        <w:spacing w:after="120"/>
      </w:pP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Normas de Eficácia Plena:</w:t>
      </w:r>
      <w:r>
        <w:rPr>
          <w:rFonts w:ascii="Arial" w:hAnsi="Arial"/>
          <w:b w:val="0"/>
          <w:i w:val="0"/>
          <w:color w:val="111827"/>
          <w:sz w:val="22"/>
        </w:rPr>
        <w:t xml:space="preserve"> São aquelas que desde a promulgação da Constituição receberam do constituinte uma normatividade suficiente para serem aplicadas de pronto a situações concretas. Não dependem de qualquer regulamentação legal ulterior para produzirem todos os seus efeitos e não podem ser restringidas pelo legislador ordinário.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Normas de Eficácia Contida (ou Redutível / Prospectiva):</w:t>
      </w:r>
      <w:r>
        <w:rPr>
          <w:rFonts w:ascii="Arial" w:hAnsi="Arial"/>
          <w:b w:val="0"/>
          <w:i w:val="0"/>
          <w:color w:val="111827"/>
          <w:sz w:val="22"/>
        </w:rPr>
        <w:t xml:space="preserve"> São normas que também produzem efeitos plenos e imediatos a partir da promulgação, mas nas quais o constituinte deixou expressa ou implicitamente uma cláusula de contenção (</w:t>
      </w:r>
      <w:r>
        <w:rPr>
          <w:rFonts w:ascii="Arial" w:hAnsi="Arial"/>
          <w:b w:val="0"/>
          <w:i/>
          <w:color w:val="111827"/>
          <w:sz w:val="22"/>
        </w:rPr>
        <w:t>"na forma da lei"</w:t>
      </w:r>
      <w:r>
        <w:rPr>
          <w:rFonts w:ascii="Arial" w:hAnsi="Arial"/>
          <w:b w:val="0"/>
          <w:i w:val="0"/>
          <w:color w:val="111827"/>
          <w:sz w:val="22"/>
        </w:rPr>
        <w:t xml:space="preserve">, </w:t>
      </w:r>
      <w:r>
        <w:rPr>
          <w:rFonts w:ascii="Arial" w:hAnsi="Arial"/>
          <w:b w:val="0"/>
          <w:i/>
          <w:color w:val="111827"/>
          <w:sz w:val="22"/>
        </w:rPr>
        <w:t>"atendidas as qualificações que a lei estabelecer"</w:t>
      </w:r>
      <w:r>
        <w:rPr>
          <w:rFonts w:ascii="Arial" w:hAnsi="Arial"/>
          <w:b w:val="0"/>
          <w:i w:val="0"/>
          <w:color w:val="111827"/>
          <w:sz w:val="22"/>
        </w:rPr>
        <w:t xml:space="preserve">, </w:t>
      </w:r>
      <w:r>
        <w:rPr>
          <w:rFonts w:ascii="Arial" w:hAnsi="Arial"/>
          <w:b w:val="0"/>
          <w:i/>
          <w:color w:val="111827"/>
          <w:sz w:val="22"/>
        </w:rPr>
        <w:t>"salvo disposição em contrário"</w:t>
      </w:r>
      <w:r>
        <w:rPr>
          <w:rFonts w:ascii="Arial" w:hAnsi="Arial"/>
          <w:b w:val="0"/>
          <w:i w:val="0"/>
          <w:color w:val="111827"/>
          <w:sz w:val="22"/>
        </w:rPr>
        <w:t>). Enquanto o legislador ordinário não editar a norma restritiva, o exercício do direito é pleno e irrestrito.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Normas de Eficácia Limitada:</w:t>
      </w:r>
      <w:r>
        <w:rPr>
          <w:rFonts w:ascii="Arial" w:hAnsi="Arial"/>
          <w:b w:val="0"/>
          <w:i w:val="0"/>
          <w:color w:val="111827"/>
          <w:sz w:val="22"/>
        </w:rPr>
        <w:t xml:space="preserve"> Não produzem seus efeitos fundamentais de imediato, dependendo da interferência do legislador infraconstitucional para conferir densidade e viabilizar o exercício prático da prerrogativa. Subdividem-se em:</w:t>
      </w:r>
    </w:p>
    <w:p>
      <w:pPr>
        <w:spacing w:line="276" w:lineRule="auto" w:before="20" w:after="40"/>
        <w:ind w:left="992"/>
      </w:pPr>
      <w:r>
        <w:rPr>
          <w:rFonts w:ascii="Arial" w:hAnsi="Arial"/>
          <w:b/>
          <w:color w:val="1B365D"/>
          <w:sz w:val="22"/>
        </w:rPr>
        <w:t xml:space="preserve">1. </w:t>
      </w:r>
      <w:r>
        <w:rPr>
          <w:rFonts w:ascii="Arial" w:hAnsi="Arial"/>
          <w:b w:val="0"/>
          <w:i/>
          <w:color w:val="111827"/>
          <w:sz w:val="22"/>
        </w:rPr>
        <w:t>Normas de Princípio Institutivo (ou Organizatório):</w:t>
      </w:r>
      <w:r>
        <w:rPr>
          <w:rFonts w:ascii="Arial" w:hAnsi="Arial"/>
          <w:b w:val="0"/>
          <w:i w:val="0"/>
          <w:color w:val="111827"/>
          <w:sz w:val="22"/>
        </w:rPr>
        <w:t xml:space="preserve"> Aquelas pelas quais o constituinte traça o esquema geral de criação e organização de órgãos, entidades ou instituições do Estado (ex.: art. 88 da CF/88, que dispõe que a lei disporá sobre a criação e extinção de Ministérios);</w:t>
      </w:r>
    </w:p>
    <w:p>
      <w:pPr>
        <w:spacing w:line="276" w:lineRule="auto" w:before="20" w:after="40"/>
        <w:ind w:left="992"/>
      </w:pPr>
      <w:r>
        <w:rPr>
          <w:rFonts w:ascii="Arial" w:hAnsi="Arial"/>
          <w:b/>
          <w:color w:val="1B365D"/>
          <w:sz w:val="22"/>
        </w:rPr>
        <w:t xml:space="preserve">2. </w:t>
      </w:r>
      <w:r>
        <w:rPr>
          <w:rFonts w:ascii="Arial" w:hAnsi="Arial"/>
          <w:b w:val="0"/>
          <w:i/>
          <w:color w:val="111827"/>
          <w:sz w:val="22"/>
        </w:rPr>
        <w:t>Normas de Princípio Programático:</w:t>
      </w:r>
      <w:r>
        <w:rPr>
          <w:rFonts w:ascii="Arial" w:hAnsi="Arial"/>
          <w:b w:val="0"/>
          <w:i w:val="0"/>
          <w:color w:val="111827"/>
          <w:sz w:val="22"/>
        </w:rPr>
        <w:t xml:space="preserve"> Aquelas que estabelecem metas, programas sociais, diretrizes socioeconômicas e fins de interesse público a serem alcançados pelos poderes públicos (ex.: saúde, erradicação do analfabetismo, proteção ao meio ambiente).</w:t>
      </w:r>
    </w:p>
    <w:p>
      <w:pPr>
        <w:keepNext/>
        <w:spacing w:before="120" w:after="40"/>
      </w:pPr>
      <w:r>
        <w:rPr>
          <w:rFonts w:ascii="Arial" w:hAnsi="Arial"/>
          <w:b/>
          <w:i/>
          <w:color w:val="334155"/>
          <w:sz w:val="22"/>
        </w:rPr>
        <w:t>1.2 Eficácia Mínima das Normas Limitadas e Remédios contra Omissão</w:t>
      </w:r>
    </w:p>
    <w:p>
      <w:pPr>
        <w:spacing w:line="360" w:lineRule="auto" w:before="0" w:after="80"/>
        <w:jc w:val="both"/>
      </w:pPr>
      <w:r>
        <w:rPr>
          <w:rFonts w:ascii="Arial" w:hAnsi="Arial"/>
          <w:b w:val="0"/>
          <w:i w:val="0"/>
          <w:color w:val="111827"/>
          <w:sz w:val="24"/>
        </w:rPr>
        <w:t xml:space="preserve">Embora as normas de eficácia limitada não confiram exigibilidade imediata da prestação originária sem integração legislativa, é incorreto afirmar que elas são desprovidas de valor jurídico. A doutrina e a jurisprudência reconhecem a </w:t>
      </w:r>
      <w:r>
        <w:rPr>
          <w:rFonts w:ascii="Arial" w:hAnsi="Arial"/>
          <w:b/>
          <w:i w:val="0"/>
          <w:color w:val="111827"/>
          <w:sz w:val="24"/>
        </w:rPr>
        <w:t>eficácia jurídica mínima</w:t>
      </w:r>
      <w:r>
        <w:rPr>
          <w:rFonts w:ascii="Arial" w:hAnsi="Arial"/>
          <w:b w:val="0"/>
          <w:i w:val="0"/>
          <w:color w:val="111827"/>
          <w:sz w:val="24"/>
        </w:rPr>
        <w:t xml:space="preserve"> dessas normas: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Eficácia Revogatória (ou Negativa):</w:t>
      </w:r>
      <w:r>
        <w:rPr>
          <w:rFonts w:ascii="Arial" w:hAnsi="Arial"/>
          <w:b w:val="0"/>
          <w:i w:val="0"/>
          <w:color w:val="111827"/>
          <w:sz w:val="22"/>
        </w:rPr>
        <w:t xml:space="preserve"> Revogam automaticamente toda a legislação anterior que com elas seja materialmente incompatível (não recepção).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Eficácia Impeditiva:</w:t>
      </w:r>
      <w:r>
        <w:rPr>
          <w:rFonts w:ascii="Arial" w:hAnsi="Arial"/>
          <w:b w:val="0"/>
          <w:i w:val="0"/>
          <w:color w:val="111827"/>
          <w:sz w:val="22"/>
        </w:rPr>
        <w:t xml:space="preserve"> Impedem a edição de leis futuras que contrariem seus vetores teleológicos, sob pena de inconstitucionalidade direta.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Eficácia Hermenêutica / Interpretativa:</w:t>
      </w:r>
      <w:r>
        <w:rPr>
          <w:rFonts w:ascii="Arial" w:hAnsi="Arial"/>
          <w:b w:val="0"/>
          <w:i w:val="0"/>
          <w:color w:val="111827"/>
          <w:sz w:val="22"/>
        </w:rPr>
        <w:t xml:space="preserve"> Servem de vetor interpretativo obrigatório para juízes e administradores públicos.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Remédios Constitucionais contra a Omissão Inconstitucional:</w:t>
      </w:r>
      <w:r>
        <w:rPr>
          <w:rFonts w:ascii="Arial" w:hAnsi="Arial"/>
          <w:b w:val="0"/>
          <w:i w:val="0"/>
          <w:color w:val="111827"/>
          <w:sz w:val="22"/>
        </w:rPr>
        <w:t xml:space="preserve"> Para combater a mora legislativa que inviabiliza o exercício de direitos previstos em normas de eficácia limitada, a Constituição consagrou o </w:t>
      </w:r>
      <w:r>
        <w:rPr>
          <w:rFonts w:ascii="Arial" w:hAnsi="Arial"/>
          <w:b/>
          <w:i w:val="0"/>
          <w:color w:val="111827"/>
          <w:sz w:val="22"/>
        </w:rPr>
        <w:t>Mandado de Injunção</w:t>
      </w:r>
      <w:r>
        <w:rPr>
          <w:rFonts w:ascii="Arial" w:hAnsi="Arial"/>
          <w:b w:val="0"/>
          <w:i w:val="0"/>
          <w:color w:val="111827"/>
          <w:sz w:val="22"/>
        </w:rPr>
        <w:t xml:space="preserve"> (art. 5º, LXXI, e Lei nº 13.300/2016) e a </w:t>
      </w:r>
      <w:r>
        <w:rPr>
          <w:rFonts w:ascii="Arial" w:hAnsi="Arial"/>
          <w:b/>
          <w:i w:val="0"/>
          <w:color w:val="111827"/>
          <w:sz w:val="22"/>
        </w:rPr>
        <w:t>Ação Direta de Inconstitucionalidade por Omissão (ADO)</w:t>
      </w:r>
      <w:r>
        <w:rPr>
          <w:rFonts w:ascii="Arial" w:hAnsi="Arial"/>
          <w:b w:val="0"/>
          <w:i w:val="0"/>
          <w:color w:val="111827"/>
          <w:sz w:val="22"/>
        </w:rPr>
        <w:t xml:space="preserve"> (art. 103, § 2º).</w:t>
      </w:r>
    </w:p>
    <w:p>
      <w:pPr>
        <w:keepNext/>
        <w:spacing w:before="120" w:after="40"/>
      </w:pPr>
      <w:r>
        <w:rPr>
          <w:rFonts w:ascii="Arial" w:hAnsi="Arial"/>
          <w:b/>
          <w:i/>
          <w:color w:val="334155"/>
          <w:sz w:val="22"/>
        </w:rPr>
        <w:t>1.3 Reserva do Possível versus Mínimo Existencial</w:t>
      </w:r>
    </w:p>
    <w:p>
      <w:pPr>
        <w:spacing w:line="360" w:lineRule="auto" w:before="0" w:after="80"/>
        <w:jc w:val="both"/>
      </w:pPr>
      <w:r>
        <w:rPr>
          <w:rFonts w:ascii="Arial" w:hAnsi="Arial"/>
          <w:b w:val="0"/>
          <w:i w:val="0"/>
          <w:color w:val="111827"/>
          <w:sz w:val="24"/>
        </w:rPr>
        <w:t>No controle judicial de políticas públicas decorrentes de normas programáticas (saúde, fornecimento de medicamentos de alto custo, vagas em creches):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**Reserva do Possível (</w:t>
      </w:r>
      <w:r>
        <w:rPr>
          <w:rFonts w:ascii="Arial" w:hAnsi="Arial"/>
          <w:b w:val="0"/>
          <w:i/>
          <w:color w:val="111827"/>
          <w:sz w:val="22"/>
        </w:rPr>
        <w:t>Vorbehalt des Möglichen</w:t>
      </w:r>
      <w:r>
        <w:rPr>
          <w:rFonts w:ascii="Arial" w:hAnsi="Arial"/>
          <w:b w:val="0"/>
          <w:i w:val="0"/>
          <w:color w:val="111827"/>
          <w:sz w:val="22"/>
        </w:rPr>
        <w:t>):** Tese frequentemente invocada pela Fazenda Pública segundo a qual a efetivação dos direitos sociais condiciona-se à existência de capacidade orçamentária e financeira do Estado, bem como à discricionariedade do administrador na alocação de recursos escassos.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Mínimo Existencial:</w:t>
      </w:r>
      <w:r>
        <w:rPr>
          <w:rFonts w:ascii="Arial" w:hAnsi="Arial"/>
          <w:b w:val="0"/>
          <w:i w:val="0"/>
          <w:color w:val="111827"/>
          <w:sz w:val="22"/>
        </w:rPr>
        <w:t xml:space="preserve"> Entendimento consolidado pelo STF no sentido de que a reserva do possível encontra limite intransponível no </w:t>
      </w:r>
      <w:r>
        <w:rPr>
          <w:rFonts w:ascii="Arial" w:hAnsi="Arial"/>
          <w:b/>
          <w:i w:val="0"/>
          <w:color w:val="111827"/>
          <w:sz w:val="22"/>
        </w:rPr>
        <w:t>núcleo essencial dos direitos fundamentais indispensáveis a uma vida digna</w:t>
      </w:r>
      <w:r>
        <w:rPr>
          <w:rFonts w:ascii="Arial" w:hAnsi="Arial"/>
          <w:b w:val="0"/>
          <w:i w:val="0"/>
          <w:color w:val="111827"/>
          <w:sz w:val="22"/>
        </w:rPr>
        <w:t xml:space="preserve"> (mínimo existencial). Quando estiver em jogo a própria sobrevivência ou a integridade biológica do indivíduo, a alegação de insuficiência de recursos orçamentários torna-se inoponível ao cidadão.</w:t>
      </w:r>
    </w:p>
    <w:p>
      <w:pPr>
        <w:keepNext/>
        <w:spacing w:before="200" w:after="80"/>
      </w:pPr>
      <w:r>
        <w:rPr>
          <w:rFonts w:ascii="Arial" w:hAnsi="Arial"/>
          <w:b/>
          <w:i w:val="0"/>
          <w:color w:val="2B6CB0"/>
          <w:sz w:val="24"/>
        </w:rPr>
        <w:t>2. Princípios Fundamentais da CF/88 (Título I - Arts. 1º a 4º)</w:t>
      </w:r>
    </w:p>
    <w:p>
      <w:pPr>
        <w:spacing w:line="360" w:lineRule="auto" w:before="0" w:after="80"/>
        <w:jc w:val="both"/>
      </w:pPr>
      <w:r>
        <w:rPr>
          <w:rFonts w:ascii="Arial" w:hAnsi="Arial"/>
          <w:b w:val="0"/>
          <w:i w:val="0"/>
          <w:color w:val="111827"/>
          <w:sz w:val="24"/>
        </w:rPr>
        <w:t>O Título I da Constituição Federal delimita as decisões políticas estruturantes do Estado brasileiro.</w:t>
      </w:r>
    </w:p>
    <w:p>
      <w:pPr>
        <w:keepNext/>
        <w:spacing w:before="120" w:after="40"/>
      </w:pPr>
      <w:r>
        <w:rPr>
          <w:rFonts w:ascii="Arial" w:hAnsi="Arial"/>
          <w:b/>
          <w:i/>
          <w:color w:val="334155"/>
          <w:sz w:val="22"/>
        </w:rPr>
        <w:t>2.1 Forma de Estado, Forma de Governo e Regime Político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Forma de Estado: Federação.</w:t>
      </w:r>
      <w:r>
        <w:rPr>
          <w:rFonts w:ascii="Arial" w:hAnsi="Arial"/>
          <w:b w:val="0"/>
          <w:i w:val="0"/>
          <w:color w:val="111827"/>
          <w:sz w:val="22"/>
        </w:rPr>
        <w:t xml:space="preserve"> Caracteriza-se pela descentralização política, coexistência de esferas federativas autônomas (União, Estados, Distrito Federal e Municípios), vedação ao direito de secessão e proteção sob cláusula pétrea explícita (art. 60, § 4º, I).</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Forma de Governo: República.</w:t>
      </w:r>
      <w:r>
        <w:rPr>
          <w:rFonts w:ascii="Arial" w:hAnsi="Arial"/>
          <w:b w:val="0"/>
          <w:i w:val="0"/>
          <w:color w:val="111827"/>
          <w:sz w:val="22"/>
        </w:rPr>
        <w:t xml:space="preserve"> Caracteriza-se pela eletividade e temporariedade dos mandatos dos governantes, pela responsabilidade política e jurídica dos agentes públicos e pelo dever republicano de prestar contas perante a sociedade e as Cortes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Regime Político: Democracia Semidireta (ou Participativa).</w:t>
      </w:r>
      <w:r>
        <w:rPr>
          <w:rFonts w:ascii="Arial" w:hAnsi="Arial"/>
          <w:b w:val="0"/>
          <w:i w:val="0"/>
          <w:color w:val="111827"/>
          <w:sz w:val="22"/>
        </w:rPr>
        <w:t xml:space="preserve"> Conforme o art. 1º, parágrafo único: </w:t>
      </w:r>
      <w:r>
        <w:rPr>
          <w:rFonts w:ascii="Arial" w:hAnsi="Arial"/>
          <w:b w:val="0"/>
          <w:i/>
          <w:color w:val="111827"/>
          <w:sz w:val="22"/>
        </w:rPr>
        <w:t>"Todo o poder emana do povo, que o exerce por meio de representantes eleitos ou diretamente, nos termos desta Constituição."</w:t>
      </w:r>
      <w:r>
        <w:rPr>
          <w:rFonts w:ascii="Arial" w:hAnsi="Arial"/>
          <w:b w:val="0"/>
          <w:i w:val="0"/>
          <w:color w:val="111827"/>
          <w:sz w:val="22"/>
        </w:rPr>
        <w:t xml:space="preserve"> O exercício direto manifesta-se por meio do </w:t>
      </w:r>
      <w:r>
        <w:rPr>
          <w:rFonts w:ascii="Arial" w:hAnsi="Arial"/>
          <w:b/>
          <w:i w:val="0"/>
          <w:color w:val="111827"/>
          <w:sz w:val="22"/>
        </w:rPr>
        <w:t>plebiscito</w:t>
      </w:r>
      <w:r>
        <w:rPr>
          <w:rFonts w:ascii="Arial" w:hAnsi="Arial"/>
          <w:b w:val="0"/>
          <w:i w:val="0"/>
          <w:color w:val="111827"/>
          <w:sz w:val="22"/>
        </w:rPr>
        <w:t xml:space="preserve">, do </w:t>
      </w:r>
      <w:r>
        <w:rPr>
          <w:rFonts w:ascii="Arial" w:hAnsi="Arial"/>
          <w:b/>
          <w:i w:val="0"/>
          <w:color w:val="111827"/>
          <w:sz w:val="22"/>
        </w:rPr>
        <w:t>referendo</w:t>
      </w:r>
      <w:r>
        <w:rPr>
          <w:rFonts w:ascii="Arial" w:hAnsi="Arial"/>
          <w:b w:val="0"/>
          <w:i w:val="0"/>
          <w:color w:val="111827"/>
          <w:sz w:val="22"/>
        </w:rPr>
        <w:t xml:space="preserve"> e da </w:t>
      </w:r>
      <w:r>
        <w:rPr>
          <w:rFonts w:ascii="Arial" w:hAnsi="Arial"/>
          <w:b/>
          <w:i w:val="0"/>
          <w:color w:val="111827"/>
          <w:sz w:val="22"/>
        </w:rPr>
        <w:t>iniciativa popular</w:t>
      </w:r>
      <w:r>
        <w:rPr>
          <w:rFonts w:ascii="Arial" w:hAnsi="Arial"/>
          <w:b w:val="0"/>
          <w:i w:val="0"/>
          <w:color w:val="111827"/>
          <w:sz w:val="22"/>
        </w:rPr>
        <w:t xml:space="preserve"> de leis (art. 14, I, II e III).</w:t>
      </w:r>
    </w:p>
    <w:p>
      <w:pPr>
        <w:keepNext/>
        <w:spacing w:before="120" w:after="40"/>
      </w:pPr>
      <w:r>
        <w:rPr>
          <w:rFonts w:ascii="Arial" w:hAnsi="Arial"/>
          <w:b/>
          <w:i/>
          <w:color w:val="334155"/>
          <w:sz w:val="22"/>
        </w:rPr>
        <w:t>2.2 Fundamentos da República Federativa do Brasil (Art. 1º)</w:t>
      </w:r>
    </w:p>
    <w:p>
      <w:pPr>
        <w:spacing w:line="360" w:lineRule="auto" w:before="0" w:after="80"/>
        <w:jc w:val="both"/>
      </w:pPr>
      <w:r>
        <w:rPr>
          <w:rFonts w:ascii="Arial" w:hAnsi="Arial"/>
          <w:b w:val="0"/>
          <w:i w:val="0"/>
          <w:color w:val="111827"/>
          <w:sz w:val="24"/>
        </w:rPr>
        <w:t xml:space="preserve">Os fundamentos consubstanciam as bases estruturais sobre as quais se erige o Estado brasileiro. São expressos por substantivos e memorizados pelo consagrado mnemônico </w:t>
      </w:r>
      <w:r>
        <w:rPr>
          <w:rFonts w:ascii="Arial" w:hAnsi="Arial"/>
          <w:b/>
          <w:i w:val="0"/>
          <w:color w:val="111827"/>
          <w:sz w:val="24"/>
        </w:rPr>
        <w:t>SO-CI-DI-VA-PLU</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SOberania:</w:t>
      </w:r>
      <w:r>
        <w:rPr>
          <w:rFonts w:ascii="Arial" w:hAnsi="Arial"/>
          <w:b w:val="0"/>
          <w:i w:val="0"/>
          <w:color w:val="111827"/>
          <w:sz w:val="22"/>
        </w:rPr>
        <w:t xml:space="preserve"> Poder supremo no plano interno e independente na ordem internacional;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CIdadania:</w:t>
      </w:r>
      <w:r>
        <w:rPr>
          <w:rFonts w:ascii="Arial" w:hAnsi="Arial"/>
          <w:b w:val="0"/>
          <w:i w:val="0"/>
          <w:color w:val="111827"/>
          <w:sz w:val="22"/>
        </w:rPr>
        <w:t xml:space="preserve"> Prerrogativa de participação ativa na vida política do país e na formação das decisões estatais;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DIgnidade da Pessoa Humana:</w:t>
      </w:r>
      <w:r>
        <w:rPr>
          <w:rFonts w:ascii="Arial" w:hAnsi="Arial"/>
          <w:b w:val="0"/>
          <w:i w:val="0"/>
          <w:color w:val="111827"/>
          <w:sz w:val="22"/>
        </w:rPr>
        <w:t xml:space="preserve"> Matriz axiológica de todo o ordenamento jurídico, que coloca o ser humano como fim primordial do Estado, e não mero instrumento;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VAlores Sociais do Trabalho e da Livre Iniciativa:</w:t>
      </w:r>
      <w:r>
        <w:rPr>
          <w:rFonts w:ascii="Arial" w:hAnsi="Arial"/>
          <w:b w:val="0"/>
          <w:i w:val="0"/>
          <w:color w:val="111827"/>
          <w:sz w:val="22"/>
        </w:rPr>
        <w:t xml:space="preserve"> Reconhecimento concomitante do trabalho como fonte de emancipação social e da liberdade econômica de mercado como motor da produção de riquezas;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PLUralismo Político:</w:t>
      </w:r>
      <w:r>
        <w:rPr>
          <w:rFonts w:ascii="Arial" w:hAnsi="Arial"/>
          <w:b w:val="0"/>
          <w:i w:val="0"/>
          <w:color w:val="111827"/>
          <w:sz w:val="22"/>
        </w:rPr>
        <w:t xml:space="preserve"> Abertura para a livre manifestação e convivência harmoniosa de diferentes correntes ideológicas, filosóficas e políticas.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FCC frequentemente tenta confundir o candidato trocando </w:t>
            </w:r>
            <w:r>
              <w:rPr>
                <w:rFonts w:ascii="Arial" w:hAnsi="Arial"/>
                <w:b/>
                <w:i w:val="0"/>
                <w:color w:val="111827"/>
                <w:sz w:val="21"/>
              </w:rPr>
              <w:t>pluralismo político</w:t>
            </w:r>
            <w:r>
              <w:rPr>
                <w:rFonts w:ascii="Arial" w:hAnsi="Arial"/>
                <w:b w:val="0"/>
                <w:i w:val="0"/>
                <w:color w:val="111827"/>
                <w:sz w:val="21"/>
              </w:rPr>
              <w:t xml:space="preserve"> por </w:t>
            </w:r>
            <w:r>
              <w:rPr>
                <w:rFonts w:ascii="Arial" w:hAnsi="Arial"/>
                <w:b/>
                <w:i w:val="0"/>
                <w:color w:val="111827"/>
                <w:sz w:val="21"/>
              </w:rPr>
              <w:t>pluripartidarismo</w:t>
            </w:r>
            <w:r>
              <w:rPr>
                <w:rFonts w:ascii="Arial" w:hAnsi="Arial"/>
                <w:b w:val="0"/>
                <w:i w:val="0"/>
                <w:color w:val="111827"/>
                <w:sz w:val="21"/>
              </w:rPr>
              <w:t>. O pluripartidarismo (liberdade de criação de partidos políticos) é apenas uma das dimensões instrumentais do pluralismo político, que é um conceito infinitamente mais amplo de liberdade de pensamento e de cosmovisão.</w:t>
            </w:r>
          </w:p>
        </w:tc>
      </w:tr>
    </w:tbl>
    <w:p>
      <w:pPr>
        <w:spacing w:before="0" w:after="120"/>
      </w:pPr>
    </w:p>
    <w:p>
      <w:pPr>
        <w:keepNext/>
        <w:spacing w:before="120" w:after="40"/>
      </w:pPr>
      <w:r>
        <w:rPr>
          <w:rFonts w:ascii="Arial" w:hAnsi="Arial"/>
          <w:b/>
          <w:i/>
          <w:color w:val="334155"/>
          <w:sz w:val="22"/>
        </w:rPr>
        <w:t>2.3 Separação dos Poderes e o Sistema de Freios e Contrapesos (Art. 2º)</w:t>
      </w:r>
    </w:p>
    <w:p>
      <w:pPr>
        <w:spacing w:line="360" w:lineRule="auto" w:before="0" w:after="80"/>
        <w:jc w:val="both"/>
      </w:pPr>
      <w:r>
        <w:rPr>
          <w:rFonts w:ascii="Arial" w:hAnsi="Arial"/>
          <w:b w:val="0"/>
          <w:i w:val="0"/>
          <w:color w:val="111827"/>
          <w:sz w:val="24"/>
        </w:rPr>
        <w:t xml:space="preserve">O art. 2º da Carta Magna estabelece: </w:t>
      </w:r>
      <w:r>
        <w:rPr>
          <w:rFonts w:ascii="Arial" w:hAnsi="Arial"/>
          <w:b w:val="0"/>
          <w:i/>
          <w:color w:val="111827"/>
          <w:sz w:val="24"/>
        </w:rPr>
        <w:t>"São Poderes da União, independentes e harmônicos entre si, o Legislativo, o Executivo e o Judiciário."</w:t>
      </w:r>
    </w:p>
    <w:p>
      <w:pPr>
        <w:spacing w:line="360" w:lineRule="auto" w:before="0" w:after="80"/>
        <w:jc w:val="both"/>
      </w:pPr>
      <w:r>
        <w:rPr>
          <w:rFonts w:ascii="Arial" w:hAnsi="Arial"/>
          <w:b w:val="0"/>
          <w:i w:val="0"/>
          <w:color w:val="111827"/>
          <w:sz w:val="24"/>
        </w:rPr>
        <w:t>No modelo do constitucionalismo contemporâneo:</w:t>
      </w:r>
    </w:p>
    <w:p>
      <w:pPr>
        <w:spacing w:line="276" w:lineRule="auto" w:before="20" w:after="40"/>
        <w:ind w:left="425"/>
      </w:pPr>
      <w:r>
        <w:rPr>
          <w:rFonts w:ascii="Arial" w:hAnsi="Arial"/>
          <w:b/>
          <w:color w:val="2B6CB0"/>
          <w:sz w:val="22"/>
        </w:rPr>
        <w:t xml:space="preserve">• </w:t>
      </w:r>
      <w:r>
        <w:rPr>
          <w:rFonts w:ascii="Arial" w:hAnsi="Arial"/>
          <w:b/>
          <w:i w:val="0"/>
          <w:color w:val="111827"/>
          <w:sz w:val="22"/>
        </w:rPr>
        <w:t>Não há separação estanque ou absoluta:</w:t>
      </w:r>
      <w:r>
        <w:rPr>
          <w:rFonts w:ascii="Arial" w:hAnsi="Arial"/>
          <w:b w:val="0"/>
          <w:i w:val="0"/>
          <w:color w:val="111827"/>
          <w:sz w:val="22"/>
        </w:rPr>
        <w:t xml:space="preserve"> Cada Poder desempenha uma </w:t>
      </w:r>
      <w:r>
        <w:rPr>
          <w:rFonts w:ascii="Arial" w:hAnsi="Arial"/>
          <w:b/>
          <w:i w:val="0"/>
          <w:color w:val="111827"/>
          <w:sz w:val="22"/>
        </w:rPr>
        <w:t>função típica preponderante</w:t>
      </w:r>
      <w:r>
        <w:rPr>
          <w:rFonts w:ascii="Arial" w:hAnsi="Arial"/>
          <w:b w:val="0"/>
          <w:i w:val="0"/>
          <w:color w:val="111827"/>
          <w:sz w:val="22"/>
        </w:rPr>
        <w:t xml:space="preserve"> e </w:t>
      </w:r>
      <w:r>
        <w:rPr>
          <w:rFonts w:ascii="Arial" w:hAnsi="Arial"/>
          <w:b/>
          <w:i w:val="0"/>
          <w:color w:val="111827"/>
          <w:sz w:val="22"/>
        </w:rPr>
        <w:t>funções atípicas secundárias</w:t>
      </w:r>
      <w:r>
        <w:rPr>
          <w:rFonts w:ascii="Arial" w:hAnsi="Arial"/>
          <w:b w:val="0"/>
          <w:i w:val="0"/>
          <w:color w:val="111827"/>
          <w:sz w:val="22"/>
        </w:rPr>
        <w:t xml:space="preserve"> expressamente delimitadas pela Constituição: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Poder Executivo:</w:t>
      </w:r>
      <w:r>
        <w:rPr>
          <w:rFonts w:ascii="Arial" w:hAnsi="Arial"/>
          <w:b w:val="0"/>
          <w:i w:val="0"/>
          <w:color w:val="111827"/>
          <w:sz w:val="22"/>
        </w:rPr>
        <w:t xml:space="preserve"> Função típica: governar e administrar a coisa pública; Funções atípicas: legislar (ao editar medidas provisórias e leis delegadas) e julgar (ao decidir processos administrativos e disciplinares).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Poder Legislativo:</w:t>
      </w:r>
      <w:r>
        <w:rPr>
          <w:rFonts w:ascii="Arial" w:hAnsi="Arial"/>
          <w:b w:val="0"/>
          <w:i w:val="0"/>
          <w:color w:val="111827"/>
          <w:sz w:val="22"/>
        </w:rPr>
        <w:t xml:space="preserve"> Funções típicas: legislar (elaborar normas gerais e abstratas) e fiscalizar (controle financeiro e contábil externo com auxílio dos Tribunais de Contas); Funções atípicas: administrar (gerir seu quadro funcional e contratos) e julgar (o Senado julga o Presidente da República e Ministros do STF em crimes de responsabilidade).</w:t>
      </w:r>
    </w:p>
    <w:p>
      <w:pPr>
        <w:spacing w:line="276" w:lineRule="auto" w:before="20" w:after="40"/>
        <w:ind w:left="992"/>
      </w:pPr>
      <w:r>
        <w:rPr>
          <w:rFonts w:ascii="Arial" w:hAnsi="Arial"/>
          <w:b/>
          <w:color w:val="2B6CB0"/>
          <w:sz w:val="22"/>
        </w:rPr>
        <w:t xml:space="preserve">• </w:t>
      </w:r>
      <w:r>
        <w:rPr>
          <w:rFonts w:ascii="Arial" w:hAnsi="Arial"/>
          <w:b/>
          <w:i w:val="0"/>
          <w:color w:val="111827"/>
          <w:sz w:val="22"/>
        </w:rPr>
        <w:t>Poder Judiciário:</w:t>
      </w:r>
      <w:r>
        <w:rPr>
          <w:rFonts w:ascii="Arial" w:hAnsi="Arial"/>
          <w:b w:val="0"/>
          <w:i w:val="0"/>
          <w:color w:val="111827"/>
          <w:sz w:val="22"/>
        </w:rPr>
        <w:t xml:space="preserve"> Função típica: jurisdicional (dizer o direito no caso concreto com definitividade); Funções atípicas: administrar (realizar licitações e prover cargos) e legislar (elaborar os regimentos internos de seus tribunais).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**Sistema de Freios e Contrapesos (</w:t>
      </w:r>
      <w:r>
        <w:rPr>
          <w:rFonts w:ascii="Arial" w:hAnsi="Arial"/>
          <w:b w:val="0"/>
          <w:i/>
          <w:color w:val="111827"/>
          <w:sz w:val="22"/>
        </w:rPr>
        <w:t>Checks and Balances</w:t>
      </w:r>
      <w:r>
        <w:rPr>
          <w:rFonts w:ascii="Arial" w:hAnsi="Arial"/>
          <w:b w:val="0"/>
          <w:i w:val="0"/>
          <w:color w:val="111827"/>
          <w:sz w:val="22"/>
        </w:rPr>
        <w:t>):** Mecanismo de controle recíproco em que um Poder limita e fiscaliza a atuação do outro, prevenindo abusos e garantindo a harmonia institucional (ex.: veto do Presidente a projetos de lei; sabatina e aprovação de ministros pelo Senado; controle de constitucionalidade de leis e atos do Executivo exercido pelo Judiciário).</w:t>
      </w:r>
    </w:p>
    <w:p>
      <w:pPr>
        <w:keepNext/>
        <w:spacing w:before="120" w:after="40"/>
      </w:pPr>
      <w:r>
        <w:rPr>
          <w:rFonts w:ascii="Arial" w:hAnsi="Arial"/>
          <w:b/>
          <w:i/>
          <w:color w:val="334155"/>
          <w:sz w:val="22"/>
        </w:rPr>
        <w:t>2.4 Objetivos Fundamentais da República (Art. 3º)</w:t>
      </w:r>
    </w:p>
    <w:p>
      <w:pPr>
        <w:spacing w:line="360" w:lineRule="auto" w:before="0" w:after="80"/>
        <w:jc w:val="both"/>
      </w:pPr>
      <w:r>
        <w:rPr>
          <w:rFonts w:ascii="Arial" w:hAnsi="Arial"/>
          <w:b w:val="0"/>
          <w:i w:val="0"/>
          <w:color w:val="111827"/>
          <w:sz w:val="24"/>
        </w:rPr>
        <w:t xml:space="preserve">Os objetivos fundamentais consubstanciam as metas de chegada e as finalidades que o Estado brasileiro deve perseguir. Diferenciam-se dos fundamentos porque começam invariavelmente por </w:t>
      </w:r>
      <w:r>
        <w:rPr>
          <w:rFonts w:ascii="Arial" w:hAnsi="Arial"/>
          <w:b/>
          <w:i w:val="0"/>
          <w:color w:val="111827"/>
          <w:sz w:val="24"/>
        </w:rPr>
        <w:t>VERBOS NO INFINITIVO</w:t>
      </w:r>
      <w:r>
        <w:rPr>
          <w:rFonts w:ascii="Arial" w:hAnsi="Arial"/>
          <w:b w:val="0"/>
          <w:i w:val="0"/>
          <w:color w:val="111827"/>
          <w:sz w:val="24"/>
        </w:rPr>
        <w:t xml:space="preserve"> (Mnemônico </w:t>
      </w:r>
      <w:r>
        <w:rPr>
          <w:rFonts w:ascii="Arial" w:hAnsi="Arial"/>
          <w:b/>
          <w:i w:val="0"/>
          <w:color w:val="111827"/>
          <w:sz w:val="24"/>
        </w:rPr>
        <w:t>CON-GA-ERRA-PRO</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CON</w:t>
      </w:r>
      <w:r>
        <w:rPr>
          <w:rFonts w:ascii="Arial" w:hAnsi="Arial"/>
          <w:b w:val="0"/>
          <w:i w:val="0"/>
          <w:color w:val="111827"/>
          <w:sz w:val="22"/>
        </w:rPr>
        <w:t>struir uma sociedade livre, justa e solidária;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GA</w:t>
      </w:r>
      <w:r>
        <w:rPr>
          <w:rFonts w:ascii="Arial" w:hAnsi="Arial"/>
          <w:b w:val="0"/>
          <w:i w:val="0"/>
          <w:color w:val="111827"/>
          <w:sz w:val="22"/>
        </w:rPr>
        <w:t>rantir o desenvolvimento nacional;</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ERRA</w:t>
      </w:r>
      <w:r>
        <w:rPr>
          <w:rFonts w:ascii="Arial" w:hAnsi="Arial"/>
          <w:b w:val="0"/>
          <w:i w:val="0"/>
          <w:color w:val="111827"/>
          <w:sz w:val="22"/>
        </w:rPr>
        <w:t xml:space="preserve">dicar a pobreza e a marginalização e </w:t>
      </w:r>
      <w:r>
        <w:rPr>
          <w:rFonts w:ascii="Arial" w:hAnsi="Arial"/>
          <w:b/>
          <w:i w:val="0"/>
          <w:color w:val="111827"/>
          <w:sz w:val="22"/>
        </w:rPr>
        <w:t>reduzir as desigualdades sociais e regionais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PRO</w:t>
      </w:r>
      <w:r>
        <w:rPr>
          <w:rFonts w:ascii="Arial" w:hAnsi="Arial"/>
          <w:b w:val="0"/>
          <w:i w:val="0"/>
          <w:color w:val="111827"/>
          <w:sz w:val="22"/>
        </w:rPr>
        <w:t>mover o bem de todos, sem preconceitos de origem, raça, sexo, cor, idade e quaisquer outras formas de discriminação.</w:t>
      </w:r>
    </w:p>
    <w:p>
      <w:pPr>
        <w:spacing w:after="120"/>
      </w:pPr>
    </w:p>
    <w:p>
      <w:pPr>
        <w:keepNext/>
        <w:spacing w:before="120" w:after="40"/>
      </w:pPr>
      <w:r>
        <w:rPr>
          <w:rFonts w:ascii="Arial" w:hAnsi="Arial"/>
          <w:b/>
          <w:i/>
          <w:color w:val="334155"/>
          <w:sz w:val="22"/>
        </w:rPr>
        <w:t>2.5 Princípios nas Relações Internacionais e Integração Latino-Americana (Art. 4º)</w:t>
      </w:r>
    </w:p>
    <w:p>
      <w:pPr>
        <w:spacing w:line="360" w:lineRule="auto" w:before="0" w:after="80"/>
        <w:jc w:val="both"/>
      </w:pPr>
      <w:r>
        <w:rPr>
          <w:rFonts w:ascii="Arial" w:hAnsi="Arial"/>
          <w:b w:val="0"/>
          <w:i w:val="0"/>
          <w:color w:val="111827"/>
          <w:sz w:val="24"/>
        </w:rPr>
        <w:t>A República Federativa do Brasil rege-se em suas relações internacionais pelos seguintes princípios: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Independência nacional;</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Prevalência dos direitos humanos;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Autodeterminação dos povos;</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Não intervenção;</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Igualdade entre os Estados;</w:t>
      </w:r>
    </w:p>
    <w:p>
      <w:pPr>
        <w:spacing w:line="276" w:lineRule="auto" w:before="20" w:after="40"/>
        <w:ind w:left="425"/>
      </w:pPr>
      <w:r>
        <w:rPr>
          <w:rFonts w:ascii="Arial" w:hAnsi="Arial"/>
          <w:b/>
          <w:color w:val="1B365D"/>
          <w:sz w:val="22"/>
        </w:rPr>
        <w:t xml:space="preserve">6. </w:t>
      </w:r>
      <w:r>
        <w:rPr>
          <w:rFonts w:ascii="Arial" w:hAnsi="Arial"/>
          <w:b w:val="0"/>
          <w:i w:val="0"/>
          <w:color w:val="111827"/>
          <w:sz w:val="22"/>
        </w:rPr>
        <w:t>Defesa da paz;</w:t>
      </w:r>
    </w:p>
    <w:p>
      <w:pPr>
        <w:spacing w:line="276" w:lineRule="auto" w:before="20" w:after="40"/>
        <w:ind w:left="425"/>
      </w:pPr>
      <w:r>
        <w:rPr>
          <w:rFonts w:ascii="Arial" w:hAnsi="Arial"/>
          <w:b/>
          <w:color w:val="1B365D"/>
          <w:sz w:val="22"/>
        </w:rPr>
        <w:t xml:space="preserve">7. </w:t>
      </w:r>
      <w:r>
        <w:rPr>
          <w:rFonts w:ascii="Arial" w:hAnsi="Arial"/>
          <w:b w:val="0"/>
          <w:i w:val="0"/>
          <w:color w:val="111827"/>
          <w:sz w:val="22"/>
        </w:rPr>
        <w:t>Solução pacífica dos conflitos;</w:t>
      </w:r>
    </w:p>
    <w:p>
      <w:pPr>
        <w:spacing w:line="276" w:lineRule="auto" w:before="20" w:after="40"/>
        <w:ind w:left="425"/>
      </w:pPr>
      <w:r>
        <w:rPr>
          <w:rFonts w:ascii="Arial" w:hAnsi="Arial"/>
          <w:b/>
          <w:color w:val="1B365D"/>
          <w:sz w:val="22"/>
        </w:rPr>
        <w:t xml:space="preserve">8. </w:t>
      </w:r>
      <w:r>
        <w:rPr>
          <w:rFonts w:ascii="Arial" w:hAnsi="Arial"/>
          <w:b w:val="0"/>
          <w:i w:val="0"/>
          <w:color w:val="111827"/>
          <w:sz w:val="22"/>
        </w:rPr>
        <w:t>Repúdio ao terrorismo e ao racismo;</w:t>
      </w:r>
    </w:p>
    <w:p>
      <w:pPr>
        <w:spacing w:line="276" w:lineRule="auto" w:before="20" w:after="40"/>
        <w:ind w:left="425"/>
      </w:pPr>
      <w:r>
        <w:rPr>
          <w:rFonts w:ascii="Arial" w:hAnsi="Arial"/>
          <w:b/>
          <w:color w:val="1B365D"/>
          <w:sz w:val="22"/>
        </w:rPr>
        <w:t xml:space="preserve">9. </w:t>
      </w:r>
      <w:r>
        <w:rPr>
          <w:rFonts w:ascii="Arial" w:hAnsi="Arial"/>
          <w:b w:val="0"/>
          <w:i w:val="0"/>
          <w:color w:val="111827"/>
          <w:sz w:val="22"/>
        </w:rPr>
        <w:t>Cooperação entre os povos para o progresso da humanidade;</w:t>
      </w:r>
    </w:p>
    <w:p>
      <w:pPr>
        <w:spacing w:line="276" w:lineRule="auto" w:before="20" w:after="40"/>
        <w:ind w:left="425"/>
      </w:pPr>
      <w:r>
        <w:rPr>
          <w:rFonts w:ascii="Arial" w:hAnsi="Arial"/>
          <w:b/>
          <w:color w:val="1B365D"/>
          <w:sz w:val="22"/>
        </w:rPr>
        <w:t xml:space="preserve">10. </w:t>
      </w:r>
      <w:r>
        <w:rPr>
          <w:rFonts w:ascii="Arial" w:hAnsi="Arial"/>
          <w:b w:val="0"/>
          <w:i w:val="0"/>
          <w:color w:val="111827"/>
          <w:sz w:val="22"/>
        </w:rPr>
        <w:t>Concessão de asilo político.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Parágrafo Único do Art. 4º:</w:t>
      </w:r>
      <w:r>
        <w:rPr>
          <w:rFonts w:ascii="Arial" w:hAnsi="Arial"/>
          <w:b w:val="0"/>
          <w:i w:val="0"/>
          <w:color w:val="111827"/>
          <w:sz w:val="22"/>
        </w:rPr>
        <w:t xml:space="preserve"> Estabelece expressamente que o Brasil buscará a </w:t>
      </w:r>
      <w:r>
        <w:rPr>
          <w:rFonts w:ascii="Arial" w:hAnsi="Arial"/>
          <w:b/>
          <w:i w:val="0"/>
          <w:color w:val="111827"/>
          <w:sz w:val="22"/>
        </w:rPr>
        <w:t>integração econômica, política, social e cultural dos povos da América Latina</w:t>
      </w:r>
      <w:r>
        <w:rPr>
          <w:rFonts w:ascii="Arial" w:hAnsi="Arial"/>
          <w:b w:val="0"/>
          <w:i w:val="0"/>
          <w:color w:val="111827"/>
          <w:sz w:val="22"/>
        </w:rPr>
        <w:t xml:space="preserve">, visando à formação de uma </w:t>
      </w:r>
      <w:r>
        <w:rPr>
          <w:rFonts w:ascii="Arial" w:hAnsi="Arial"/>
          <w:b/>
          <w:i w:val="0"/>
          <w:color w:val="111827"/>
          <w:sz w:val="22"/>
        </w:rPr>
        <w:t>comunidade latino-americana de nações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examinadora costuma substituir ardilosamente a expressão constitucional </w:t>
            </w:r>
            <w:r>
              <w:rPr>
                <w:rFonts w:ascii="Arial" w:hAnsi="Arial"/>
                <w:b/>
                <w:i w:val="0"/>
                <w:color w:val="111827"/>
                <w:sz w:val="21"/>
              </w:rPr>
              <w:t>América Latina</w:t>
            </w:r>
            <w:r>
              <w:rPr>
                <w:rFonts w:ascii="Arial" w:hAnsi="Arial"/>
                <w:b w:val="0"/>
                <w:i w:val="0"/>
                <w:color w:val="111827"/>
                <w:sz w:val="21"/>
              </w:rPr>
              <w:t xml:space="preserve"> por "América do Sul", "Mercosul" ou "países lusófonos". Atenção máxima: a redação do parágrafo único do art. 4º consagra expressamente a </w:t>
            </w:r>
            <w:r>
              <w:rPr>
                <w:rFonts w:ascii="Arial" w:hAnsi="Arial"/>
                <w:b/>
                <w:i w:val="0"/>
                <w:color w:val="111827"/>
                <w:sz w:val="21"/>
              </w:rPr>
              <w:t>América Latina</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 Fontes Recomendadas na Internet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da República Federativa do Brasil de 1988 - Arts. 1º a 4º</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Texto oficial e atualizado dos Princípios Fundamentais da República.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Mandado de Injunção nº 670 (Direito de Greve no Setor Público)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Decisão paradigmática do plenário do STF sobre normas de eficácia limitada e mora inconstitucional.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13.300/2016 - Disciplina o Processo e o Julgamento dos Mandados de Injunção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Legislação nacional regulamentadora dos remédios contra a falta de norma integradora.</w:t>
      </w:r>
    </w:p>
    <w:p>
      <w:pPr>
        <w:keepNext/>
        <w:spacing w:before="280" w:after="120"/>
      </w:pPr>
      <w:r>
        <w:rPr>
          <w:rFonts w:ascii="Arial" w:hAnsi="Arial"/>
          <w:b/>
          <w:i w:val="0"/>
          <w:color w:val="2C5282"/>
          <w:sz w:val="28"/>
        </w:rPr>
        <w:t>📝 Questões Comentadas no Padrão FCC (Justificadas de A a E)</w:t>
      </w:r>
    </w:p>
    <w:p>
      <w:pPr>
        <w:keepNext/>
        <w:spacing w:before="200" w:after="80"/>
      </w:pPr>
      <w:r>
        <w:rPr>
          <w:rFonts w:ascii="Arial" w:hAnsi="Arial"/>
          <w:b/>
          <w:i w:val="0"/>
          <w:color w:val="2B6CB0"/>
          <w:sz w:val="24"/>
        </w:rPr>
        <w:t>Questão 1 (FCC - Analista Judiciário / Adaptada)</w:t>
      </w:r>
    </w:p>
    <w:p>
      <w:pPr>
        <w:spacing w:line="360" w:lineRule="auto" w:before="0" w:after="80"/>
        <w:jc w:val="both"/>
      </w:pPr>
      <w:r>
        <w:rPr>
          <w:rFonts w:ascii="Arial" w:hAnsi="Arial"/>
          <w:b w:val="0"/>
          <w:i w:val="0"/>
          <w:color w:val="111827"/>
          <w:sz w:val="24"/>
        </w:rPr>
        <w:t xml:space="preserve">O art. 5º, inciso XIII, da Constituição Federal de 1988 dispõe que </w:t>
      </w:r>
      <w:r>
        <w:rPr>
          <w:rFonts w:ascii="Arial" w:hAnsi="Arial"/>
          <w:b w:val="0"/>
          <w:i/>
          <w:color w:val="111827"/>
          <w:sz w:val="24"/>
        </w:rPr>
        <w:t>"é livre o exercício de qualquer trabalho, ofício ou profissão, atendidas as qualificações profissionais que a lei estabelecer"</w:t>
      </w:r>
      <w:r>
        <w:rPr>
          <w:rFonts w:ascii="Arial" w:hAnsi="Arial"/>
          <w:b w:val="0"/>
          <w:i w:val="0"/>
          <w:color w:val="111827"/>
          <w:sz w:val="24"/>
        </w:rPr>
        <w:t>.</w:t>
      </w:r>
    </w:p>
    <w:p>
      <w:pPr>
        <w:spacing w:line="360" w:lineRule="auto" w:before="0" w:after="80"/>
        <w:jc w:val="both"/>
      </w:pPr>
      <w:r>
        <w:rPr>
          <w:rFonts w:ascii="Arial" w:hAnsi="Arial"/>
          <w:b w:val="0"/>
          <w:i w:val="0"/>
          <w:color w:val="111827"/>
          <w:sz w:val="24"/>
        </w:rPr>
        <w:t>De acordo com a classificação das normas constitucionais desenvolvida pelo constitucionalista José Afonso da Silva, o preceito citado qualifica-se como norma de eficácia: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Plena, pois independe de qualquer intermediação legislativa e seu alcance não pode sofrer nenhum tipo de contenção por lei ordinária.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Contida (ou redutível), uma vez que possui aplicabilidade direta e imediata, assegurando o exercício irrestrito da atividade profissional desde logo, mas permitindo que a lei posterior imponha restrições ou requisitos de qualificação técnica.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Limitada programática, visto que não gera efeitos jurídicos até que o Congresso Nacional aprove o estatuto de cada uma das profissões existentes.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Diferida absoluta, cuja aplicabilidade condiciona-se à prévia autorização administrativa de conselhos corporativos de classe.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Ineficaz, por se tratar de mera exortação moral sem força cogente vinculante.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Se fosse de eficácia plena, o exercício da profissão não poderia sofrer nenhuma restrição ou condição posterior por lei infraconstitucional.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Conforme a consagrada classificação de José Afonso da Silva, as normas de eficácia contida (ou redutíveis) possuem aplicabilidade direta e imediata, operando de pronto a proteção ao direito; contudo, o próprio texto constitucional autoriza que lei superveniente venha a conter, limitar ou restringir o seu alcance (ex.: exigência de diploma ou inscrição em conselho de classe para certas profissões). Enquanto a lei não sobrevier, a liberdade é ampla e plena.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Se a norma fosse de eficácia limitada, o cidadão estaria impedido de trabalhar até que sobreviesse lei regulamentando cada profissão, o que contraria o postulado da liberdade profissional.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classificação doutrinária não contempla a categoria "diferida absoluta" como modalidade autônoma nesse contexto.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As normas constitucionais detêm imperatividade e eficácia jurídica formal e material, não sendo meros conselhos morais.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Técnico de Controle Externo / TCE-GO)</w:t>
      </w:r>
    </w:p>
    <w:p>
      <w:pPr>
        <w:spacing w:line="360" w:lineRule="auto" w:before="0" w:after="80"/>
        <w:jc w:val="both"/>
      </w:pPr>
      <w:r>
        <w:rPr>
          <w:rFonts w:ascii="Arial" w:hAnsi="Arial"/>
          <w:b w:val="0"/>
          <w:i w:val="0"/>
          <w:color w:val="111827"/>
          <w:sz w:val="24"/>
        </w:rPr>
        <w:t>Considere as seguintes assertivas a respeito dos Princípios Fundamentais consagrados nos artigos 1º a 4º da Constituição Federal de 1988:</w:t>
      </w:r>
    </w:p>
    <w:p>
      <w:pPr>
        <w:spacing w:line="360" w:lineRule="auto" w:before="0" w:after="80"/>
        <w:jc w:val="both"/>
      </w:pPr>
      <w:r>
        <w:rPr>
          <w:rFonts w:ascii="Arial" w:hAnsi="Arial"/>
          <w:b w:val="0"/>
          <w:i w:val="0"/>
          <w:color w:val="111827"/>
          <w:sz w:val="24"/>
        </w:rPr>
        <w:t>I. O pluralismo político e a dignidade da pessoa humana são fundamentos expressos da República Federativa do Brasil.</w:t>
      </w:r>
    </w:p>
    <w:p>
      <w:pPr>
        <w:spacing w:line="360" w:lineRule="auto" w:before="0" w:after="80"/>
        <w:jc w:val="both"/>
      </w:pPr>
      <w:r>
        <w:rPr>
          <w:rFonts w:ascii="Arial" w:hAnsi="Arial"/>
          <w:b w:val="0"/>
          <w:i w:val="0"/>
          <w:color w:val="111827"/>
          <w:sz w:val="24"/>
        </w:rPr>
        <w:t>II. Erradicar a pobreza e a marginalização e reduzir as desigualdades sociais e regionais consubstanciam objetivos fundamentais do Estado brasileiro.</w:t>
      </w:r>
    </w:p>
    <w:p>
      <w:pPr>
        <w:spacing w:line="360" w:lineRule="auto" w:before="0" w:after="80"/>
        <w:jc w:val="both"/>
      </w:pPr>
      <w:r>
        <w:rPr>
          <w:rFonts w:ascii="Arial" w:hAnsi="Arial"/>
          <w:b w:val="0"/>
          <w:i w:val="0"/>
          <w:color w:val="111827"/>
          <w:sz w:val="24"/>
        </w:rPr>
        <w:t>III. A prevalência dos direitos humanos e a concessão de asilo político regem o Brasil em suas relações internacionais.</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II e III</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apenas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assertiva III também está plenamente correta nos termos do art. 4º, II e X, da CF/88.</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assertiva II também é verdadeira de acordo com o art. 3º, III, da CF/88.</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assertiva I também expressa preceitos constitucionais exatos do art. 1º, III e V, da CF/88.</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CORRETA:</w:t>
            </w:r>
            <w:r>
              <w:rPr>
                <w:rFonts w:ascii="Arial" w:hAnsi="Arial"/>
                <w:b w:val="0"/>
                <w:i w:val="0"/>
                <w:color w:val="111827"/>
                <w:sz w:val="21"/>
              </w:rPr>
              <w:t xml:space="preserve"> Todas as assertivas são corretas: I reproduz fundamentos do art. 1º (SO-CI-DI-VA-PLU); II reproduz objetivos fundamentais do art. 3º (CON-GA-ERRA-PRO); III reproduz princípios de relações internacionais do art. 4º.</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Há outras proposições verdadeiras no rol examinado.</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3 (FCC - Procurador do Estado / Adaptada)</w:t>
      </w:r>
    </w:p>
    <w:p>
      <w:pPr>
        <w:spacing w:line="360" w:lineRule="auto" w:before="0" w:after="80"/>
        <w:jc w:val="both"/>
      </w:pPr>
      <w:r>
        <w:rPr>
          <w:rFonts w:ascii="Arial" w:hAnsi="Arial"/>
          <w:b w:val="0"/>
          <w:i w:val="0"/>
          <w:color w:val="111827"/>
          <w:sz w:val="24"/>
        </w:rPr>
        <w:t xml:space="preserve">O art. 37, inciso VII, da Constituição Federal prevê que </w:t>
      </w:r>
      <w:r>
        <w:rPr>
          <w:rFonts w:ascii="Arial" w:hAnsi="Arial"/>
          <w:b w:val="0"/>
          <w:i/>
          <w:color w:val="111827"/>
          <w:sz w:val="24"/>
        </w:rPr>
        <w:t>"o direito de greve será exercido nos termos e nos limites definidos em lei específica"</w:t>
      </w:r>
      <w:r>
        <w:rPr>
          <w:rFonts w:ascii="Arial" w:hAnsi="Arial"/>
          <w:b w:val="0"/>
          <w:i w:val="0"/>
          <w:color w:val="111827"/>
          <w:sz w:val="24"/>
        </w:rPr>
        <w:t>. Passadas décadas sem que o Congresso Nacional editasse a respectiva lei, servidores públicos impetraram Mandado de Injunção perante o Supremo Tribunal Federal buscando o exercício do direito.</w:t>
      </w:r>
    </w:p>
    <w:p>
      <w:pPr>
        <w:spacing w:line="360" w:lineRule="auto" w:before="0" w:after="80"/>
        <w:jc w:val="both"/>
      </w:pPr>
      <w:r>
        <w:rPr>
          <w:rFonts w:ascii="Arial" w:hAnsi="Arial"/>
          <w:b w:val="0"/>
          <w:i w:val="0"/>
          <w:color w:val="111827"/>
          <w:sz w:val="24"/>
        </w:rPr>
        <w:t>À luz da eficácia das normas constitucionais e da jurisprudência do STF:</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Trata-se de norma de eficácia plena, prescindindo de lei regulamentadora para qualquer efeito.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Trata-se de norma constitucional de eficácia limitada de princípio institutivo, cuja ausência de lei torna o direito inexistente até que o Legislativo delibere soberanamente.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Trata-se de norma de eficácia limitada, cuja omissão legislativa inconstitucional autoriza o manejo de Mandado de Injunção, tendo o STF decidido aplicar por analogia a lei de greve do setor privado (Lei nº 7.783/1989) aos servidores públicos civis até a edição de lei específica.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Trata-se de norma de eficácia contida, vigorando a proibição absoluta de greve até que venha a lei autorizativa.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norma é programática e desprovida de qualquer eficácia jurídica, não vinculando o legislador nem o Judiciário.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norma subordina o exercício a termos e limites estabelecidos em lei específica, possuindo eficácia mediata e dependente de integração legislativa.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ausência de lei não aniquila o direito fundamental nem impede a intervenção concretista do Judiciário para sanar a omissão.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art. 37, VII, é norma de eficácia limitada. Diante da inércia do Congresso Nacional, o STF, no julgamento conjunto dos Mandados de Injunção nº 670, 708 e 712, adotou a teoria concretista geral, suprindo a lacuna mediante a aplicação por analogia da Lei Federal nº 7.783/89 (que regula a greve na iniciativa privada) aos servidores civis, ressalvadas as carreiras ligadas diretamente à segurança pública armada.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Nas normas contidas o exercício do direito é pleno desde a promulgação até que advenha a restrição; no caso da greve do servidor, o exercício dependia da própria lei instituidora.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As normas constitucionais possuem eficácia normativa vinculante e geram o dever constitucional de legislar, sujeito a controle judicial via mandado de injunção.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Analista de Controle Externo)</w:t>
      </w:r>
    </w:p>
    <w:p>
      <w:pPr>
        <w:spacing w:line="360" w:lineRule="auto" w:before="0" w:after="80"/>
        <w:jc w:val="both"/>
      </w:pPr>
      <w:r>
        <w:rPr>
          <w:rFonts w:ascii="Arial" w:hAnsi="Arial"/>
          <w:b w:val="0"/>
          <w:i w:val="0"/>
          <w:color w:val="111827"/>
          <w:sz w:val="24"/>
        </w:rPr>
        <w:t>Em conformidade com o parágrafo único do art. 4º da Constituição da República Federativa do Brasil de 1988, o Brasil buscará a integração econômica, política, social e cultural dos povos: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Do hemisfério ocidental, visando à formação de uma zona de livre comércio transcontinental.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Dos países signatários do Tratado do Atlântico Norte.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Da América Latina, visando à formação de uma comunidade latino-americana de nações.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Do Mercosul exclusivamente, vedada qualquer aliança com nações não lindeiras.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Dos países de língua oficial portuguesa (CPLP) em caráter preferencial e excludente.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Constituição não alude a hemisfério ocidental ou zona de comércio transcontinental.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Refere-se à OTAN, aliança militar do hemisfério norte da qual o Brasil não faz parte.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parágrafo único do art. 4º da CF/88 dispõe textualmente: </w:t>
            </w:r>
            <w:r>
              <w:rPr>
                <w:rFonts w:ascii="Arial" w:hAnsi="Arial"/>
                <w:b w:val="0"/>
                <w:i/>
                <w:color w:val="111827"/>
                <w:sz w:val="21"/>
              </w:rPr>
              <w:t>"A República Federativa do Brasil buscará a integração econômica, política, social e cultural dos povos da América Latina, visando à formação de uma comunidade latino-americana de nações."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diretriz constitucional alcança toda a América Latina, e não unicamente os países membros do Mercosul.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cooperação com a comunidade de língua portuguesa é relevante, mas o comando constitucional integrativo expresso do art. 4º reporta-se aos povos latino-americanos.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Analista Judiciário)</w:t>
      </w:r>
    </w:p>
    <w:p>
      <w:pPr>
        <w:spacing w:line="360" w:lineRule="auto" w:before="0" w:after="80"/>
        <w:jc w:val="both"/>
      </w:pPr>
      <w:r>
        <w:rPr>
          <w:rFonts w:ascii="Arial" w:hAnsi="Arial"/>
          <w:b w:val="0"/>
          <w:i w:val="0"/>
          <w:color w:val="111827"/>
          <w:sz w:val="24"/>
        </w:rPr>
        <w:t xml:space="preserve">O art. 2º da Constituição Federal consagra que </w:t>
      </w:r>
      <w:r>
        <w:rPr>
          <w:rFonts w:ascii="Arial" w:hAnsi="Arial"/>
          <w:b w:val="0"/>
          <w:i/>
          <w:color w:val="111827"/>
          <w:sz w:val="24"/>
        </w:rPr>
        <w:t>"são Poderes da União, independentes e harmônicos entre si, o Legislativo, o Executivo e o Judiciário"</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A respeito da </w:t>
      </w:r>
      <w:r>
        <w:rPr>
          <w:rFonts w:ascii="Arial" w:hAnsi="Arial"/>
          <w:b/>
          <w:i w:val="0"/>
          <w:color w:val="111827"/>
          <w:sz w:val="24"/>
        </w:rPr>
        <w:t>Teoria da Separação dos Poderes</w:t>
      </w:r>
      <w:r>
        <w:rPr>
          <w:rFonts w:ascii="Arial" w:hAnsi="Arial"/>
          <w:b w:val="0"/>
          <w:i w:val="0"/>
          <w:color w:val="111827"/>
          <w:sz w:val="24"/>
        </w:rPr>
        <w:t xml:space="preserve"> e do sistema de freios e contrapesos (</w:t>
      </w:r>
      <w:r>
        <w:rPr>
          <w:rFonts w:ascii="Arial" w:hAnsi="Arial"/>
          <w:b w:val="0"/>
          <w:i/>
          <w:color w:val="111827"/>
          <w:sz w:val="24"/>
        </w:rPr>
        <w:t>checks and balances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separação de poderes é absoluta, sendo terminantemente vedado a qualquer Poder o exercício de funções atípicas.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Poder Judiciário exerce unicamente a função de julgar, sendo nulos quaisquer atos administrativos de gestão de seus próprios servidores.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Cada Poder exerce uma função típica preponderante inerente à sua natureza, mas a Constituição atribui a todos eles o exercício de funções atípicas e mecanismos recíprocos de controle e fiscalização.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sistema de freios e contrapesos autoriza o Poder Executivo a revogar sentenças judiciais transitadas em julgado por motivos de conveniência financeira.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independência entre os Poderes impede que o Tribunal de Contas fiscalize despesas realizadas pela Assembleia Legislativa.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separação dos poderes não é absoluta nem estanque, pois a própria Carta Magna encarrega cada Poder de exercer certas funções atípicas secundárias.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Judiciário exerce atipicamente a função administrativa ao organizar seus órgãos, licitar e gerir seus servidores (CF, art. 96).</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princípio da separação dos poderes organiza o Estado conferindo a cada órgão uma função típica prioritária (legislar, julgar ou administrar), sem prejuízo de desempenharem funções atípicas e mecanismos mútuos de contenção e controle no âmbito do sistema de freios e contrapesos (</w:t>
            </w:r>
            <w:r>
              <w:rPr>
                <w:rFonts w:ascii="Arial" w:hAnsi="Arial"/>
                <w:b w:val="0"/>
                <w:i/>
                <w:color w:val="111827"/>
                <w:sz w:val="21"/>
              </w:rPr>
              <w:t>checks and balances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Decisões judiciais transitadas em julgado revestem-se da garantia da coisa julgada (art. 5º, XXXVI), sendo insuscetíveis de revogação pelo Executivo.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Por mandamento do art. 70 da CF/88, o controle financeiro e orçamentário externo exercido com o auxílio do Tribunal de Contas alcança os três Poderes, inclusive o Poder Legislativo.</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02 - Direitos Fundamentais, Remédios Constitucionais, Nacionalidade e Direitos Políticos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Direito Constitucional</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02_direitos_e_garantias_fundamentais_e_politicos.md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Dos direitos e deveres individuais e coletivos (Artigo 5º da CF/88): princípios reitores, direitos em espécie, garantias processuais e penais.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Remédios constitucionais (</w:t>
      </w:r>
      <w:r>
        <w:rPr>
          <w:rFonts w:ascii="Arial" w:hAnsi="Arial"/>
          <w:b w:val="0"/>
          <w:i/>
          <w:color w:val="111827"/>
          <w:sz w:val="22"/>
        </w:rPr>
        <w:t>Writs</w:t>
      </w:r>
      <w:r>
        <w:rPr>
          <w:rFonts w:ascii="Arial" w:hAnsi="Arial"/>
          <w:b w:val="0"/>
          <w:i w:val="0"/>
          <w:color w:val="111827"/>
          <w:sz w:val="22"/>
        </w:rPr>
        <w:t xml:space="preserve">): </w:t>
      </w:r>
      <w:r>
        <w:rPr>
          <w:rFonts w:ascii="Arial" w:hAnsi="Arial"/>
          <w:b w:val="0"/>
          <w:i/>
          <w:color w:val="111827"/>
          <w:sz w:val="22"/>
        </w:rPr>
        <w:t>Habeas Corpus</w:t>
      </w:r>
      <w:r>
        <w:rPr>
          <w:rFonts w:ascii="Arial" w:hAnsi="Arial"/>
          <w:b w:val="0"/>
          <w:i w:val="0"/>
          <w:color w:val="111827"/>
          <w:sz w:val="22"/>
        </w:rPr>
        <w:t xml:space="preserve">, </w:t>
      </w:r>
      <w:r>
        <w:rPr>
          <w:rFonts w:ascii="Arial" w:hAnsi="Arial"/>
          <w:b w:val="0"/>
          <w:i/>
          <w:color w:val="111827"/>
          <w:sz w:val="22"/>
        </w:rPr>
        <w:t>Habeas Data</w:t>
      </w:r>
      <w:r>
        <w:rPr>
          <w:rFonts w:ascii="Arial" w:hAnsi="Arial"/>
          <w:b w:val="0"/>
          <w:i w:val="0"/>
          <w:color w:val="111827"/>
          <w:sz w:val="22"/>
        </w:rPr>
        <w:t>, Mandado de Segurança individual e coletivo, Mandado de Injunção e Ação Popular.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Dos direitos sociais (Artigos 6º a 11 da CF/88): rol dos direitos fundamentais sociais, direitos dos trabalhadores urbanos e rurais, direito de greve e liberdade sindical.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Da nacionalidade (Artigos 12 e 13 da CF/88): critérios originários e derivados, quase-nacionalidade, cargos privativos de brasileiro nato (art. 12, § 3º) e o novo regime de perda e readquisição da nacionalidade (Emenda Constitucional nº 131/2023).</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Dos direitos políticos (Artigos 14 a 16 da CF/88): instrumentos de soberania popular, alistabilidade eleitoral, condições de elegibilidade e idades mínimas, inelegibilidades absolutas e relativas (inelegibilidade reflexa e Súmula Vinculante 18).</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Perda e suspensão dos direitos políticos (Artigo 15 da CF/88): vedação absoluta de cassação e hipóteses constitucionais taxativas.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Dos partidos políticos (Artigo 17 da CF/88): preceitos constitucionais, cláusula de barreira, financiamento e autonomia partidária.</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1B365D"/>
          <w:sz w:val="22"/>
        </w:rPr>
        <w:t xml:space="preserve">1. </w:t>
      </w:r>
      <w:r>
        <w:rPr>
          <w:rFonts w:ascii="Arial" w:hAnsi="Arial"/>
          <w:color w:val="2B6CB0"/>
          <w:sz w:val="22"/>
          <w:u w:val="single"/>
        </w:rPr>
        <w:t>Teoria Geral e Direitos Individuais e Coletivos (Art. 5º da CF/88)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1.1 </w:t>
      </w:r>
      <w:r>
        <w:rPr>
          <w:rFonts w:ascii="Arial" w:hAnsi="Arial"/>
          <w:color w:val="2B6CB0"/>
          <w:sz w:val="22"/>
          <w:u w:val="single"/>
        </w:rPr>
        <w:t>Características Fundamentais e Dimensões de Eficácia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1.2 </w:t>
      </w:r>
      <w:r>
        <w:rPr>
          <w:rFonts w:ascii="Arial" w:hAnsi="Arial"/>
          <w:color w:val="2B6CB0"/>
          <w:sz w:val="22"/>
          <w:u w:val="single"/>
        </w:rPr>
        <w:t>Inviolabilidade do Domicílio (Art. 5º, XI)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1.3 </w:t>
      </w:r>
      <w:r>
        <w:rPr>
          <w:rFonts w:ascii="Arial" w:hAnsi="Arial"/>
          <w:color w:val="2B6CB0"/>
          <w:sz w:val="22"/>
          <w:u w:val="single"/>
        </w:rPr>
        <w:t>Inviolabilidade das Comunicações e Reserva de Jurisdição (Art. 5º, XII)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1.4 </w:t>
      </w:r>
      <w:r>
        <w:rPr>
          <w:rFonts w:ascii="Arial" w:hAnsi="Arial"/>
          <w:color w:val="2B6CB0"/>
          <w:sz w:val="22"/>
          <w:u w:val="single"/>
        </w:rPr>
        <w:t>Liberdade de Associação e Limites Estatais (Art. 5º, XVII a XXI)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1.5 </w:t>
      </w:r>
      <w:r>
        <w:rPr>
          <w:rFonts w:ascii="Arial" w:hAnsi="Arial"/>
          <w:color w:val="2B6CB0"/>
          <w:sz w:val="22"/>
          <w:u w:val="single"/>
        </w:rPr>
        <w:t>Tratamento Constitucional dos Crimes: O Quarteto Penal da FCC</w:t>
      </w:r>
    </w:p>
    <w:p>
      <w:pPr>
        <w:spacing w:line="276" w:lineRule="auto" w:before="20" w:after="40"/>
        <w:ind w:left="425"/>
      </w:pPr>
      <w:r>
        <w:rPr>
          <w:rFonts w:ascii="Arial" w:hAnsi="Arial"/>
          <w:b/>
          <w:color w:val="1B365D"/>
          <w:sz w:val="22"/>
        </w:rPr>
        <w:t xml:space="preserve">2. </w:t>
      </w:r>
      <w:r>
        <w:rPr>
          <w:rFonts w:ascii="Arial" w:hAnsi="Arial"/>
          <w:color w:val="2B6CB0"/>
          <w:sz w:val="22"/>
          <w:u w:val="single"/>
        </w:rPr>
        <w:t>Remédios Constitucionais (Writs de Garantia)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2.1 </w:t>
      </w:r>
      <w:r>
        <w:rPr>
          <w:rFonts w:ascii="Arial" w:hAnsi="Arial"/>
          <w:color w:val="2B6CB0"/>
          <w:sz w:val="22"/>
          <w:u w:val="single"/>
        </w:rPr>
        <w:t>Análise Comparativa dos Remédios Constitucionais</w:t>
      </w:r>
    </w:p>
    <w:p>
      <w:pPr>
        <w:spacing w:line="276" w:lineRule="auto" w:before="20" w:after="40"/>
        <w:ind w:left="425"/>
      </w:pPr>
      <w:r>
        <w:rPr>
          <w:rFonts w:ascii="Arial" w:hAnsi="Arial"/>
          <w:b/>
          <w:color w:val="1B365D"/>
          <w:sz w:val="22"/>
        </w:rPr>
        <w:t xml:space="preserve">3. </w:t>
      </w:r>
      <w:r>
        <w:rPr>
          <w:rFonts w:ascii="Arial" w:hAnsi="Arial"/>
          <w:color w:val="2B6CB0"/>
          <w:sz w:val="22"/>
          <w:u w:val="single"/>
        </w:rPr>
        <w:t>Direitos Sociais (Arts. 6º a 11)</w:t>
      </w:r>
    </w:p>
    <w:p>
      <w:pPr>
        <w:spacing w:line="276" w:lineRule="auto" w:before="20" w:after="40"/>
        <w:ind w:left="425"/>
      </w:pPr>
      <w:r>
        <w:rPr>
          <w:rFonts w:ascii="Arial" w:hAnsi="Arial"/>
          <w:b/>
          <w:color w:val="1B365D"/>
          <w:sz w:val="22"/>
        </w:rPr>
        <w:t xml:space="preserve">4. </w:t>
      </w:r>
      <w:r>
        <w:rPr>
          <w:rFonts w:ascii="Arial" w:hAnsi="Arial"/>
          <w:color w:val="2B6CB0"/>
          <w:sz w:val="22"/>
          <w:u w:val="single"/>
        </w:rPr>
        <w:t>Teoria da Nacionalidade e a Nova Disciplina da Perda (Arts. 12 e 13)</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4.1 </w:t>
      </w:r>
      <w:r>
        <w:rPr>
          <w:rFonts w:ascii="Arial" w:hAnsi="Arial"/>
          <w:color w:val="2B6CB0"/>
          <w:sz w:val="22"/>
          <w:u w:val="single"/>
        </w:rPr>
        <w:t>Espécies de Nacionalidade Originária (Brasileiro Nato)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4.2 </w:t>
      </w:r>
      <w:r>
        <w:rPr>
          <w:rFonts w:ascii="Arial" w:hAnsi="Arial"/>
          <w:color w:val="2B6CB0"/>
          <w:sz w:val="22"/>
          <w:u w:val="single"/>
        </w:rPr>
        <w:t>Brasileiro Naturalizado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4.3 </w:t>
      </w:r>
      <w:r>
        <w:rPr>
          <w:rFonts w:ascii="Arial" w:hAnsi="Arial"/>
          <w:color w:val="2B6CB0"/>
          <w:sz w:val="22"/>
          <w:u w:val="single"/>
        </w:rPr>
        <w:t>Cargos Privativos de Brasileiro Nato (Art. 12, § 3º - MP3.COM)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4.4 </w:t>
      </w:r>
      <w:r>
        <w:rPr>
          <w:rFonts w:ascii="Arial" w:hAnsi="Arial"/>
          <w:color w:val="2B6CB0"/>
          <w:sz w:val="22"/>
          <w:u w:val="single"/>
        </w:rPr>
        <w:t>Perda da Nacionalidade: O Novo Regime da EC nº 131/2023</w:t>
      </w:r>
    </w:p>
    <w:p>
      <w:pPr>
        <w:spacing w:line="276" w:lineRule="auto" w:before="20" w:after="40"/>
        <w:ind w:left="425"/>
      </w:pPr>
      <w:r>
        <w:rPr>
          <w:rFonts w:ascii="Arial" w:hAnsi="Arial"/>
          <w:b/>
          <w:color w:val="1B365D"/>
          <w:sz w:val="22"/>
        </w:rPr>
        <w:t xml:space="preserve">5. </w:t>
      </w:r>
      <w:r>
        <w:rPr>
          <w:rFonts w:ascii="Arial" w:hAnsi="Arial"/>
          <w:color w:val="2B6CB0"/>
          <w:sz w:val="22"/>
          <w:u w:val="single"/>
        </w:rPr>
        <w:t>Direitos Políticos e Sistema Partidário (Arts. 14 a 17)</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5.1 </w:t>
      </w:r>
      <w:r>
        <w:rPr>
          <w:rFonts w:ascii="Arial" w:hAnsi="Arial"/>
          <w:color w:val="2B6CB0"/>
          <w:sz w:val="22"/>
          <w:u w:val="single"/>
        </w:rPr>
        <w:t>Alistamento Eleitoral e Voto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5.2 </w:t>
      </w:r>
      <w:r>
        <w:rPr>
          <w:rFonts w:ascii="Arial" w:hAnsi="Arial"/>
          <w:color w:val="2B6CB0"/>
          <w:sz w:val="22"/>
          <w:u w:val="single"/>
        </w:rPr>
        <w:t>Idades Mínimas de Elegibilidade (Capacidade Eleitoral Passiva)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5.3 </w:t>
      </w:r>
      <w:r>
        <w:rPr>
          <w:rFonts w:ascii="Arial" w:hAnsi="Arial"/>
          <w:color w:val="2B6CB0"/>
          <w:sz w:val="22"/>
          <w:u w:val="single"/>
        </w:rPr>
        <w:t>Inelegibilidade Reflexa (Art. 14, § 7º) e Súmula Vinculante 18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5.4 </w:t>
      </w:r>
      <w:r>
        <w:rPr>
          <w:rFonts w:ascii="Arial" w:hAnsi="Arial"/>
          <w:color w:val="2B6CB0"/>
          <w:sz w:val="22"/>
          <w:u w:val="single"/>
        </w:rPr>
        <w:t>Perda e Suspensão dos Direitos Políticos (Art. 15 da CF/88)</w:t>
      </w:r>
    </w:p>
    <w:p>
      <w:pPr>
        <w:spacing w:line="276" w:lineRule="auto" w:before="20" w:after="40"/>
        <w:ind w:left="425"/>
      </w:pPr>
      <w:r>
        <w:rPr>
          <w:rFonts w:ascii="Arial" w:hAnsi="Arial"/>
          <w:b/>
          <w:color w:val="1B365D"/>
          <w:sz w:val="22"/>
        </w:rPr>
        <w:t xml:space="preserve">6. </w:t>
      </w:r>
      <w:r>
        <w:rPr>
          <w:rFonts w:ascii="Arial" w:hAnsi="Arial"/>
          <w:color w:val="2B6CB0"/>
          <w:sz w:val="22"/>
          <w:u w:val="single"/>
        </w:rPr>
        <w:t>Fontes Oficiais &amp; Doutrinárias Recomendadas</w:t>
      </w:r>
    </w:p>
    <w:p>
      <w:pPr>
        <w:spacing w:line="276" w:lineRule="auto" w:before="20" w:after="40"/>
        <w:ind w:left="425"/>
      </w:pPr>
      <w:r>
        <w:rPr>
          <w:rFonts w:ascii="Arial" w:hAnsi="Arial"/>
          <w:b/>
          <w:color w:val="1B365D"/>
          <w:sz w:val="22"/>
        </w:rPr>
        <w:t xml:space="preserve">7. </w:t>
      </w:r>
      <w:r>
        <w:rPr>
          <w:rFonts w:ascii="Arial" w:hAnsi="Arial"/>
          <w:color w:val="2B6CB0"/>
          <w:sz w:val="22"/>
          <w:u w:val="single"/>
        </w:rPr>
        <w:t>Questões Comentadas no Padrão FCC (Justificadas de A a E)</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Teoria Geral e Direitos Individuais e Coletivos (Art. 5º da CF/88)</w:t>
      </w:r>
    </w:p>
    <w:p>
      <w:pPr>
        <w:keepNext/>
        <w:spacing w:before="120" w:after="40"/>
      </w:pPr>
      <w:r>
        <w:rPr>
          <w:rFonts w:ascii="Arial" w:hAnsi="Arial"/>
          <w:b/>
          <w:i/>
          <w:color w:val="334155"/>
          <w:sz w:val="22"/>
        </w:rPr>
        <w:t>1.1 Características Fundamentais e Dimensões de Eficácia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Inexistência de Direitos Absolutos (Relatividade):</w:t>
      </w:r>
      <w:r>
        <w:rPr>
          <w:rFonts w:ascii="Arial" w:hAnsi="Arial"/>
          <w:b w:val="0"/>
          <w:i w:val="0"/>
          <w:color w:val="111827"/>
          <w:sz w:val="22"/>
        </w:rPr>
        <w:t xml:space="preserve"> Nenhum direito fundamental possui caráter absoluto. Todos encontram limites na coexistência harmoniosa com outros direitos fundamentais protegidos pela ordem constitucional. Nem mesmo o direito à vida é absoluto, haja vista a admissibilidade constitucional da pena de morte em caso de guerra declarada (art. 5º, XLVII, "a").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**Eficácia Vertical vs. Eficácia Horizontal (</w:t>
      </w:r>
      <w:r>
        <w:rPr>
          <w:rFonts w:ascii="Arial" w:hAnsi="Arial"/>
          <w:b w:val="0"/>
          <w:i/>
          <w:color w:val="111827"/>
          <w:sz w:val="22"/>
        </w:rPr>
        <w:t>Drittwirkung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Eficácia Vertical:</w:t>
      </w:r>
      <w:r>
        <w:rPr>
          <w:rFonts w:ascii="Arial" w:hAnsi="Arial"/>
          <w:b w:val="0"/>
          <w:i w:val="0"/>
          <w:color w:val="111827"/>
          <w:sz w:val="22"/>
        </w:rPr>
        <w:t xml:space="preserve"> Relação tradicional entre o indivíduo e o Estado, funcionando como escudo protetor contra o arbítrio estatal.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Eficácia Horizontal:</w:t>
      </w:r>
      <w:r>
        <w:rPr>
          <w:rFonts w:ascii="Arial" w:hAnsi="Arial"/>
          <w:b w:val="0"/>
          <w:i w:val="0"/>
          <w:color w:val="111827"/>
          <w:sz w:val="22"/>
        </w:rPr>
        <w:t xml:space="preserve"> Incidência direta e imediata dos direitos fundamentais nas relações jurídicas entre particulares (ex.: respeito à ampla defesa e ao contraditório para expulsão de sócio de clube ou cooperativa privada - STF).</w:t>
      </w:r>
    </w:p>
    <w:p>
      <w:pPr>
        <w:spacing w:line="276" w:lineRule="auto" w:before="20" w:after="40"/>
        <w:ind w:left="992"/>
      </w:pPr>
      <w:r>
        <w:rPr>
          <w:rFonts w:ascii="Arial" w:hAnsi="Arial"/>
          <w:b/>
          <w:color w:val="2B6CB0"/>
          <w:sz w:val="22"/>
        </w:rPr>
        <w:t xml:space="preserve">• </w:t>
      </w:r>
      <w:r>
        <w:rPr>
          <w:rFonts w:ascii="Arial" w:hAnsi="Arial"/>
          <w:b w:val="0"/>
          <w:i/>
          <w:color w:val="111827"/>
          <w:sz w:val="22"/>
        </w:rPr>
        <w:t>Eficácia Diagonal:</w:t>
      </w:r>
      <w:r>
        <w:rPr>
          <w:rFonts w:ascii="Arial" w:hAnsi="Arial"/>
          <w:b w:val="0"/>
          <w:i w:val="0"/>
          <w:color w:val="111827"/>
          <w:sz w:val="22"/>
        </w:rPr>
        <w:t xml:space="preserve"> Relação entre particulares caracterizada por flagrante assimetria fática e jurídica (ex.: relações de trabalho e contratos de consumo).</w:t>
      </w:r>
    </w:p>
    <w:p>
      <w:pPr>
        <w:spacing w:after="120"/>
      </w:pPr>
    </w:p>
    <w:p>
      <w:pPr>
        <w:keepNext/>
        <w:spacing w:before="120" w:after="40"/>
      </w:pPr>
      <w:r>
        <w:rPr>
          <w:rFonts w:ascii="Arial" w:hAnsi="Arial"/>
          <w:b/>
          <w:i/>
          <w:color w:val="334155"/>
          <w:sz w:val="22"/>
        </w:rPr>
        <w:t>1.2 Inviolabilidade do Domicílio (Art. 5º, XI)</w:t>
      </w:r>
    </w:p>
    <w:p>
      <w:pPr>
        <w:spacing w:line="240" w:lineRule="auto" w:before="40" w:after="40"/>
        <w:ind w:left="2268"/>
      </w:pPr>
      <w:r>
        <w:rPr>
          <w:rFonts w:ascii="Arial" w:hAnsi="Arial"/>
          <w:b w:val="0"/>
          <w:i/>
          <w:color w:val="111827"/>
          <w:sz w:val="20"/>
        </w:rPr>
        <w:t>"A casa é asilo inviolável do indivíduo, ninguém nela podendo penetrar sem consentimento do morador, salvo em caso de flagrante delito ou desastre, ou para prestar socorro, ou, durante o dia, por determinação judicial."</w:t>
      </w:r>
    </w:p>
    <w:p>
      <w:pPr>
        <w:spacing w:after="80"/>
      </w:pP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1. </w:t>
            </w:r>
            <w:r>
              <w:rPr>
                <w:rFonts w:ascii="Arial" w:hAnsi="Arial"/>
                <w:b/>
                <w:i w:val="0"/>
                <w:color w:val="111827"/>
                <w:sz w:val="21"/>
              </w:rPr>
              <w:t>Conceito de Domicílio:</w:t>
            </w:r>
            <w:r>
              <w:rPr>
                <w:rFonts w:ascii="Arial" w:hAnsi="Arial"/>
                <w:b w:val="0"/>
                <w:i w:val="0"/>
                <w:color w:val="111827"/>
                <w:sz w:val="21"/>
              </w:rPr>
              <w:t xml:space="preserve"> O STF adota interpretação abrangente de "casa", incluindo escritórios profissionais, consultórios médicos, trailers habitados e quartos de hotel ocupados. Áreas abertas ao público (como o salão de um restaurante) não configuram domicílio protegido durante o horário comercial.</w:t>
            </w:r>
          </w:p>
          <w:p>
            <w:pPr>
              <w:spacing w:line="288" w:lineRule="auto" w:before="40" w:after="40"/>
            </w:pPr>
            <w:r>
              <w:rPr>
                <w:rFonts w:ascii="Arial" w:hAnsi="Arial"/>
                <w:b w:val="0"/>
                <w:i w:val="0"/>
                <w:color w:val="111827"/>
                <w:sz w:val="21"/>
              </w:rPr>
              <w:t xml:space="preserve">2. </w:t>
            </w:r>
            <w:r>
              <w:rPr>
                <w:rFonts w:ascii="Arial" w:hAnsi="Arial"/>
                <w:b/>
                <w:i w:val="0"/>
                <w:color w:val="111827"/>
                <w:sz w:val="21"/>
              </w:rPr>
              <w:t>Determinação Judicial:</w:t>
            </w:r>
            <w:r>
              <w:rPr>
                <w:rFonts w:ascii="Arial" w:hAnsi="Arial"/>
                <w:b w:val="0"/>
                <w:i w:val="0"/>
                <w:color w:val="111827"/>
                <w:sz w:val="21"/>
              </w:rPr>
              <w:t xml:space="preserve"> O cumprimento de mandado de busca e apreensão domiciliar </w:t>
            </w:r>
            <w:r>
              <w:rPr>
                <w:rFonts w:ascii="Arial" w:hAnsi="Arial"/>
                <w:b/>
                <w:i w:val="0"/>
                <w:color w:val="111827"/>
                <w:sz w:val="21"/>
              </w:rPr>
              <w:t>só pode ocorrer durante o dia</w:t>
            </w:r>
            <w:r>
              <w:rPr>
                <w:rFonts w:ascii="Arial" w:hAnsi="Arial"/>
                <w:b w:val="0"/>
                <w:i w:val="0"/>
                <w:color w:val="111827"/>
                <w:sz w:val="21"/>
              </w:rPr>
              <w:t>. Não existe hipótese de ingresso com ordem judicial durante a noite sem o consentimento do morador! O critério consagrado pela Lei de Abuso de Autoridade (Lei nº 13.869/2019) veda o cumprimento de mandado domiciliar entre 21h e 5h.</w:t>
            </w:r>
          </w:p>
          <w:p>
            <w:pPr>
              <w:spacing w:line="288" w:lineRule="auto" w:before="40" w:after="40"/>
            </w:pPr>
            <w:r>
              <w:rPr>
                <w:rFonts w:ascii="Arial" w:hAnsi="Arial"/>
                <w:b w:val="0"/>
                <w:i w:val="0"/>
                <w:color w:val="111827"/>
                <w:sz w:val="21"/>
              </w:rPr>
              <w:t xml:space="preserve">3. </w:t>
            </w:r>
            <w:r>
              <w:rPr>
                <w:rFonts w:ascii="Arial" w:hAnsi="Arial"/>
                <w:b/>
                <w:i w:val="0"/>
                <w:color w:val="111827"/>
                <w:sz w:val="21"/>
              </w:rPr>
              <w:t>Flagrante Delito em Tráfico Ilícito de Drogas (Tema 280/STF):</w:t>
            </w:r>
            <w:r>
              <w:rPr>
                <w:rFonts w:ascii="Arial" w:hAnsi="Arial"/>
                <w:b w:val="0"/>
                <w:i w:val="0"/>
                <w:color w:val="111827"/>
                <w:sz w:val="21"/>
              </w:rPr>
              <w:t xml:space="preserve"> O ingresso forçado em domicílio sem mandado judicial, mesmo em caso de crime permanente como o tráfico de drogas, exige fundadas razões (justa causa) devidamente justificadas </w:t>
            </w:r>
            <w:r>
              <w:rPr>
                <w:rFonts w:ascii="Arial" w:hAnsi="Arial"/>
                <w:b w:val="0"/>
                <w:i/>
                <w:color w:val="111827"/>
                <w:sz w:val="21"/>
              </w:rPr>
              <w:t>a posteriori</w:t>
            </w:r>
            <w:r>
              <w:rPr>
                <w:rFonts w:ascii="Arial" w:hAnsi="Arial"/>
                <w:b w:val="0"/>
                <w:i w:val="0"/>
                <w:color w:val="111827"/>
                <w:sz w:val="21"/>
              </w:rPr>
              <w:t>, sob pena de nulidade absoluta das provas.</w:t>
            </w:r>
          </w:p>
        </w:tc>
      </w:tr>
    </w:tbl>
    <w:p>
      <w:pPr>
        <w:spacing w:before="0" w:after="120"/>
      </w:pPr>
    </w:p>
    <w:p>
      <w:pPr>
        <w:keepNext/>
        <w:spacing w:before="120" w:after="40"/>
      </w:pPr>
      <w:r>
        <w:rPr>
          <w:rFonts w:ascii="Arial" w:hAnsi="Arial"/>
          <w:b/>
          <w:i/>
          <w:color w:val="334155"/>
          <w:sz w:val="22"/>
        </w:rPr>
        <w:t>1.3 Inviolabilidade das Comunicações e Reserva de Jurisdição (Art. 5º, XII)</w:t>
      </w:r>
    </w:p>
    <w:p>
      <w:pPr>
        <w:spacing w:line="240" w:lineRule="auto" w:before="40" w:after="40"/>
        <w:ind w:left="2268"/>
      </w:pPr>
      <w:r>
        <w:rPr>
          <w:rFonts w:ascii="Arial" w:hAnsi="Arial"/>
          <w:b w:val="0"/>
          <w:i/>
          <w:color w:val="111827"/>
          <w:sz w:val="20"/>
        </w:rPr>
        <w:t>"É inviolável o sigilo da correspondência e das comunicações telegráficas, de dados e das comunicações telefônicas, salvo, no último caso, por ordem judicial, nas hipóteses e na forma que a lei estabelecer para fins de investigação criminal ou instrução processual penal."</w:t>
      </w:r>
    </w:p>
    <w:p>
      <w:pPr>
        <w:spacing w:after="80"/>
      </w:pPr>
    </w:p>
    <w:p>
      <w:pPr>
        <w:spacing w:line="276" w:lineRule="auto" w:before="20" w:after="40"/>
        <w:ind w:left="425"/>
      </w:pPr>
      <w:r>
        <w:rPr>
          <w:rFonts w:ascii="Arial" w:hAnsi="Arial"/>
          <w:b/>
          <w:color w:val="2B6CB0"/>
          <w:sz w:val="22"/>
        </w:rPr>
        <w:t xml:space="preserve">• </w:t>
      </w:r>
      <w:r>
        <w:rPr>
          <w:rFonts w:ascii="Arial" w:hAnsi="Arial"/>
          <w:b/>
          <w:i w:val="0"/>
          <w:color w:val="111827"/>
          <w:sz w:val="22"/>
        </w:rPr>
        <w:t>Interceptação Telefônica:</w:t>
      </w:r>
      <w:r>
        <w:rPr>
          <w:rFonts w:ascii="Arial" w:hAnsi="Arial"/>
          <w:b w:val="0"/>
          <w:i w:val="0"/>
          <w:color w:val="111827"/>
          <w:sz w:val="22"/>
        </w:rPr>
        <w:t xml:space="preserve"> Exige cláusula de </w:t>
      </w:r>
      <w:r>
        <w:rPr>
          <w:rFonts w:ascii="Arial" w:hAnsi="Arial"/>
          <w:b/>
          <w:i w:val="0"/>
          <w:color w:val="111827"/>
          <w:sz w:val="22"/>
        </w:rPr>
        <w:t>reserva de jurisdição estrita</w:t>
      </w:r>
      <w:r>
        <w:rPr>
          <w:rFonts w:ascii="Arial" w:hAnsi="Arial"/>
          <w:b w:val="0"/>
          <w:i w:val="0"/>
          <w:color w:val="111827"/>
          <w:sz w:val="22"/>
        </w:rPr>
        <w:t xml:space="preserve"> (apenas o juiz competente pode determinar). É vedada em processos cíveis ou administrativos disciplinares (PAD). Contudo, a prova obtida licitamente no juízo criminal pode ser compartilhada como prova emprestada no PAD disciplinar (STJ/STF).</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Sigilo Fiscal e Bancário:</w:t>
      </w:r>
      <w:r>
        <w:rPr>
          <w:rFonts w:ascii="Arial" w:hAnsi="Arial"/>
          <w:b w:val="0"/>
          <w:i w:val="0"/>
          <w:color w:val="111827"/>
          <w:sz w:val="22"/>
        </w:rPr>
        <w:t xml:space="preserve"> Pode ser quebrado por determinação judicial e também diretamente por Comissões Parlamentares de Inquérito (CPIs federais e estaduais), com base nos poderes de investigação próprios das autoridades judiciais (art. 58, § 3º). O Fisco pode requisitar dados cadastrais e movimentações bancárias diretamente sem prévia autorização judicial (STF, ADI 2.390 e LC 105/2001).</w:t>
      </w:r>
    </w:p>
    <w:p>
      <w:pPr>
        <w:keepNext/>
        <w:spacing w:before="120" w:after="40"/>
      </w:pPr>
      <w:r>
        <w:rPr>
          <w:rFonts w:ascii="Arial" w:hAnsi="Arial"/>
          <w:b/>
          <w:i/>
          <w:color w:val="334155"/>
          <w:sz w:val="22"/>
        </w:rPr>
        <w:t>1.4 Liberdade de Associação e Limites Estatais (Art. 5º, XVII a XXI)</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Aspecto Constitucional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Regra / Limite</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Exigência Processual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Criação da Associação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Plena liberdade para fins lícitos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Independe de autorização</w:t>
            </w:r>
            <w:r>
              <w:rPr>
                <w:rFonts w:ascii="Arial" w:hAnsi="Arial"/>
                <w:b w:val="0"/>
                <w:i w:val="0"/>
                <w:color w:val="111827"/>
                <w:sz w:val="19"/>
              </w:rPr>
              <w:t xml:space="preserve"> estatal; vedada interferência na administração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Atividades Paramilitares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Vedação absoluta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Proibição categórica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Suspensão das Atividades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Interrupção provisória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Exige </w:t>
            </w:r>
            <w:r>
              <w:rPr>
                <w:rFonts w:ascii="Arial" w:hAnsi="Arial"/>
                <w:b/>
                <w:i w:val="0"/>
                <w:color w:val="111827"/>
                <w:sz w:val="19"/>
              </w:rPr>
              <w:t>decisão judicial</w:t>
            </w:r>
            <w:r>
              <w:rPr>
                <w:rFonts w:ascii="Arial" w:hAnsi="Arial"/>
                <w:b w:val="0"/>
                <w:i w:val="0"/>
                <w:color w:val="111827"/>
                <w:sz w:val="19"/>
              </w:rPr>
              <w:t xml:space="preserve"> (mesmo cautelar/liminar)</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Dissolução Compulsória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Extinção definitiva da pessoa jurídica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Exige </w:t>
            </w:r>
            <w:r>
              <w:rPr>
                <w:rFonts w:ascii="Arial" w:hAnsi="Arial"/>
                <w:b/>
                <w:i w:val="0"/>
                <w:color w:val="111827"/>
                <w:sz w:val="19"/>
              </w:rPr>
              <w:t>decisão judicial transitada em julgado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Representação Processual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Defesa dos filiados em juízo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Exige </w:t>
            </w:r>
            <w:r>
              <w:rPr>
                <w:rFonts w:ascii="Arial" w:hAnsi="Arial"/>
                <w:b/>
                <w:i w:val="0"/>
                <w:color w:val="111827"/>
                <w:sz w:val="19"/>
              </w:rPr>
              <w:t>autorização expressa</w:t>
            </w:r>
            <w:r>
              <w:rPr>
                <w:rFonts w:ascii="Arial" w:hAnsi="Arial"/>
                <w:b w:val="0"/>
                <w:i w:val="0"/>
                <w:color w:val="111827"/>
                <w:sz w:val="19"/>
              </w:rPr>
              <w:t xml:space="preserve"> (individual ou assemblear - Tema 82/STF)</w:t>
            </w:r>
          </w:p>
        </w:tc>
      </w:tr>
    </w:tbl>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w:t>
            </w:r>
          </w:p>
          <w:p>
            <w:pPr>
              <w:spacing w:line="288" w:lineRule="auto" w:before="40" w:after="40"/>
            </w:pPr>
            <w:r>
              <w:rPr>
                <w:rFonts w:ascii="Arial" w:hAnsi="Arial"/>
                <w:b w:val="0"/>
                <w:i w:val="0"/>
                <w:color w:val="111827"/>
                <w:sz w:val="21"/>
              </w:rPr>
              <w:t xml:space="preserve">A FCC adora trocar as exigências para suspensão e dissolução compulsória. Memorize: para </w:t>
            </w:r>
            <w:r>
              <w:rPr>
                <w:rFonts w:ascii="Arial" w:hAnsi="Arial"/>
                <w:b/>
                <w:i w:val="0"/>
                <w:color w:val="111827"/>
                <w:sz w:val="21"/>
              </w:rPr>
              <w:t>suspender</w:t>
            </w:r>
            <w:r>
              <w:rPr>
                <w:rFonts w:ascii="Arial" w:hAnsi="Arial"/>
                <w:b w:val="0"/>
                <w:i w:val="0"/>
                <w:color w:val="111827"/>
                <w:sz w:val="21"/>
              </w:rPr>
              <w:t xml:space="preserve">, basta mera </w:t>
            </w:r>
            <w:r>
              <w:rPr>
                <w:rFonts w:ascii="Arial" w:hAnsi="Arial"/>
                <w:b/>
                <w:i w:val="0"/>
                <w:color w:val="111827"/>
                <w:sz w:val="21"/>
              </w:rPr>
              <w:t>decisão judicial</w:t>
            </w:r>
            <w:r>
              <w:rPr>
                <w:rFonts w:ascii="Arial" w:hAnsi="Arial"/>
                <w:b w:val="0"/>
                <w:i w:val="0"/>
                <w:color w:val="111827"/>
                <w:sz w:val="21"/>
              </w:rPr>
              <w:t xml:space="preserve">; para </w:t>
            </w:r>
            <w:r>
              <w:rPr>
                <w:rFonts w:ascii="Arial" w:hAnsi="Arial"/>
                <w:b/>
                <w:i w:val="0"/>
                <w:color w:val="111827"/>
                <w:sz w:val="21"/>
              </w:rPr>
              <w:t>dissolver compulsoriamente</w:t>
            </w:r>
            <w:r>
              <w:rPr>
                <w:rFonts w:ascii="Arial" w:hAnsi="Arial"/>
                <w:b w:val="0"/>
                <w:i w:val="0"/>
                <w:color w:val="111827"/>
                <w:sz w:val="21"/>
              </w:rPr>
              <w:t xml:space="preserve">, exige-se </w:t>
            </w:r>
            <w:r>
              <w:rPr>
                <w:rFonts w:ascii="Arial" w:hAnsi="Arial"/>
                <w:b/>
                <w:i w:val="0"/>
                <w:color w:val="111827"/>
                <w:sz w:val="21"/>
              </w:rPr>
              <w:t>trânsito em julgado</w:t>
            </w:r>
            <w:r>
              <w:rPr>
                <w:rFonts w:ascii="Arial" w:hAnsi="Arial"/>
                <w:b w:val="0"/>
                <w:i w:val="0"/>
                <w:color w:val="111827"/>
                <w:sz w:val="21"/>
              </w:rPr>
              <w:t>. Nenhuma autoridade administrativa tem competência para ordenar a paralisação ou encerramento de associação!</w:t>
            </w:r>
          </w:p>
        </w:tc>
      </w:tr>
    </w:tbl>
    <w:p>
      <w:pPr>
        <w:spacing w:before="0" w:after="120"/>
      </w:pPr>
    </w:p>
    <w:p>
      <w:pPr>
        <w:keepNext/>
        <w:spacing w:before="120" w:after="40"/>
      </w:pPr>
      <w:r>
        <w:rPr>
          <w:rFonts w:ascii="Arial" w:hAnsi="Arial"/>
          <w:b/>
          <w:i/>
          <w:color w:val="334155"/>
          <w:sz w:val="22"/>
        </w:rPr>
        <w:t>1.5 Tratamento Constitucional dos Crimes: O Quarteto Penal da FCC</w:t>
      </w:r>
    </w:p>
    <w:p>
      <w:pPr>
        <w:spacing w:line="360" w:lineRule="auto" w:before="0" w:after="80"/>
        <w:jc w:val="both"/>
      </w:pPr>
      <w:r>
        <w:rPr>
          <w:rFonts w:ascii="Arial" w:hAnsi="Arial"/>
          <w:b w:val="0"/>
          <w:i w:val="0"/>
          <w:color w:val="111827"/>
          <w:sz w:val="24"/>
        </w:rPr>
        <w:t>Para gabaritar qualquer prova da Fundação Carlos Chagas, a tabela a seguir é de memorização compulsória:</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Categoria do Crime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Tipos Penais Abrangidos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Fiança?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Prescrição?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Graça / Anistia / Indulto?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Racismo &amp; Injúria Racial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Prática de racismo (Lei 7.716/89) e Injúria racial (STF HC 154.248 e Lei 14.532/23)</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Inafiançável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Imprescritível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Admite</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Ação de Grupos Armados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Civis ou militares contra a ordem constitucional e o Estado Democrático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Inafiançável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Imprescritível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Admite</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3T + Hediondos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w:t>
            </w:r>
            <w:r>
              <w:rPr>
                <w:rFonts w:ascii="Arial" w:hAnsi="Arial"/>
                <w:b w:val="0"/>
                <w:i w:val="0"/>
                <w:color w:val="111827"/>
                <w:sz w:val="19"/>
              </w:rPr>
              <w:t xml:space="preserve">ortura, </w:t>
            </w:r>
            <w:r>
              <w:rPr>
                <w:rFonts w:ascii="Arial" w:hAnsi="Arial"/>
                <w:b/>
                <w:i w:val="0"/>
                <w:color w:val="111827"/>
                <w:sz w:val="19"/>
              </w:rPr>
              <w:t>T</w:t>
            </w:r>
            <w:r>
              <w:rPr>
                <w:rFonts w:ascii="Arial" w:hAnsi="Arial"/>
                <w:b w:val="0"/>
                <w:i w:val="0"/>
                <w:color w:val="111827"/>
                <w:sz w:val="19"/>
              </w:rPr>
              <w:t xml:space="preserve">ráfico ilícito de drogas, </w:t>
            </w:r>
            <w:r>
              <w:rPr>
                <w:rFonts w:ascii="Arial" w:hAnsi="Arial"/>
                <w:b/>
                <w:i w:val="0"/>
                <w:color w:val="111827"/>
                <w:sz w:val="19"/>
              </w:rPr>
              <w:t>T</w:t>
            </w:r>
            <w:r>
              <w:rPr>
                <w:rFonts w:ascii="Arial" w:hAnsi="Arial"/>
                <w:b w:val="0"/>
                <w:i w:val="0"/>
                <w:color w:val="111827"/>
                <w:sz w:val="19"/>
              </w:rPr>
              <w:t xml:space="preserve">errorismo e Crimes </w:t>
            </w:r>
            <w:r>
              <w:rPr>
                <w:rFonts w:ascii="Arial" w:hAnsi="Arial"/>
                <w:b/>
                <w:i w:val="0"/>
                <w:color w:val="111827"/>
                <w:sz w:val="19"/>
              </w:rPr>
              <w:t>H</w:t>
            </w:r>
            <w:r>
              <w:rPr>
                <w:rFonts w:ascii="Arial" w:hAnsi="Arial"/>
                <w:b w:val="0"/>
                <w:i w:val="0"/>
                <w:color w:val="111827"/>
                <w:sz w:val="19"/>
              </w:rPr>
              <w:t>ediondos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Inafiançável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Prescritível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Insuscetíveis de graça ou anistia</w:t>
            </w:r>
          </w:p>
        </w:tc>
      </w:tr>
    </w:tbl>
    <w:p>
      <w:pPr>
        <w:spacing w:after="120"/>
      </w:pPr>
    </w:p>
    <w:p>
      <w:pPr>
        <w:spacing w:after="120"/>
      </w:pPr>
    </w:p>
    <w:p>
      <w:pPr>
        <w:keepNext/>
        <w:spacing w:before="200" w:after="80"/>
      </w:pPr>
      <w:r>
        <w:rPr>
          <w:rFonts w:ascii="Arial" w:hAnsi="Arial"/>
          <w:b/>
          <w:i w:val="0"/>
          <w:color w:val="2B6CB0"/>
          <w:sz w:val="24"/>
        </w:rPr>
        <w:t>2. Remédios Constitucionais (</w:t>
      </w:r>
      <w:r>
        <w:rPr>
          <w:rFonts w:ascii="Arial" w:hAnsi="Arial"/>
          <w:b/>
          <w:i/>
          <w:color w:val="2B6CB0"/>
          <w:sz w:val="24"/>
        </w:rPr>
        <w:t>Writs</w:t>
      </w:r>
      <w:r>
        <w:rPr>
          <w:rFonts w:ascii="Arial" w:hAnsi="Arial"/>
          <w:b/>
          <w:i w:val="0"/>
          <w:color w:val="2B6CB0"/>
          <w:sz w:val="24"/>
        </w:rPr>
        <w:t xml:space="preserve"> de Garantia)</w:t>
      </w:r>
    </w:p>
    <w:p>
      <w:pPr>
        <w:spacing w:line="360" w:lineRule="auto" w:before="0" w:after="80"/>
        <w:jc w:val="both"/>
      </w:pPr>
      <w:r>
        <w:rPr>
          <w:rFonts w:ascii="Arial" w:hAnsi="Arial"/>
          <w:b w:val="0"/>
          <w:i w:val="0"/>
          <w:color w:val="111827"/>
          <w:sz w:val="24"/>
        </w:rPr>
        <w:t>A Constituição Federal consagra ações constitucionais de rito especial para proteger direitos fundamentais violados ou ameaçados por ilegalidade ou abuso de poder.</w:t>
      </w:r>
    </w:p>
    <w:p>
      <w:pPr>
        <w:spacing w:after="120"/>
      </w:pPr>
    </w:p>
    <w:p>
      <w:pPr>
        <w:keepNext/>
        <w:spacing w:before="120" w:after="40"/>
      </w:pPr>
      <w:r>
        <w:rPr>
          <w:rFonts w:ascii="Arial" w:hAnsi="Arial"/>
          <w:b/>
          <w:i/>
          <w:color w:val="334155"/>
          <w:sz w:val="22"/>
        </w:rPr>
        <w:t>2.1 Análise Comparativa dos Remédios Constitucionais</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rPr>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Remédio Constitucional</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Objeto Jurídico Tutelado</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Legitimidade Ativa</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Gratuidade / Custas?</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Capacidade Postulatória (Advogado)?</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Peculiaridades de Prova FCC</w:t>
            </w: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Habeas Corpus (HC)</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Liberdade física de locomoção (ir, vir e permanecer)</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Qualquer pessoa física ou jurídica em favor de pessoa física</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Gratuito</w:t>
            </w:r>
            <w:r>
              <w:rPr>
                <w:rFonts w:ascii="Arial" w:hAnsi="Arial"/>
                <w:b w:val="0"/>
                <w:i w:val="0"/>
                <w:color w:val="111827"/>
                <w:sz w:val="19"/>
              </w:rPr>
              <w:t xml:space="preserve"> (Art. 5º, LXXVII)</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Dispensa advogado</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cabe para questionar punição disciplinar militar quanto ao mérito, mas cabe quanto à legalidade formal do ato.</w:t>
            </w:r>
          </w:p>
        </w:tc>
      </w:tr>
      <w:tr>
        <w:trPr>
          <w:cantSplit/>
        </w:trPr>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Habeas Data (HD)</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Conhecimento, retificação ou anotação de informações pessoais do impetrante</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Titular dos dados (natureza personalíssima)</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Gratuito</w:t>
            </w:r>
            <w:r>
              <w:rPr>
                <w:rFonts w:ascii="Arial" w:hAnsi="Arial"/>
                <w:b w:val="0"/>
                <w:i w:val="0"/>
                <w:color w:val="111827"/>
                <w:sz w:val="19"/>
              </w:rPr>
              <w:t xml:space="preserve"> (Art. 5º, LXXVII)</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Exige advogado</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Exige recusa formal prévia da autoridade administrativa (Súmula 2 do STJ). Não serve para obter certidões ou vistas de processos de terceiros (neste caso, cabe MS).</w:t>
            </w: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Mandado de Segurança (MS)</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Direito líquido e certo não amparado por HC ou HD</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Pessoa física ou jurídica titular do direito lesionado</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Oneroso</w:t>
            </w:r>
            <w:r>
              <w:rPr>
                <w:rFonts w:ascii="Arial" w:hAnsi="Arial"/>
                <w:b w:val="0"/>
                <w:i w:val="0"/>
                <w:color w:val="111827"/>
                <w:sz w:val="19"/>
              </w:rPr>
              <w:t xml:space="preserve"> (salvo gratuidade de justiça)</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Exige advogado</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Prazo decadencial improrrogável de </w:t>
            </w:r>
            <w:r>
              <w:rPr>
                <w:rFonts w:ascii="Arial" w:hAnsi="Arial"/>
                <w:b/>
                <w:i w:val="0"/>
                <w:color w:val="111827"/>
                <w:sz w:val="19"/>
              </w:rPr>
              <w:t>120 dias</w:t>
            </w:r>
            <w:r>
              <w:rPr>
                <w:rFonts w:ascii="Arial" w:hAnsi="Arial"/>
                <w:b w:val="0"/>
                <w:i w:val="0"/>
                <w:color w:val="111827"/>
                <w:sz w:val="19"/>
              </w:rPr>
              <w:t xml:space="preserve"> contados da ciência formal do ato. Não comporta dilação probatória (exige prova documental pré-constituída).</w:t>
            </w:r>
          </w:p>
        </w:tc>
      </w:tr>
      <w:tr>
        <w:trPr>
          <w:cantSplit/>
        </w:trPr>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Mandado de Injunção (MI)</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Suprimento de omissão legislativa que torne inviável direito fundamental</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Titular do direito prejudicado pela falta de norma</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Oneroso</w:t>
            </w:r>
            <w:r>
              <w:rPr>
                <w:rFonts w:ascii="Arial" w:hAnsi="Arial"/>
                <w:b w:val="0"/>
                <w:i w:val="0"/>
                <w:color w:val="111827"/>
                <w:sz w:val="19"/>
              </w:rPr>
              <w:t xml:space="preserve"> (salvo gratuidade de justiça)</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Exige advogado</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STF e Lei 13.300/2016 adotam a teoria concretista: o Judiciário fixa as condições de exercício do direito até a edição da lei.</w:t>
            </w: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Ação Popular (AP)</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Anular ato lesivo ao patrimônio público, moralidade, meio ambiente e patrimônio histórico</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Exclusivamente o CIDADÃO</w:t>
            </w:r>
            <w:r>
              <w:rPr>
                <w:rFonts w:ascii="Arial" w:hAnsi="Arial"/>
                <w:b w:val="0"/>
                <w:i w:val="0"/>
                <w:color w:val="111827"/>
                <w:sz w:val="19"/>
              </w:rPr>
              <w:t xml:space="preserve"> (brasileiro eleitor com título de eleitor)</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Gratuita</w:t>
            </w:r>
            <w:r>
              <w:rPr>
                <w:rFonts w:ascii="Arial" w:hAnsi="Arial"/>
                <w:b w:val="0"/>
                <w:i w:val="0"/>
                <w:color w:val="111827"/>
                <w:sz w:val="19"/>
              </w:rPr>
              <w:t>, salvo comprovada má-fé</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Exige advogado</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Pessoa jurídica </w:t>
            </w:r>
            <w:r>
              <w:rPr>
                <w:rFonts w:ascii="Arial" w:hAnsi="Arial"/>
                <w:b/>
                <w:i w:val="0"/>
                <w:color w:val="111827"/>
                <w:sz w:val="19"/>
              </w:rPr>
              <w:t>não</w:t>
            </w:r>
            <w:r>
              <w:rPr>
                <w:rFonts w:ascii="Arial" w:hAnsi="Arial"/>
                <w:b w:val="0"/>
                <w:i w:val="0"/>
                <w:color w:val="111827"/>
                <w:sz w:val="19"/>
              </w:rPr>
              <w:t xml:space="preserve"> pode ajuizar (Súmula 365/STF). Prazo prescricional de 5 anos (Lei 4.717/65). Não há honorários de sucumbência para o autor salvo má-fé.</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Habeas Data vs. Certidão Pública:</w:t>
            </w:r>
            <w:r>
              <w:rPr>
                <w:rFonts w:ascii="Arial" w:hAnsi="Arial"/>
                <w:b w:val="0"/>
                <w:i w:val="0"/>
                <w:color w:val="111827"/>
                <w:sz w:val="21"/>
              </w:rPr>
              <w:t xml:space="preserve"> Para obter informações de interesse geral ou certidões para defesa de direitos (art. 5º, XXXIII e XXXIV, "b"), o remédio adequado é o </w:t>
            </w:r>
            <w:r>
              <w:rPr>
                <w:rFonts w:ascii="Arial" w:hAnsi="Arial"/>
                <w:b/>
                <w:i w:val="0"/>
                <w:color w:val="111827"/>
                <w:sz w:val="21"/>
              </w:rPr>
              <w:t>Mandado de Segurança</w:t>
            </w:r>
            <w:r>
              <w:rPr>
                <w:rFonts w:ascii="Arial" w:hAnsi="Arial"/>
                <w:b w:val="0"/>
                <w:i w:val="0"/>
                <w:color w:val="111827"/>
                <w:sz w:val="21"/>
              </w:rPr>
              <w:t xml:space="preserve">, e não o Habeas Data! O Habeas Data é restrito a dados cadastrais e assentamentos </w:t>
            </w:r>
            <w:r>
              <w:rPr>
                <w:rFonts w:ascii="Arial" w:hAnsi="Arial"/>
                <w:b/>
                <w:i w:val="0"/>
                <w:color w:val="111827"/>
                <w:sz w:val="21"/>
              </w:rPr>
              <w:t>relativos à própria pessoa do impetrante</w:t>
            </w:r>
            <w:r>
              <w:rPr>
                <w:rFonts w:ascii="Arial" w:hAnsi="Arial"/>
                <w:b w:val="0"/>
                <w:i w:val="0"/>
                <w:color w:val="111827"/>
                <w:sz w:val="21"/>
              </w:rPr>
              <w:t xml:space="preserve"> (</w:t>
            </w:r>
            <w:r>
              <w:rPr>
                <w:rFonts w:ascii="Arial" w:hAnsi="Arial"/>
                <w:b w:val="0"/>
                <w:i/>
                <w:color w:val="111827"/>
                <w:sz w:val="21"/>
              </w:rPr>
              <w:t>habeas data</w:t>
            </w:r>
            <w:r>
              <w:rPr>
                <w:rFonts w:ascii="Arial" w:hAnsi="Arial"/>
                <w:b w:val="0"/>
                <w:i w:val="0"/>
                <w:color w:val="111827"/>
                <w:sz w:val="21"/>
              </w:rPr>
              <w:t xml:space="preserve"> é remédio personalíssimo).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Mandado de Segurança Coletivo (Art. 5º, LXX):</w:t>
            </w:r>
            <w:r>
              <w:rPr>
                <w:rFonts w:ascii="Arial" w:hAnsi="Arial"/>
                <w:b w:val="0"/>
                <w:i w:val="0"/>
                <w:color w:val="111827"/>
                <w:sz w:val="21"/>
              </w:rPr>
              <w:t xml:space="preserve"> Pode ser impetrado por partido político </w:t>
            </w:r>
            <w:r>
              <w:rPr>
                <w:rFonts w:ascii="Arial" w:hAnsi="Arial"/>
                <w:b/>
                <w:i w:val="0"/>
                <w:color w:val="111827"/>
                <w:sz w:val="21"/>
              </w:rPr>
              <w:t>com representação no Congresso Nacional</w:t>
            </w:r>
            <w:r>
              <w:rPr>
                <w:rFonts w:ascii="Arial" w:hAnsi="Arial"/>
                <w:b w:val="0"/>
                <w:i w:val="0"/>
                <w:color w:val="111827"/>
                <w:sz w:val="21"/>
              </w:rPr>
              <w:t xml:space="preserve"> (basta 1 deputado federal ou 1 senador) ou por organização sindical, entidade de classe ou associação legalmente constituída e em funcionamento há pelo menos </w:t>
            </w:r>
            <w:r>
              <w:rPr>
                <w:rFonts w:ascii="Arial" w:hAnsi="Arial"/>
                <w:b/>
                <w:i w:val="0"/>
                <w:color w:val="111827"/>
                <w:sz w:val="21"/>
              </w:rPr>
              <w:t>1 ano</w:t>
            </w:r>
            <w:r>
              <w:rPr>
                <w:rFonts w:ascii="Arial" w:hAnsi="Arial"/>
                <w:b w:val="0"/>
                <w:i w:val="0"/>
                <w:color w:val="111827"/>
                <w:sz w:val="21"/>
              </w:rPr>
              <w:t>, em defesa dos interesses de seus membros ou associados (dispensada autorização especial dos associados).</w:t>
            </w:r>
          </w:p>
        </w:tc>
      </w:tr>
    </w:tbl>
    <w:p>
      <w:pPr>
        <w:spacing w:before="0" w:after="120"/>
      </w:pPr>
    </w:p>
    <w:p>
      <w:pPr>
        <w:keepNext/>
        <w:spacing w:before="200" w:after="80"/>
      </w:pPr>
      <w:r>
        <w:rPr>
          <w:rFonts w:ascii="Arial" w:hAnsi="Arial"/>
          <w:b/>
          <w:i w:val="0"/>
          <w:color w:val="2B6CB0"/>
          <w:sz w:val="24"/>
        </w:rPr>
        <w:t>3. Direitos Sociais (Arts. 6º a 11)</w:t>
      </w:r>
    </w:p>
    <w:p>
      <w:pPr>
        <w:spacing w:line="276" w:lineRule="auto" w:before="20" w:after="40"/>
        <w:ind w:left="425"/>
      </w:pPr>
      <w:r>
        <w:rPr>
          <w:rFonts w:ascii="Arial" w:hAnsi="Arial"/>
          <w:b/>
          <w:color w:val="2B6CB0"/>
          <w:sz w:val="22"/>
        </w:rPr>
        <w:t xml:space="preserve">• </w:t>
      </w:r>
      <w:r>
        <w:rPr>
          <w:rFonts w:ascii="Arial" w:hAnsi="Arial"/>
          <w:b/>
          <w:i w:val="0"/>
          <w:color w:val="111827"/>
          <w:sz w:val="22"/>
        </w:rPr>
        <w:t>Rol Exemplificativo do Art. 6º:</w:t>
      </w:r>
      <w:r>
        <w:rPr>
          <w:rFonts w:ascii="Arial" w:hAnsi="Arial"/>
          <w:b w:val="0"/>
          <w:i w:val="0"/>
          <w:color w:val="111827"/>
          <w:sz w:val="22"/>
        </w:rPr>
        <w:t xml:space="preserve"> São direitos sociais a educação, a saúde, a alimentação, o trabalho, a moradia, o transporte, o lazer, a segurança, a previdência social, a proteção à maternidade e à infância, e a assistência aos desamparados.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Direitos dos Trabalhadores Urbanos e Rurais (Art. 7º):</w:t>
      </w:r>
    </w:p>
    <w:p>
      <w:pPr>
        <w:spacing w:line="276" w:lineRule="auto" w:before="20" w:after="40"/>
        <w:ind w:left="992"/>
      </w:pPr>
      <w:r>
        <w:rPr>
          <w:rFonts w:ascii="Arial" w:hAnsi="Arial"/>
          <w:b/>
          <w:color w:val="2B6CB0"/>
          <w:sz w:val="22"/>
        </w:rPr>
        <w:t xml:space="preserve">• </w:t>
      </w:r>
      <w:r>
        <w:rPr>
          <w:rFonts w:ascii="Arial" w:hAnsi="Arial"/>
          <w:b w:val="0"/>
          <w:i/>
          <w:color w:val="111827"/>
          <w:sz w:val="22"/>
        </w:rPr>
        <w:t>Salário Mínimo:</w:t>
      </w:r>
      <w:r>
        <w:rPr>
          <w:rFonts w:ascii="Arial" w:hAnsi="Arial"/>
          <w:b w:val="0"/>
          <w:i w:val="0"/>
          <w:color w:val="111827"/>
          <w:sz w:val="22"/>
        </w:rPr>
        <w:t xml:space="preserve"> Fixado em lei, nacionalmente unificado, capaz de atender às necessidades vitais básicas do trabalhador e de sua família, com reajustes periódicos; vedada sua vinculação para qualquer fim (Súmula Vinculante 4 do STF).</w:t>
      </w:r>
    </w:p>
    <w:p>
      <w:pPr>
        <w:spacing w:line="276" w:lineRule="auto" w:before="20" w:after="40"/>
        <w:ind w:left="992"/>
      </w:pPr>
      <w:r>
        <w:rPr>
          <w:rFonts w:ascii="Arial" w:hAnsi="Arial"/>
          <w:b/>
          <w:color w:val="2B6CB0"/>
          <w:sz w:val="22"/>
        </w:rPr>
        <w:t xml:space="preserve">• </w:t>
      </w:r>
      <w:r>
        <w:rPr>
          <w:rFonts w:ascii="Arial" w:hAnsi="Arial"/>
          <w:b w:val="0"/>
          <w:i/>
          <w:color w:val="111827"/>
          <w:sz w:val="22"/>
        </w:rPr>
        <w:t>Jornada de Trabalho:</w:t>
      </w:r>
      <w:r>
        <w:rPr>
          <w:rFonts w:ascii="Arial" w:hAnsi="Arial"/>
          <w:b w:val="0"/>
          <w:i w:val="0"/>
          <w:color w:val="111827"/>
          <w:sz w:val="22"/>
        </w:rPr>
        <w:t xml:space="preserve"> Não superior a 8 horas diárias e 44 horas semanais, facultada a compensação de horários e a redução da jornada mediante acordo ou convenção coletiva. Para turnos ininterruptos de revezamento: jornada de 6 horas, salvo negociação coletiva.</w:t>
      </w:r>
    </w:p>
    <w:p>
      <w:pPr>
        <w:spacing w:line="276" w:lineRule="auto" w:before="20" w:after="40"/>
        <w:ind w:left="992"/>
      </w:pPr>
      <w:r>
        <w:rPr>
          <w:rFonts w:ascii="Arial" w:hAnsi="Arial"/>
          <w:b/>
          <w:color w:val="2B6CB0"/>
          <w:sz w:val="22"/>
        </w:rPr>
        <w:t xml:space="preserve">• </w:t>
      </w:r>
      <w:r>
        <w:rPr>
          <w:rFonts w:ascii="Arial" w:hAnsi="Arial"/>
          <w:b w:val="0"/>
          <w:i/>
          <w:color w:val="111827"/>
          <w:sz w:val="22"/>
        </w:rPr>
        <w:t>Repouso Semanal Remunerado:</w:t>
      </w:r>
      <w:r>
        <w:rPr>
          <w:rFonts w:ascii="Arial" w:hAnsi="Arial"/>
          <w:b w:val="0"/>
          <w:i w:val="0"/>
          <w:color w:val="111827"/>
          <w:sz w:val="22"/>
        </w:rPr>
        <w:t xml:space="preserve"> Preferencialmente aos domingos.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Férias:</w:t>
      </w:r>
      <w:r>
        <w:rPr>
          <w:rFonts w:ascii="Arial" w:hAnsi="Arial"/>
          <w:b w:val="0"/>
          <w:i w:val="0"/>
          <w:color w:val="111827"/>
          <w:sz w:val="22"/>
        </w:rPr>
        <w:t xml:space="preserve"> Anuais remuneradas com, pelo menos, um terço a mais do que o salário normal (terço constitucional).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Licenças:</w:t>
      </w:r>
      <w:r>
        <w:rPr>
          <w:rFonts w:ascii="Arial" w:hAnsi="Arial"/>
          <w:b w:val="0"/>
          <w:i w:val="0"/>
          <w:color w:val="111827"/>
          <w:sz w:val="22"/>
        </w:rPr>
        <w:t xml:space="preserve"> Maternidade sem prejuízo do emprego e do salário, com duração de 120 dias; licença-paternidade nos termos da lei (atualmente 5 dias, prorrogável por mais 15 dias no programa Empresa Cidadã).</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Direito de Greve:</w:t>
      </w:r>
    </w:p>
    <w:p>
      <w:pPr>
        <w:spacing w:line="276" w:lineRule="auto" w:before="20" w:after="40"/>
        <w:ind w:left="992"/>
      </w:pPr>
      <w:r>
        <w:rPr>
          <w:rFonts w:ascii="Arial" w:hAnsi="Arial"/>
          <w:b/>
          <w:color w:val="2B6CB0"/>
          <w:sz w:val="22"/>
        </w:rPr>
        <w:t xml:space="preserve">• </w:t>
      </w:r>
      <w:r>
        <w:rPr>
          <w:rFonts w:ascii="Arial" w:hAnsi="Arial"/>
          <w:b w:val="0"/>
          <w:i/>
          <w:color w:val="111827"/>
          <w:sz w:val="22"/>
        </w:rPr>
        <w:t>Trabalhadores da iniciativa privada (Art. 9º):</w:t>
      </w:r>
      <w:r>
        <w:rPr>
          <w:rFonts w:ascii="Arial" w:hAnsi="Arial"/>
          <w:b w:val="0"/>
          <w:i w:val="0"/>
          <w:color w:val="111827"/>
          <w:sz w:val="22"/>
        </w:rPr>
        <w:t xml:space="preserve"> Exercício assegurado, competindo aos trabalhadores definir a oportunidade de exercer e os interesses a defender.</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Servidores públicos civis (Art. 37, VII):</w:t>
      </w:r>
      <w:r>
        <w:rPr>
          <w:rFonts w:ascii="Arial" w:hAnsi="Arial"/>
          <w:b w:val="0"/>
          <w:i w:val="0"/>
          <w:color w:val="111827"/>
          <w:sz w:val="22"/>
        </w:rPr>
        <w:t xml:space="preserve"> Depende de lei ordinária regulamentadora. Por força do Tema 23 e MI 670/STF, aplica-se aos servidores públicos a Lei de Greve da iniciativa privada (Lei nº 7.783/1989), com possibilidade de desconto dos dias parados (salvo se a greve foi deflagrada por conduta ilícita do Poder Público).</w:t>
      </w:r>
    </w:p>
    <w:p>
      <w:pPr>
        <w:spacing w:line="276" w:lineRule="auto" w:before="20" w:after="40"/>
        <w:ind w:left="992"/>
      </w:pPr>
      <w:r>
        <w:rPr>
          <w:rFonts w:ascii="Arial" w:hAnsi="Arial"/>
          <w:b/>
          <w:color w:val="2B6CB0"/>
          <w:sz w:val="22"/>
        </w:rPr>
        <w:t xml:space="preserve">• </w:t>
      </w:r>
      <w:r>
        <w:rPr>
          <w:rFonts w:ascii="Arial" w:hAnsi="Arial"/>
          <w:b w:val="0"/>
          <w:i/>
          <w:color w:val="111827"/>
          <w:sz w:val="22"/>
        </w:rPr>
        <w:t>Militares (Art. 142, § 3º, IV):</w:t>
      </w:r>
      <w:r>
        <w:rPr>
          <w:rFonts w:ascii="Arial" w:hAnsi="Arial"/>
          <w:b w:val="0"/>
          <w:i w:val="0"/>
          <w:color w:val="111827"/>
          <w:sz w:val="22"/>
        </w:rPr>
        <w:t xml:space="preserve"> Proibição absoluta de greve e sindicalização. Aplica-se também a policiais civis e guardas municipais que atuam na segurança pública armada (STF, ARE 654.432).</w:t>
      </w:r>
    </w:p>
    <w:p>
      <w:pPr>
        <w:keepNext/>
        <w:spacing w:before="200" w:after="80"/>
      </w:pPr>
      <w:r>
        <w:rPr>
          <w:rFonts w:ascii="Arial" w:hAnsi="Arial"/>
          <w:b/>
          <w:i w:val="0"/>
          <w:color w:val="2B6CB0"/>
          <w:sz w:val="24"/>
        </w:rPr>
        <w:t>4. Teoria da Nacionalidade e a Nova Disciplina da Perda (Arts. 12 e 13)</w:t>
      </w:r>
    </w:p>
    <w:p>
      <w:pPr>
        <w:keepNext/>
        <w:spacing w:before="120" w:after="40"/>
      </w:pPr>
      <w:r>
        <w:rPr>
          <w:rFonts w:ascii="Arial" w:hAnsi="Arial"/>
          <w:b/>
          <w:i/>
          <w:color w:val="334155"/>
          <w:sz w:val="22"/>
        </w:rPr>
        <w:t>4.1 Espécies de Nacionalidade Originária (Brasileiro Nato)</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**Critério Territorial (</w:t>
      </w:r>
      <w:r>
        <w:rPr>
          <w:rFonts w:ascii="Arial" w:hAnsi="Arial"/>
          <w:b w:val="0"/>
          <w:i/>
          <w:color w:val="111827"/>
          <w:sz w:val="22"/>
        </w:rPr>
        <w:t>Jus Soli</w:t>
      </w:r>
      <w:r>
        <w:rPr>
          <w:rFonts w:ascii="Arial" w:hAnsi="Arial"/>
          <w:b w:val="0"/>
          <w:i w:val="0"/>
          <w:color w:val="111827"/>
          <w:sz w:val="22"/>
        </w:rPr>
        <w:t xml:space="preserve"> - Art. 12, I, "a"):** Nascidos no Brasil, ainda que de pais estrangeiros, desde que estes não estejam a serviço do país de sua nacionalidade.</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**Critério Funcional (</w:t>
      </w:r>
      <w:r>
        <w:rPr>
          <w:rFonts w:ascii="Arial" w:hAnsi="Arial"/>
          <w:b w:val="0"/>
          <w:i/>
          <w:color w:val="111827"/>
          <w:sz w:val="22"/>
        </w:rPr>
        <w:t>Jus Sanguinis</w:t>
      </w:r>
      <w:r>
        <w:rPr>
          <w:rFonts w:ascii="Arial" w:hAnsi="Arial"/>
          <w:b w:val="0"/>
          <w:i w:val="0"/>
          <w:color w:val="111827"/>
          <w:sz w:val="22"/>
        </w:rPr>
        <w:t xml:space="preserve"> - Art. 12, I, "b"):** Nascidos no estrangeiro, de pai brasileiro ou mãe brasileira, desde que qualquer deles esteja a serviço da República Federativa do Brasil (União, Estados, DF, Municípios ou suas autarquias/fundações).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**Critério Potestativo / Registro Consular (</w:t>
      </w:r>
      <w:r>
        <w:rPr>
          <w:rFonts w:ascii="Arial" w:hAnsi="Arial"/>
          <w:b w:val="0"/>
          <w:i/>
          <w:color w:val="111827"/>
          <w:sz w:val="22"/>
        </w:rPr>
        <w:t>Jus Sanguinis</w:t>
      </w:r>
      <w:r>
        <w:rPr>
          <w:rFonts w:ascii="Arial" w:hAnsi="Arial"/>
          <w:b w:val="0"/>
          <w:i w:val="0"/>
          <w:color w:val="111827"/>
          <w:sz w:val="22"/>
        </w:rPr>
        <w:t xml:space="preserve"> - Art. 12, I, "c"):** Nascidos no estrangeiro de pai brasileiro ou de mãe brasileira, desde que sejam registrados em repartição consular brasileira competente ou venham a residir no Brasil e optem, em qualquer tempo, depois de atingida a maioridade, pela nacionalidade brasileira.</w:t>
      </w:r>
    </w:p>
    <w:p>
      <w:pPr>
        <w:keepNext/>
        <w:spacing w:before="120" w:after="40"/>
      </w:pPr>
      <w:r>
        <w:rPr>
          <w:rFonts w:ascii="Arial" w:hAnsi="Arial"/>
          <w:b/>
          <w:i/>
          <w:color w:val="334155"/>
          <w:sz w:val="22"/>
        </w:rPr>
        <w:t>4.2 Brasileiro Naturalizado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Naturalização Ordinária (Art. 12, II, "a"):</w:t>
      </w:r>
      <w:r>
        <w:rPr>
          <w:rFonts w:ascii="Arial" w:hAnsi="Arial"/>
          <w:b w:val="0"/>
          <w:i w:val="0"/>
          <w:color w:val="111827"/>
          <w:sz w:val="22"/>
        </w:rPr>
        <w:t xml:space="preserve"> Para originários de países de língua portuguesa: residência por </w:t>
      </w:r>
      <w:r>
        <w:rPr>
          <w:rFonts w:ascii="Arial" w:hAnsi="Arial"/>
          <w:b/>
          <w:i w:val="0"/>
          <w:color w:val="111827"/>
          <w:sz w:val="22"/>
        </w:rPr>
        <w:t>1 ano ininterrupto</w:t>
      </w:r>
      <w:r>
        <w:rPr>
          <w:rFonts w:ascii="Arial" w:hAnsi="Arial"/>
          <w:b w:val="0"/>
          <w:i w:val="0"/>
          <w:color w:val="111827"/>
          <w:sz w:val="22"/>
        </w:rPr>
        <w:t xml:space="preserve"> e idoneidade moral. Para os demais estrangeiros: preenchimento dos requisitos da Lei de Migração (Lei nº 13.445/2017).</w:t>
      </w:r>
    </w:p>
    <w:p>
      <w:pPr>
        <w:spacing w:line="276" w:lineRule="auto" w:before="20" w:after="40"/>
        <w:ind w:left="425"/>
      </w:pPr>
      <w:r>
        <w:rPr>
          <w:rFonts w:ascii="Arial" w:hAnsi="Arial"/>
          <w:b/>
          <w:color w:val="2B6CB0"/>
          <w:sz w:val="22"/>
        </w:rPr>
        <w:t xml:space="preserve">• </w:t>
      </w:r>
      <w:r>
        <w:rPr>
          <w:rFonts w:ascii="Arial" w:hAnsi="Arial"/>
          <w:b/>
          <w:i w:val="0"/>
          <w:color w:val="111827"/>
          <w:sz w:val="22"/>
        </w:rPr>
        <w:t>Naturalização Extraordinária / Quinzenária (Art. 12, II, "b"):</w:t>
      </w:r>
      <w:r>
        <w:rPr>
          <w:rFonts w:ascii="Arial" w:hAnsi="Arial"/>
          <w:b w:val="0"/>
          <w:i w:val="0"/>
          <w:color w:val="111827"/>
          <w:sz w:val="22"/>
        </w:rPr>
        <w:t xml:space="preserve"> Estrangeiros de qualquer nacionalidade, residentes no Brasil há mais de </w:t>
      </w:r>
      <w:r>
        <w:rPr>
          <w:rFonts w:ascii="Arial" w:hAnsi="Arial"/>
          <w:b/>
          <w:i w:val="0"/>
          <w:color w:val="111827"/>
          <w:sz w:val="22"/>
        </w:rPr>
        <w:t>15 anos ininterruptos</w:t>
      </w:r>
      <w:r>
        <w:rPr>
          <w:rFonts w:ascii="Arial" w:hAnsi="Arial"/>
          <w:b w:val="0"/>
          <w:i w:val="0"/>
          <w:color w:val="111827"/>
          <w:sz w:val="22"/>
        </w:rPr>
        <w:t xml:space="preserve"> e sem condenação penal, desde que requeiram a nacionalidade brasileira.</w:t>
      </w:r>
    </w:p>
    <w:p>
      <w:pPr>
        <w:keepNext/>
        <w:spacing w:before="120" w:after="40"/>
      </w:pPr>
      <w:r>
        <w:rPr>
          <w:rFonts w:ascii="Arial" w:hAnsi="Arial"/>
          <w:b/>
          <w:i/>
          <w:color w:val="334155"/>
          <w:sz w:val="22"/>
        </w:rPr>
        <w:t>4.3 Cargos Privativos de Brasileiro Nato (Art. 12, § 3º - MP3.COM)</w:t>
      </w:r>
    </w:p>
    <w:p>
      <w:pPr>
        <w:spacing w:line="360" w:lineRule="auto" w:before="0" w:after="80"/>
        <w:jc w:val="both"/>
      </w:pPr>
      <w:r>
        <w:rPr>
          <w:rFonts w:ascii="Arial" w:hAnsi="Arial"/>
          <w:b w:val="0"/>
          <w:i w:val="0"/>
          <w:color w:val="111827"/>
          <w:sz w:val="24"/>
        </w:rPr>
        <w:t xml:space="preserve">A Carta Magna proíbe distinções entre brasileiros natos e naturalizados, salvo nos casos expressamente previstos no próprio texto constitucional. A lista taxativa de cargos privativos é resumida pelo mnemônico consagrado </w:t>
      </w:r>
      <w:r>
        <w:rPr>
          <w:rFonts w:ascii="Arial" w:hAnsi="Arial"/>
          <w:b/>
          <w:i w:val="0"/>
          <w:color w:val="111827"/>
          <w:sz w:val="24"/>
        </w:rPr>
        <w:t>MP3.COM</w:t>
      </w:r>
      <w:r>
        <w:rPr>
          <w:rFonts w:ascii="Arial" w:hAnsi="Arial"/>
          <w:b w:val="0"/>
          <w:i w:val="0"/>
          <w:color w:val="111827"/>
          <w:sz w:val="24"/>
        </w:rPr>
        <w:t>:</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Deputados e Senadores Comuns:</w:t>
            </w:r>
            <w:r>
              <w:rPr>
                <w:rFonts w:ascii="Arial" w:hAnsi="Arial"/>
                <w:b w:val="0"/>
                <w:i w:val="0"/>
                <w:color w:val="111827"/>
                <w:sz w:val="21"/>
              </w:rPr>
              <w:t xml:space="preserve"> Podem ser brasileiros naturalizados! Apenas os cargos de </w:t>
            </w:r>
            <w:r>
              <w:rPr>
                <w:rFonts w:ascii="Arial" w:hAnsi="Arial"/>
                <w:b/>
                <w:i w:val="0"/>
                <w:color w:val="111827"/>
                <w:sz w:val="21"/>
              </w:rPr>
              <w:t>Presidente da Câmara</w:t>
            </w:r>
            <w:r>
              <w:rPr>
                <w:rFonts w:ascii="Arial" w:hAnsi="Arial"/>
                <w:b w:val="0"/>
                <w:i w:val="0"/>
                <w:color w:val="111827"/>
                <w:sz w:val="21"/>
              </w:rPr>
              <w:t xml:space="preserve"> e </w:t>
            </w:r>
            <w:r>
              <w:rPr>
                <w:rFonts w:ascii="Arial" w:hAnsi="Arial"/>
                <w:b/>
                <w:i w:val="0"/>
                <w:color w:val="111827"/>
                <w:sz w:val="21"/>
              </w:rPr>
              <w:t>Presidente do Senado</w:t>
            </w:r>
            <w:r>
              <w:rPr>
                <w:rFonts w:ascii="Arial" w:hAnsi="Arial"/>
                <w:b w:val="0"/>
                <w:i w:val="0"/>
                <w:color w:val="111827"/>
                <w:sz w:val="21"/>
              </w:rPr>
              <w:t xml:space="preserve"> são privativos de natos, pois figuram na linha de substituição presidencial sucessória (art. 80 da CF).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Tribunais Superiores e Tribunais de Contas:</w:t>
            </w:r>
            <w:r>
              <w:rPr>
                <w:rFonts w:ascii="Arial" w:hAnsi="Arial"/>
                <w:b w:val="0"/>
                <w:i w:val="0"/>
                <w:color w:val="111827"/>
                <w:sz w:val="21"/>
              </w:rPr>
              <w:t xml:space="preserve"> Ministros do STJ, Ministros do TST, Ministros do STM e Conselheiros/Ministros de Tribunais de Contas (TCU e TCE-GO) </w:t>
            </w:r>
            <w:r>
              <w:rPr>
                <w:rFonts w:ascii="Arial" w:hAnsi="Arial"/>
                <w:b/>
                <w:i w:val="0"/>
                <w:color w:val="111827"/>
                <w:sz w:val="21"/>
              </w:rPr>
              <w:t>podem ser brasileiros naturalizados</w:t>
            </w:r>
            <w:r>
              <w:rPr>
                <w:rFonts w:ascii="Arial" w:hAnsi="Arial"/>
                <w:b w:val="0"/>
                <w:i w:val="0"/>
                <w:color w:val="111827"/>
                <w:sz w:val="21"/>
              </w:rPr>
              <w:t>. Apenas os 11 Ministros do STF devem ser natos!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Ministros de Estado:</w:t>
            </w:r>
            <w:r>
              <w:rPr>
                <w:rFonts w:ascii="Arial" w:hAnsi="Arial"/>
                <w:b w:val="0"/>
                <w:i w:val="0"/>
                <w:color w:val="111827"/>
                <w:sz w:val="21"/>
              </w:rPr>
              <w:t xml:space="preserve"> Apenas o </w:t>
            </w:r>
            <w:r>
              <w:rPr>
                <w:rFonts w:ascii="Arial" w:hAnsi="Arial"/>
                <w:b/>
                <w:i w:val="0"/>
                <w:color w:val="111827"/>
                <w:sz w:val="21"/>
              </w:rPr>
              <w:t>Ministro da Defesa</w:t>
            </w:r>
            <w:r>
              <w:rPr>
                <w:rFonts w:ascii="Arial" w:hAnsi="Arial"/>
                <w:b w:val="0"/>
                <w:i w:val="0"/>
                <w:color w:val="111827"/>
                <w:sz w:val="21"/>
              </w:rPr>
              <w:t xml:space="preserve"> precisa ser nato. Todos os demais Ministros de Estado (Fazenda, Justiça, Planejamento etc.) podem ser naturalizados.</w:t>
            </w:r>
          </w:p>
        </w:tc>
      </w:tr>
    </w:tbl>
    <w:p>
      <w:pPr>
        <w:spacing w:before="0" w:after="120"/>
      </w:pPr>
    </w:p>
    <w:p>
      <w:pPr>
        <w:keepNext/>
        <w:spacing w:before="120" w:after="40"/>
      </w:pPr>
      <w:r>
        <w:rPr>
          <w:rFonts w:ascii="Arial" w:hAnsi="Arial"/>
          <w:b/>
          <w:i/>
          <w:color w:val="334155"/>
          <w:sz w:val="22"/>
        </w:rPr>
        <w:t>4.4 Perda da Nacionalidade: O Novo Regime da EC nº 131/2023</w:t>
      </w:r>
    </w:p>
    <w:p>
      <w:pPr>
        <w:spacing w:line="360" w:lineRule="auto" w:before="0" w:after="80"/>
        <w:jc w:val="both"/>
      </w:pPr>
      <w:r>
        <w:rPr>
          <w:rFonts w:ascii="Arial" w:hAnsi="Arial"/>
          <w:b w:val="0"/>
          <w:i w:val="0"/>
          <w:color w:val="111827"/>
          <w:sz w:val="24"/>
        </w:rPr>
        <w:t>A Emenda Constitucional nº 131, promulgada no final de 2023, reformulou integralmente o regime de perda da nacionalidade:</w:t>
      </w:r>
    </w:p>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(MUDANÇA LEGISLATIVA HISTÓRICA):</w:t>
            </w:r>
          </w:p>
          <w:p>
            <w:pPr>
              <w:spacing w:line="288" w:lineRule="auto" w:before="40" w:after="40"/>
            </w:pPr>
            <w:r>
              <w:rPr>
                <w:rFonts w:ascii="Arial" w:hAnsi="Arial"/>
                <w:b w:val="0"/>
                <w:i w:val="0"/>
                <w:color w:val="111827"/>
                <w:sz w:val="21"/>
              </w:rPr>
              <w:t>Antes da EC nº 131/2023, o brasileiro que adquirisse outra nacionalidade por vontade própria perdia automaticamente a nacionalidade brasileira, salvo se decorresse de reconhecimento de nacionalidade originária ou de imposição de residência.</w:t>
            </w:r>
          </w:p>
          <w:p>
            <w:pPr>
              <w:spacing w:line="288" w:lineRule="auto" w:before="40" w:after="40"/>
            </w:pPr>
            <w:r>
              <w:rPr>
                <w:rFonts w:ascii="Arial" w:hAnsi="Arial"/>
                <w:b/>
                <w:i w:val="0"/>
                <w:color w:val="111827"/>
                <w:sz w:val="21"/>
              </w:rPr>
              <w:t>Com a EC 131/2023, a aquisição voluntária de outra nacionalidade NUNCA MAIS gera perda automática da nacionalidade brasileira!</w:t>
            </w:r>
            <w:r>
              <w:rPr>
                <w:rFonts w:ascii="Arial" w:hAnsi="Arial"/>
                <w:b w:val="0"/>
                <w:i w:val="0"/>
                <w:color w:val="111827"/>
                <w:sz w:val="21"/>
              </w:rPr>
              <w:t xml:space="preserve"> A perda a pedido depende de ato formal e expresso de renúncia (não sendo aceita a renúncia se tornar a pessoa apátrida). Além disso, o brasileiro nato nunca mais perde sua nacionalidade de forma involuntária!</w:t>
            </w:r>
          </w:p>
        </w:tc>
      </w:tr>
    </w:tbl>
    <w:p>
      <w:pPr>
        <w:spacing w:before="0" w:after="120"/>
      </w:pPr>
    </w:p>
    <w:p>
      <w:pPr>
        <w:keepNext/>
        <w:spacing w:before="200" w:after="80"/>
      </w:pPr>
      <w:r>
        <w:rPr>
          <w:rFonts w:ascii="Arial" w:hAnsi="Arial"/>
          <w:b/>
          <w:i w:val="0"/>
          <w:color w:val="2B6CB0"/>
          <w:sz w:val="24"/>
        </w:rPr>
        <w:t>5. Direitos Políticos e Sistema Partidário (Arts. 14 a 17)</w:t>
      </w:r>
    </w:p>
    <w:p>
      <w:pPr>
        <w:keepNext/>
        <w:spacing w:before="120" w:after="40"/>
      </w:pPr>
      <w:r>
        <w:rPr>
          <w:rFonts w:ascii="Arial" w:hAnsi="Arial"/>
          <w:b/>
          <w:i/>
          <w:color w:val="334155"/>
          <w:sz w:val="22"/>
        </w:rPr>
        <w:t>5.1 Alistamento Eleitoral e Voto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Voto no Brasil:</w:t>
      </w:r>
      <w:r>
        <w:rPr>
          <w:rFonts w:ascii="Arial" w:hAnsi="Arial"/>
          <w:b w:val="0"/>
          <w:i w:val="0"/>
          <w:color w:val="111827"/>
          <w:sz w:val="22"/>
        </w:rPr>
        <w:t xml:space="preserve"> É direto, secreto, universal e periódico, com igual valor para todos.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Obrigatoriedade:</w:t>
      </w:r>
    </w:p>
    <w:p>
      <w:pPr>
        <w:spacing w:line="276" w:lineRule="auto" w:before="20" w:after="40"/>
        <w:ind w:left="992"/>
      </w:pPr>
      <w:r>
        <w:rPr>
          <w:rFonts w:ascii="Arial" w:hAnsi="Arial"/>
          <w:b/>
          <w:color w:val="2B6CB0"/>
          <w:sz w:val="22"/>
        </w:rPr>
        <w:t xml:space="preserve">• </w:t>
      </w:r>
      <w:r>
        <w:rPr>
          <w:rFonts w:ascii="Arial" w:hAnsi="Arial"/>
          <w:b w:val="0"/>
          <w:i/>
          <w:color w:val="111827"/>
          <w:sz w:val="22"/>
        </w:rPr>
        <w:t>Obrigatório:</w:t>
      </w:r>
      <w:r>
        <w:rPr>
          <w:rFonts w:ascii="Arial" w:hAnsi="Arial"/>
          <w:b w:val="0"/>
          <w:i w:val="0"/>
          <w:color w:val="111827"/>
          <w:sz w:val="22"/>
        </w:rPr>
        <w:t xml:space="preserve"> Maiores de 18 anos e menores de 70 anos alfabetizados.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Facultativo:</w:t>
      </w:r>
      <w:r>
        <w:rPr>
          <w:rFonts w:ascii="Arial" w:hAnsi="Arial"/>
          <w:b w:val="0"/>
          <w:i w:val="0"/>
          <w:color w:val="111827"/>
          <w:sz w:val="22"/>
        </w:rPr>
        <w:t xml:space="preserve"> Maiores de 70 anos; maiores de 16 e menores de 18 anos; analfabetos.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Inalistáveis (não podem se alistar nem votar):</w:t>
      </w:r>
      <w:r>
        <w:rPr>
          <w:rFonts w:ascii="Arial" w:hAnsi="Arial"/>
          <w:b w:val="0"/>
          <w:i w:val="0"/>
          <w:color w:val="111827"/>
          <w:sz w:val="22"/>
        </w:rPr>
        <w:t xml:space="preserve"> Estrangeiros e, durante o período de serviço militar obrigatório, os conscritos.</w:t>
      </w:r>
    </w:p>
    <w:p>
      <w:pPr>
        <w:keepNext/>
        <w:spacing w:before="120" w:after="40"/>
      </w:pPr>
      <w:r>
        <w:rPr>
          <w:rFonts w:ascii="Arial" w:hAnsi="Arial"/>
          <w:b/>
          <w:i/>
          <w:color w:val="334155"/>
          <w:sz w:val="22"/>
        </w:rPr>
        <w:t>5.2 Idades Mínimas de Elegibilidade (Capacidade Eleitoral Passiva)</w:t>
      </w:r>
    </w:p>
    <w:p>
      <w:pPr>
        <w:spacing w:line="360" w:lineRule="auto" w:before="0" w:after="80"/>
        <w:jc w:val="both"/>
      </w:pPr>
      <w:r>
        <w:rPr>
          <w:rFonts w:ascii="Arial" w:hAnsi="Arial"/>
          <w:b w:val="0"/>
          <w:i w:val="0"/>
          <w:color w:val="111827"/>
          <w:sz w:val="24"/>
        </w:rPr>
        <w:t xml:space="preserve">As idades mínimas constitucionais devem ser aferidas na data da </w:t>
      </w:r>
      <w:r>
        <w:rPr>
          <w:rFonts w:ascii="Arial" w:hAnsi="Arial"/>
          <w:b/>
          <w:i w:val="0"/>
          <w:color w:val="111827"/>
          <w:sz w:val="24"/>
        </w:rPr>
        <w:t>posse</w:t>
      </w:r>
      <w:r>
        <w:rPr>
          <w:rFonts w:ascii="Arial" w:hAnsi="Arial"/>
          <w:b w:val="0"/>
          <w:i w:val="0"/>
          <w:color w:val="111827"/>
          <w:sz w:val="24"/>
        </w:rPr>
        <w:t>, exceto para a idade de 18 anos (vereador), que deve estar preenchida na data-limite do registro de candidatura (Lei nº 9.504/1997 e Súmula 53 do TSE):</w:t>
      </w:r>
    </w:p>
    <w:p>
      <w:pPr>
        <w:spacing w:after="120"/>
      </w:pPr>
    </w:p>
    <w:p>
      <w:pPr>
        <w:keepNext/>
        <w:spacing w:before="120" w:after="40"/>
      </w:pPr>
      <w:r>
        <w:rPr>
          <w:rFonts w:ascii="Arial" w:hAnsi="Arial"/>
          <w:b/>
          <w:i/>
          <w:color w:val="334155"/>
          <w:sz w:val="22"/>
        </w:rPr>
        <w:t>5.3 Inelegibilidade Reflexa (Art. 14, § 7º) e Súmula Vinculante 18</w:t>
      </w:r>
    </w:p>
    <w:p>
      <w:pPr>
        <w:spacing w:line="240" w:lineRule="auto" w:before="40" w:after="40"/>
        <w:ind w:left="2268"/>
      </w:pPr>
      <w:r>
        <w:rPr>
          <w:rFonts w:ascii="Arial" w:hAnsi="Arial"/>
          <w:b w:val="0"/>
          <w:i/>
          <w:color w:val="111827"/>
          <w:sz w:val="20"/>
        </w:rPr>
        <w:t>"São inelegíveis, no território de jurisdição do titular, o cônjuge e os parentes consanguíneos ou afins, até o segundo grau ou por adoção, do Presidente da República, de Governador de Estado ou Território, do Distrito Federal, e de Prefeito, ou de quem os haja substituído dentro dos seis meses anteriores ao pleito, salvo se já titular de mandato eletivo e candidato à reeleição."</w:t>
      </w:r>
    </w:p>
    <w:p>
      <w:pPr>
        <w:spacing w:after="8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(SÚMULA VINCULANTE Nº 18 DO STF):</w:t>
            </w:r>
          </w:p>
          <w:p>
            <w:pPr>
              <w:spacing w:line="288" w:lineRule="auto" w:before="40" w:after="40"/>
            </w:pPr>
            <w:r>
              <w:rPr>
                <w:rFonts w:ascii="Arial" w:hAnsi="Arial"/>
                <w:b w:val="0"/>
                <w:i/>
                <w:color w:val="111827"/>
                <w:sz w:val="21"/>
              </w:rPr>
              <w:t>"A dissolução da sociedade ou do vínculo conjugal, no curso do mandato eletivo, não afasta a inelegibilidade prevista no § 7º do artigo 14 da Constituição Federal."</w:t>
            </w:r>
          </w:p>
          <w:p>
            <w:pPr>
              <w:spacing w:line="288" w:lineRule="auto" w:before="40" w:after="40"/>
            </w:pPr>
            <w:r>
              <w:rPr>
                <w:rFonts w:ascii="Arial" w:hAnsi="Arial"/>
                <w:b w:val="0"/>
                <w:i w:val="0"/>
                <w:color w:val="111827"/>
                <w:sz w:val="21"/>
              </w:rPr>
              <w:t>A intenção do constituinte e do STF é impedir fraudes como o divórcio de fachada para contornar a vedação da reeleição perpétua do mesmo clã familiar no município ou estado! A única exceção admitida pela jurisprudência é o falecimento do cônjuge mandatário durante o mandato.</w:t>
            </w:r>
          </w:p>
        </w:tc>
      </w:tr>
    </w:tbl>
    <w:p>
      <w:pPr>
        <w:spacing w:before="0" w:after="120"/>
      </w:pPr>
    </w:p>
    <w:p>
      <w:pPr>
        <w:keepNext/>
        <w:spacing w:before="120" w:after="40"/>
      </w:pPr>
      <w:r>
        <w:rPr>
          <w:rFonts w:ascii="Arial" w:hAnsi="Arial"/>
          <w:b/>
          <w:i/>
          <w:color w:val="334155"/>
          <w:sz w:val="22"/>
        </w:rPr>
        <w:t>5.4 Perda e Suspensão dos Direitos Políticos (Art. 15 da CF/88)</w:t>
      </w:r>
    </w:p>
    <w:p>
      <w:pPr>
        <w:spacing w:line="360" w:lineRule="auto" w:before="0" w:after="80"/>
        <w:jc w:val="both"/>
      </w:pPr>
      <w:r>
        <w:rPr>
          <w:rFonts w:ascii="Arial" w:hAnsi="Arial"/>
          <w:b w:val="0"/>
          <w:i w:val="0"/>
          <w:color w:val="111827"/>
          <w:sz w:val="24"/>
        </w:rPr>
        <w:t xml:space="preserve">A Constituição Federal estabelece: </w:t>
      </w:r>
      <w:r>
        <w:rPr>
          <w:rFonts w:ascii="Arial" w:hAnsi="Arial"/>
          <w:b/>
          <w:i w:val="0"/>
          <w:color w:val="111827"/>
          <w:sz w:val="24"/>
        </w:rPr>
        <w:t>"É VEDADA a cassação de direitos políticos"</w:t>
      </w:r>
      <w:r>
        <w:rPr>
          <w:rFonts w:ascii="Arial" w:hAnsi="Arial"/>
          <w:b w:val="0"/>
          <w:i w:val="0"/>
          <w:color w:val="111827"/>
          <w:sz w:val="24"/>
        </w:rPr>
        <w:t>, admitindo apenas hipóteses taxativas de perda ou suspensão:</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Hipótese Constitucional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Efeito Jurídico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Momento / Requisito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Cancelamento da Naturalização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Perda</w:t>
            </w:r>
            <w:r>
              <w:rPr>
                <w:rFonts w:ascii="Arial" w:hAnsi="Arial"/>
                <w:b w:val="0"/>
                <w:i w:val="0"/>
                <w:color w:val="111827"/>
                <w:sz w:val="19"/>
              </w:rPr>
              <w:t xml:space="preserve"> definitiva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Sentença judicial transitada em julgado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Incapacidade Civil Absoluta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Suspensão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Decorrente de decisão judicial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Condenação Criminal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Suspensão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Sentença judicial transitada em julgado, enquanto durarem seus efeitos (mesmo com sursis ou pena restritiva de direitos - Súmula 9 do TSE)</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Recusa de Obrigação a Todos Imposta (Escusa de Consciência)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Perda ou Suspensão</w:t>
            </w:r>
            <w:r>
              <w:rPr>
                <w:rFonts w:ascii="Arial" w:hAnsi="Arial"/>
                <w:b w:val="0"/>
                <w:i w:val="0"/>
                <w:color w:val="111827"/>
                <w:sz w:val="19"/>
              </w:rPr>
              <w:t xml:space="preserve"> (divergência doutrinária; prova segue a literalidade)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Recusa de prestar obrigação legal e da prestação alternativa (Art. 5º, VIII)</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Improbidade Administrativa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Suspensão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Sentença transitada em julgado (Art. 37, § 4º)</w:t>
            </w:r>
          </w:p>
        </w:tc>
      </w:tr>
    </w:tbl>
    <w:p>
      <w:pPr>
        <w:spacing w:after="120"/>
      </w:pPr>
    </w:p>
    <w:p>
      <w:pPr>
        <w:keepNext/>
        <w:spacing w:before="280" w:after="120"/>
      </w:pPr>
      <w:r>
        <w:rPr>
          <w:rFonts w:ascii="Arial" w:hAnsi="Arial"/>
          <w:b/>
          <w:i w:val="0"/>
          <w:color w:val="2C5282"/>
          <w:sz w:val="28"/>
        </w:rPr>
        <w:t>🌐 Fontes Oficiais &amp; Doutrinárias Recomendadas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Federal de 1988 - Título II (Direitos e Garantias Fundamentais)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Texto compilado dos artigos 5º ao 17.</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Emenda Constitucional nº 131/2023</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Altera o art. 12 da Constituição Federal para suprimir a perda automática da nacionalidade brasileira por naturalização voluntária.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12.016/2009 (Disciplina o Mandado de Segurança)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Regula o procedimento do MS individual e coletivo.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13.300/2016 (Lei do Mandado de Injunção)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Regras procedimentais, efeitos da decisão e mandado de injunção coletivo.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4.717/1965 (Lei da Ação Popular)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Regulação dos requisitos e condições da Ação Popular.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Súmula Vinculante nº 18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Jurisprudência vinculante sobre a inelegibilidade reflexa e dissolução do vínculo conjugal.</w:t>
      </w:r>
    </w:p>
    <w:p>
      <w:pPr>
        <w:keepNext/>
        <w:spacing w:before="280" w:after="120"/>
      </w:pPr>
      <w:r>
        <w:rPr>
          <w:rFonts w:ascii="Arial" w:hAnsi="Arial"/>
          <w:b/>
          <w:i w:val="0"/>
          <w:color w:val="2C5282"/>
          <w:sz w:val="28"/>
        </w:rPr>
        <w:t>📝 Questões Comentadas no Padrão FCC (Justificadas de A a E)</w:t>
      </w:r>
    </w:p>
    <w:p>
      <w:pPr>
        <w:keepNext/>
        <w:spacing w:before="200" w:after="80"/>
      </w:pPr>
      <w:r>
        <w:rPr>
          <w:rFonts w:ascii="Arial" w:hAnsi="Arial"/>
          <w:b/>
          <w:i w:val="0"/>
          <w:color w:val="2B6CB0"/>
          <w:sz w:val="24"/>
        </w:rPr>
        <w:t>Questão 1 (FCC - Adaptada / Analista Judiciário)</w:t>
      </w:r>
    </w:p>
    <w:p>
      <w:pPr>
        <w:spacing w:line="360" w:lineRule="auto" w:before="0" w:after="80"/>
        <w:jc w:val="both"/>
      </w:pPr>
      <w:r>
        <w:rPr>
          <w:rFonts w:ascii="Arial" w:hAnsi="Arial"/>
          <w:b w:val="0"/>
          <w:i w:val="0"/>
          <w:color w:val="111827"/>
          <w:sz w:val="24"/>
        </w:rPr>
        <w:t>Determinado servidor público estadual lotado no Tribunal de Contas teve ciência de que existem registros funcionais desabonadores a seu respeito nos bancos de dados informatizados de caráter público do órgão, contendo incorreções fáticas quanto à apuração de sua assiduidade e conduta funcional. O servidor formulou requerimento formal solicitando a retificação de seus dados cadastrais, pedido que foi expressamente indeferido pela autoridade administrativa sem qualquer fundamentação jurídica plausível.</w:t>
      </w:r>
    </w:p>
    <w:p>
      <w:pPr>
        <w:spacing w:line="360" w:lineRule="auto" w:before="0" w:after="80"/>
        <w:jc w:val="both"/>
      </w:pPr>
      <w:r>
        <w:rPr>
          <w:rFonts w:ascii="Arial" w:hAnsi="Arial"/>
          <w:b w:val="0"/>
          <w:i w:val="0"/>
          <w:color w:val="111827"/>
          <w:sz w:val="24"/>
        </w:rPr>
        <w:t>Diante da recusa administrativa formal, o instrumento processual constitucional adequado, cabível e gratuito para assegurar a retificação desses dados perante o Poder Judiciário é 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Mandado de Segurança, impetrado no prazo improrrogável de cento e vinte dias contados da ciência da decisão denegatória.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Habeas Data, cuja ação é constitucionalmente gratuita e se destina especificamente a assegurar o conhecimento e a retificação de informações relativas à pessoa do impetrante constantes de entidades governamentais ou de caráter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Mandado de Injunção, em virtude da omissão do órgão público em editar portaria disciplinadora do assentamento funcional.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Ação Popular, promovida pelo servidor em face da autoridade coatora com pedido de indenização civil por danos morais.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Habeas Corpus, haja vista que a inserção de anotações incorretas tolhe indiretamente a liberdade de locomoção do servidor público.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Mandado de Segurança é cabível para proteção de direito líquido e certo não amparado por </w:t>
            </w:r>
            <w:r>
              <w:rPr>
                <w:rFonts w:ascii="Arial" w:hAnsi="Arial"/>
                <w:b w:val="0"/>
                <w:i/>
                <w:color w:val="111827"/>
                <w:sz w:val="21"/>
              </w:rPr>
              <w:t>Habeas Corpus</w:t>
            </w:r>
            <w:r>
              <w:rPr>
                <w:rFonts w:ascii="Arial" w:hAnsi="Arial"/>
                <w:b w:val="0"/>
                <w:i w:val="0"/>
                <w:color w:val="111827"/>
                <w:sz w:val="21"/>
              </w:rPr>
              <w:t xml:space="preserve"> ou </w:t>
            </w:r>
            <w:r>
              <w:rPr>
                <w:rFonts w:ascii="Arial" w:hAnsi="Arial"/>
                <w:b w:val="0"/>
                <w:i/>
                <w:color w:val="111827"/>
                <w:sz w:val="21"/>
              </w:rPr>
              <w:t>Habeas Data</w:t>
            </w:r>
            <w:r>
              <w:rPr>
                <w:rFonts w:ascii="Arial" w:hAnsi="Arial"/>
                <w:b w:val="0"/>
                <w:i w:val="0"/>
                <w:color w:val="111827"/>
                <w:sz w:val="21"/>
              </w:rPr>
              <w:t xml:space="preserve"> (caráter residual expresso no art. 5º, LXIX). Existindo remédio específico (</w:t>
            </w:r>
            <w:r>
              <w:rPr>
                <w:rFonts w:ascii="Arial" w:hAnsi="Arial"/>
                <w:b w:val="0"/>
                <w:i/>
                <w:color w:val="111827"/>
                <w:sz w:val="21"/>
              </w:rPr>
              <w:t>Habeas Data</w:t>
            </w:r>
            <w:r>
              <w:rPr>
                <w:rFonts w:ascii="Arial" w:hAnsi="Arial"/>
                <w:b w:val="0"/>
                <w:i w:val="0"/>
                <w:color w:val="111827"/>
                <w:sz w:val="21"/>
              </w:rPr>
              <w:t xml:space="preserve"> para retificação de dados próprios), o MS não tem cabimento, além de não ser constitucionalmente gratuito.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Conforme o art. 5º, LXXII, "b", da CF/88, o </w:t>
            </w:r>
            <w:r>
              <w:rPr>
                <w:rFonts w:ascii="Arial" w:hAnsi="Arial"/>
                <w:b w:val="0"/>
                <w:i/>
                <w:color w:val="111827"/>
                <w:sz w:val="21"/>
              </w:rPr>
              <w:t>Habeas Data</w:t>
            </w:r>
            <w:r>
              <w:rPr>
                <w:rFonts w:ascii="Arial" w:hAnsi="Arial"/>
                <w:b w:val="0"/>
                <w:i w:val="0"/>
                <w:color w:val="111827"/>
                <w:sz w:val="21"/>
              </w:rPr>
              <w:t xml:space="preserve"> concede-se para a retificação de dados, quando não se prefira fazê-lo por processo sigiloso. O art. 5º, LXXVII, garante expressamente a gratuidade das ações de </w:t>
            </w:r>
            <w:r>
              <w:rPr>
                <w:rFonts w:ascii="Arial" w:hAnsi="Arial"/>
                <w:b w:val="0"/>
                <w:i/>
                <w:color w:val="111827"/>
                <w:sz w:val="21"/>
              </w:rPr>
              <w:t>Habeas Data</w:t>
            </w:r>
            <w:r>
              <w:rPr>
                <w:rFonts w:ascii="Arial" w:hAnsi="Arial"/>
                <w:b w:val="0"/>
                <w:i w:val="0"/>
                <w:color w:val="111827"/>
                <w:sz w:val="21"/>
              </w:rPr>
              <w:t>. Ademais, a Súmula 2 do STJ exige a comprovação da recusa ao requerimento administrativo, requisito plenamente atendido no caso fático.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Mandado de Injunção (art. 5º, LXXI) presta-se exclusivamente a sanar a falta de norma regulamentadora que torne inviável o exercício dos direitos e liberdades constitucionais. Não é instrumento para retificar dados cadastrais existentes.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Ação Popular (art. 5º, LXXIII) visa a anular ato lesivo ao patrimônio público, moralidade administrativa, meio ambiente ou patrimônio histórico/cultural, não possuindo como objeto a tutela individual de dados cadastrais funcionais de servidor nem pretensão indenizatória estritamente privada.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w:t>
            </w:r>
            <w:r>
              <w:rPr>
                <w:rFonts w:ascii="Arial" w:hAnsi="Arial"/>
                <w:b w:val="0"/>
                <w:i/>
                <w:color w:val="111827"/>
                <w:sz w:val="21"/>
              </w:rPr>
              <w:t>Habeas Corpus</w:t>
            </w:r>
            <w:r>
              <w:rPr>
                <w:rFonts w:ascii="Arial" w:hAnsi="Arial"/>
                <w:b w:val="0"/>
                <w:i w:val="0"/>
                <w:color w:val="111827"/>
                <w:sz w:val="21"/>
              </w:rPr>
              <w:t xml:space="preserve"> (art. 5º, LXVIII) tutela tão somente a liberdade de locomoção física (direito de ir, vir e ficar). Problemas de cadastro funcional não afetam a locomoção do cidadão.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Técnico de Controle Externo - TCE-GO)</w:t>
      </w:r>
    </w:p>
    <w:p>
      <w:pPr>
        <w:spacing w:line="360" w:lineRule="auto" w:before="0" w:after="80"/>
        <w:jc w:val="both"/>
      </w:pPr>
      <w:r>
        <w:rPr>
          <w:rFonts w:ascii="Arial" w:hAnsi="Arial"/>
          <w:b w:val="0"/>
          <w:i w:val="0"/>
          <w:color w:val="111827"/>
          <w:sz w:val="24"/>
        </w:rPr>
        <w:t>A respeito das condições de elegibilidade e da disciplina constitucional das nacionalidades, considere as seguintes situações hipotéticas:</w:t>
      </w:r>
    </w:p>
    <w:p>
      <w:pPr>
        <w:spacing w:line="360" w:lineRule="auto" w:before="0" w:after="80"/>
        <w:jc w:val="both"/>
      </w:pPr>
      <w:r>
        <w:rPr>
          <w:rFonts w:ascii="Arial" w:hAnsi="Arial"/>
          <w:b w:val="0"/>
          <w:i w:val="0"/>
          <w:color w:val="111827"/>
          <w:sz w:val="24"/>
        </w:rPr>
        <w:t>I. Arthur, brasileiro nato, com 32 anos de idade, pretende concorrer ao cargo de Governador do Estado de Goiás no próximo pleito.</w:t>
      </w:r>
    </w:p>
    <w:p>
      <w:pPr>
        <w:spacing w:line="360" w:lineRule="auto" w:before="0" w:after="80"/>
        <w:jc w:val="both"/>
      </w:pPr>
      <w:r>
        <w:rPr>
          <w:rFonts w:ascii="Arial" w:hAnsi="Arial"/>
          <w:b w:val="0"/>
          <w:i w:val="0"/>
          <w:color w:val="111827"/>
          <w:sz w:val="24"/>
        </w:rPr>
        <w:t>II. Beatriz, brasileira naturalizada, com 28 anos de idade e pleno gozo dos direitos políticos, pretende concorrer ao cargo de Deputada Federal.</w:t>
      </w:r>
    </w:p>
    <w:p>
      <w:pPr>
        <w:spacing w:line="360" w:lineRule="auto" w:before="0" w:after="80"/>
        <w:jc w:val="both"/>
      </w:pPr>
      <w:r>
        <w:rPr>
          <w:rFonts w:ascii="Arial" w:hAnsi="Arial"/>
          <w:b w:val="0"/>
          <w:i w:val="0"/>
          <w:color w:val="111827"/>
          <w:sz w:val="24"/>
        </w:rPr>
        <w:t>III. Cláudio, brasileiro naturalizado, com 50 anos de idade, notável saber jurídico e reputação ilibada, foi indicado e nomeado para o cargo de Ministro do Supremo Tribunal Federal (STF).</w:t>
      </w:r>
    </w:p>
    <w:p>
      <w:pPr>
        <w:spacing w:line="360" w:lineRule="auto" w:before="0" w:after="80"/>
        <w:jc w:val="both"/>
      </w:pPr>
      <w:r>
        <w:rPr>
          <w:rFonts w:ascii="Arial" w:hAnsi="Arial"/>
          <w:b w:val="0"/>
          <w:i w:val="0"/>
          <w:color w:val="111827"/>
          <w:sz w:val="24"/>
        </w:rPr>
        <w:t>À luz das normas constitucionais em vigor: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Apenas as situações I e II são juridicamente viáveis perante a Constituição Federal.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As situações I, II e III são plenamente permitidas pelo texto constitucional.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Apenas a situação II é viável, pois a idade mínima para Governador de Estado é de 35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Apenas a situação III é admitida, sendo vedado o mandato de Deputado Federal a brasileiros naturalizados.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Todas as três situações são expressamente vedadas pela Carta Magna.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p>
          <w:p>
            <w:pPr>
              <w:spacing w:line="288" w:lineRule="auto" w:before="40" w:after="40"/>
            </w:pPr>
            <w:r>
              <w:rPr>
                <w:rFonts w:ascii="Arial" w:hAnsi="Arial"/>
                <w:b w:val="0"/>
                <w:i w:val="0"/>
                <w:color w:val="111827"/>
                <w:sz w:val="21"/>
              </w:rPr>
              <w:t xml:space="preserve">- </w:t>
            </w:r>
            <w:r>
              <w:rPr>
                <w:rFonts w:ascii="Arial" w:hAnsi="Arial"/>
                <w:b w:val="0"/>
                <w:i/>
                <w:color w:val="111827"/>
                <w:sz w:val="21"/>
              </w:rPr>
              <w:t>Situação I é válida:</w:t>
            </w:r>
            <w:r>
              <w:rPr>
                <w:rFonts w:ascii="Arial" w:hAnsi="Arial"/>
                <w:b w:val="0"/>
                <w:i w:val="0"/>
                <w:color w:val="111827"/>
                <w:sz w:val="21"/>
              </w:rPr>
              <w:t xml:space="preserve"> O art. 14, § 3º, VI, "b", da CF/88 fixa a idade mínima de 30 anos para Governador e Vice-Governador de Estado e do DF. Arthur possui 32 anos e é nato, preenchendo todos os requisitos.</w:t>
            </w:r>
          </w:p>
          <w:p>
            <w:pPr>
              <w:spacing w:line="288" w:lineRule="auto" w:before="40" w:after="40"/>
            </w:pPr>
            <w:r>
              <w:rPr>
                <w:rFonts w:ascii="Arial" w:hAnsi="Arial"/>
                <w:b w:val="0"/>
                <w:i w:val="0"/>
                <w:color w:val="111827"/>
                <w:sz w:val="21"/>
              </w:rPr>
              <w:t xml:space="preserve">- </w:t>
            </w:r>
            <w:r>
              <w:rPr>
                <w:rFonts w:ascii="Arial" w:hAnsi="Arial"/>
                <w:b w:val="0"/>
                <w:i/>
                <w:color w:val="111827"/>
                <w:sz w:val="21"/>
              </w:rPr>
              <w:t>Situação II é válida:</w:t>
            </w:r>
            <w:r>
              <w:rPr>
                <w:rFonts w:ascii="Arial" w:hAnsi="Arial"/>
                <w:b w:val="0"/>
                <w:i w:val="0"/>
                <w:color w:val="111827"/>
                <w:sz w:val="21"/>
              </w:rPr>
              <w:t xml:space="preserve"> Apenas o cargo de </w:t>
            </w:r>
            <w:r>
              <w:rPr>
                <w:rFonts w:ascii="Arial" w:hAnsi="Arial"/>
                <w:b w:val="0"/>
                <w:i/>
                <w:color w:val="111827"/>
                <w:sz w:val="21"/>
              </w:rPr>
              <w:t>Presidente da Câmara dos Deputados</w:t>
            </w:r>
            <w:r>
              <w:rPr>
                <w:rFonts w:ascii="Arial" w:hAnsi="Arial"/>
                <w:b w:val="0"/>
                <w:i w:val="0"/>
                <w:color w:val="111827"/>
                <w:sz w:val="21"/>
              </w:rPr>
              <w:t xml:space="preserve"> é privativo de brasileiro nato (art. 12, § 3º, II). Deputados Federais comuns podem ser brasileiros naturalizados, e a idade mínima exigida é de 21 anos (art. 14, § 3º, VI, "c"), atendida por Beatriz (28 anos).</w:t>
            </w:r>
          </w:p>
          <w:p>
            <w:pPr>
              <w:spacing w:line="288" w:lineRule="auto" w:before="40" w:after="40"/>
            </w:pPr>
            <w:r>
              <w:rPr>
                <w:rFonts w:ascii="Arial" w:hAnsi="Arial"/>
                <w:b w:val="0"/>
                <w:i w:val="0"/>
                <w:color w:val="111827"/>
                <w:sz w:val="21"/>
              </w:rPr>
              <w:t xml:space="preserve">- </w:t>
            </w:r>
            <w:r>
              <w:rPr>
                <w:rFonts w:ascii="Arial" w:hAnsi="Arial"/>
                <w:b w:val="0"/>
                <w:i/>
                <w:color w:val="111827"/>
                <w:sz w:val="21"/>
              </w:rPr>
              <w:t>Situação III é inconstitucional:</w:t>
            </w:r>
            <w:r>
              <w:rPr>
                <w:rFonts w:ascii="Arial" w:hAnsi="Arial"/>
                <w:b w:val="0"/>
                <w:i w:val="0"/>
                <w:color w:val="111827"/>
                <w:sz w:val="21"/>
              </w:rPr>
              <w:t xml:space="preserve"> Todos os 11 cargos de Ministro do Supremo Tribunal Federal são privativos de </w:t>
            </w:r>
            <w:r>
              <w:rPr>
                <w:rFonts w:ascii="Arial" w:hAnsi="Arial"/>
                <w:b/>
                <w:i w:val="0"/>
                <w:color w:val="111827"/>
                <w:sz w:val="21"/>
              </w:rPr>
              <w:t>brasileiro nato</w:t>
            </w:r>
            <w:r>
              <w:rPr>
                <w:rFonts w:ascii="Arial" w:hAnsi="Arial"/>
                <w:b w:val="0"/>
                <w:i w:val="0"/>
                <w:color w:val="111827"/>
                <w:sz w:val="21"/>
              </w:rPr>
              <w:t xml:space="preserve"> (art. 12, § 3º, IV). Cláudio, sendo naturalizado, jamais poderá assumir cadeira no STF.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Erra ao incluir a situação III, manifestamente inconstitucional.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idade mínima para Governador é 30 anos, e não 35 anos (35 anos é para Presidente, Vice e Senador).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Deputados Federais podem ser naturalizados; apenas a presidência da Casa legislativa exige nacionalidade originária.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As situações I e II cumprem perfeitamente os ditames constitucionais.</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3 (FCC - Adaptada / Procuradoria Municipal)</w:t>
      </w:r>
    </w:p>
    <w:p>
      <w:pPr>
        <w:spacing w:line="360" w:lineRule="auto" w:before="0" w:after="80"/>
        <w:jc w:val="both"/>
      </w:pPr>
      <w:r>
        <w:rPr>
          <w:rFonts w:ascii="Arial" w:hAnsi="Arial"/>
          <w:b w:val="0"/>
          <w:i w:val="0"/>
          <w:color w:val="111827"/>
          <w:sz w:val="24"/>
        </w:rPr>
        <w:t>Com base na jurisprudência pacificada do Supremo Tribunal Federal e no texto da Constituição Federal de 1988 a respeito dos direitos e garantias individuais, analise as afirmativas a seguir:</w:t>
      </w:r>
    </w:p>
    <w:p>
      <w:pPr>
        <w:spacing w:line="360" w:lineRule="auto" w:before="0" w:after="80"/>
        <w:jc w:val="both"/>
      </w:pPr>
      <w:r>
        <w:rPr>
          <w:rFonts w:ascii="Arial" w:hAnsi="Arial"/>
          <w:b w:val="0"/>
          <w:i w:val="0"/>
          <w:color w:val="111827"/>
          <w:sz w:val="24"/>
        </w:rPr>
        <w:t>I. A dissolução da sociedade conjugal no curso do mandato do Chefe do Poder Executivo cessa imediatamente a inelegibilidade reflexa de seu ex-cônjuge para concorrer a mandato eletivo no mesmo município na eleição seguinte.</w:t>
      </w:r>
    </w:p>
    <w:p>
      <w:pPr>
        <w:spacing w:line="360" w:lineRule="auto" w:before="0" w:after="80"/>
        <w:jc w:val="both"/>
      </w:pPr>
      <w:r>
        <w:rPr>
          <w:rFonts w:ascii="Arial" w:hAnsi="Arial"/>
          <w:b w:val="0"/>
          <w:i w:val="0"/>
          <w:color w:val="111827"/>
          <w:sz w:val="24"/>
        </w:rPr>
        <w:t>II. A casa é asilo inviolável do indivíduo, ninguém nela podendo penetrar sem consentimento do morador, salvo durante o dia, por determinação judicial, ou a qualquer hora do dia ou da noite, em caso de flagrante delito, desastre ou para prestar socorro.</w:t>
      </w:r>
    </w:p>
    <w:p>
      <w:pPr>
        <w:spacing w:line="360" w:lineRule="auto" w:before="0" w:after="80"/>
        <w:jc w:val="both"/>
      </w:pPr>
      <w:r>
        <w:rPr>
          <w:rFonts w:ascii="Arial" w:hAnsi="Arial"/>
          <w:b w:val="0"/>
          <w:i w:val="0"/>
          <w:color w:val="111827"/>
          <w:sz w:val="24"/>
        </w:rPr>
        <w:t>III. A prática do racismo e a ação de grupos armados, civis ou militares, contra a ordem constitucional e o Estado Democrático constituem crimes inafiançáveis e imprescritíveis.</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item I é incorreto nos termos da Súmula Vinculante nº 18 do STF.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p>
          <w:p>
            <w:pPr>
              <w:spacing w:line="288" w:lineRule="auto" w:before="40" w:after="40"/>
            </w:pPr>
            <w:r>
              <w:rPr>
                <w:rFonts w:ascii="Arial" w:hAnsi="Arial"/>
                <w:b w:val="0"/>
                <w:i w:val="0"/>
                <w:color w:val="111827"/>
                <w:sz w:val="21"/>
              </w:rPr>
              <w:t xml:space="preserve">- </w:t>
            </w:r>
            <w:r>
              <w:rPr>
                <w:rFonts w:ascii="Arial" w:hAnsi="Arial"/>
                <w:b w:val="0"/>
                <w:i/>
                <w:color w:val="111827"/>
                <w:sz w:val="21"/>
              </w:rPr>
              <w:t>Item I (Falso):</w:t>
            </w:r>
            <w:r>
              <w:rPr>
                <w:rFonts w:ascii="Arial" w:hAnsi="Arial"/>
                <w:b w:val="0"/>
                <w:i w:val="0"/>
                <w:color w:val="111827"/>
                <w:sz w:val="21"/>
              </w:rPr>
              <w:t xml:space="preserve"> Conforme o teor da </w:t>
            </w:r>
            <w:r>
              <w:rPr>
                <w:rFonts w:ascii="Arial" w:hAnsi="Arial"/>
                <w:b/>
                <w:i w:val="0"/>
                <w:color w:val="111827"/>
                <w:sz w:val="21"/>
              </w:rPr>
              <w:t>Súmula Vinculante nº 18 do STF</w:t>
            </w:r>
            <w:r>
              <w:rPr>
                <w:rFonts w:ascii="Arial" w:hAnsi="Arial"/>
                <w:b w:val="0"/>
                <w:i w:val="0"/>
                <w:color w:val="111827"/>
                <w:sz w:val="21"/>
              </w:rPr>
              <w:t xml:space="preserve">, a dissolução da sociedade ou do vínculo conjugal no curso do mandato eletivo </w:t>
            </w:r>
            <w:r>
              <w:rPr>
                <w:rFonts w:ascii="Arial" w:hAnsi="Arial"/>
                <w:b/>
                <w:i w:val="0"/>
                <w:color w:val="111827"/>
                <w:sz w:val="21"/>
              </w:rPr>
              <w:t>não afasta</w:t>
            </w:r>
            <w:r>
              <w:rPr>
                <w:rFonts w:ascii="Arial" w:hAnsi="Arial"/>
                <w:b w:val="0"/>
                <w:i w:val="0"/>
                <w:color w:val="111827"/>
                <w:sz w:val="21"/>
              </w:rPr>
              <w:t xml:space="preserve"> a inelegibilidade reflexa prevista no art. 14, § 7º, da CF/88.</w:t>
            </w:r>
          </w:p>
          <w:p>
            <w:pPr>
              <w:spacing w:line="288" w:lineRule="auto" w:before="40" w:after="40"/>
            </w:pPr>
            <w:r>
              <w:rPr>
                <w:rFonts w:ascii="Arial" w:hAnsi="Arial"/>
                <w:b w:val="0"/>
                <w:i w:val="0"/>
                <w:color w:val="111827"/>
                <w:sz w:val="21"/>
              </w:rPr>
              <w:t xml:space="preserve">- </w:t>
            </w:r>
            <w:r>
              <w:rPr>
                <w:rFonts w:ascii="Arial" w:hAnsi="Arial"/>
                <w:b w:val="0"/>
                <w:i/>
                <w:color w:val="111827"/>
                <w:sz w:val="21"/>
              </w:rPr>
              <w:t>Item II (Verdadeiro):</w:t>
            </w:r>
            <w:r>
              <w:rPr>
                <w:rFonts w:ascii="Arial" w:hAnsi="Arial"/>
                <w:b w:val="0"/>
                <w:i w:val="0"/>
                <w:color w:val="111827"/>
                <w:sz w:val="21"/>
              </w:rPr>
              <w:t xml:space="preserve"> Reproduz integralmente o art. 5º, XI, da CF/88. A determinação judicial só autoriza o ingresso durante o dia, enquanto as situações de emergência (flagrante delito, desastre ou prestar socorro) legitimam a entrada tanto de dia quanto de noite.</w:t>
            </w:r>
          </w:p>
          <w:p>
            <w:pPr>
              <w:spacing w:line="288" w:lineRule="auto" w:before="40" w:after="40"/>
            </w:pPr>
            <w:r>
              <w:rPr>
                <w:rFonts w:ascii="Arial" w:hAnsi="Arial"/>
                <w:b w:val="0"/>
                <w:i w:val="0"/>
                <w:color w:val="111827"/>
                <w:sz w:val="21"/>
              </w:rPr>
              <w:t xml:space="preserve">- </w:t>
            </w:r>
            <w:r>
              <w:rPr>
                <w:rFonts w:ascii="Arial" w:hAnsi="Arial"/>
                <w:b w:val="0"/>
                <w:i/>
                <w:color w:val="111827"/>
                <w:sz w:val="21"/>
              </w:rPr>
              <w:t>Item III (Verdadeiro):</w:t>
            </w:r>
            <w:r>
              <w:rPr>
                <w:rFonts w:ascii="Arial" w:hAnsi="Arial"/>
                <w:b w:val="0"/>
                <w:i w:val="0"/>
                <w:color w:val="111827"/>
                <w:sz w:val="21"/>
              </w:rPr>
              <w:t xml:space="preserve"> De acordo com o art. 5º, incisos XLII e XLIV, da CF/88, o racismo e a ação de grupos armados são os dois únicos grupos de crimes taxados pela Constituição como concomitantemente </w:t>
            </w:r>
            <w:r>
              <w:rPr>
                <w:rFonts w:ascii="Arial" w:hAnsi="Arial"/>
                <w:b/>
                <w:i w:val="0"/>
                <w:color w:val="111827"/>
                <w:sz w:val="21"/>
              </w:rPr>
              <w:t>inafiançáveis e imprescritíveis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item I é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item I é falso e os itens II e III são verdadeiros.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item I é falso.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Auditor de Controle Externo)</w:t>
      </w:r>
    </w:p>
    <w:p>
      <w:pPr>
        <w:spacing w:line="360" w:lineRule="auto" w:before="0" w:after="80"/>
        <w:jc w:val="both"/>
      </w:pPr>
      <w:r>
        <w:rPr>
          <w:rFonts w:ascii="Arial" w:hAnsi="Arial"/>
          <w:b w:val="0"/>
          <w:i w:val="0"/>
          <w:color w:val="111827"/>
          <w:sz w:val="24"/>
        </w:rPr>
        <w:t>À luz das disposições constitucionais sobre os direitos políticos, a perda e suspensão de tais prerrogativas e a organização partidária,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É permitida a cassação de direitos políticos mediante processo administrativo com contraditório e ampla defesa instaurado pelo Tribunal Superior Eleitoral.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militar alistável que contar com mais de dez anos de serviço será afastado definitivamente da atividade militar no momento do registro de sua candidatura.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condenação criminal transitada em julgado acarreta a suspensão dos direitos políticos do condenado enquanto durarem seus efeitos, mesmo nos casos em que ocorra a concessão de livramento condicional ou sursis.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criação de associação de moradores independe de autorização do Poder Público, mas suas atividades podem ser compulsoriamente dissolvidas por ato motivado do Secretário de Segurança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São condições de elegibilidade para o cargo de Vereador a nacionalidade brasileira, o alistamento eleitoral, o domicílio eleitoral na circunscrição e a idade mínima de vinte e um anos completos.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w:t>
            </w:r>
            <w:r>
              <w:rPr>
                <w:rFonts w:ascii="Arial" w:hAnsi="Arial"/>
                <w:b w:val="0"/>
                <w:i/>
                <w:color w:val="111827"/>
                <w:sz w:val="21"/>
              </w:rPr>
              <w:t>caput</w:t>
            </w:r>
            <w:r>
              <w:rPr>
                <w:rFonts w:ascii="Arial" w:hAnsi="Arial"/>
                <w:b w:val="0"/>
                <w:i w:val="0"/>
                <w:color w:val="111827"/>
                <w:sz w:val="21"/>
              </w:rPr>
              <w:t xml:space="preserve"> do art. 15 da CF/88 determina expressamente: </w:t>
            </w:r>
            <w:r>
              <w:rPr>
                <w:rFonts w:ascii="Arial" w:hAnsi="Arial"/>
                <w:b/>
                <w:i w:val="0"/>
                <w:color w:val="111827"/>
                <w:sz w:val="21"/>
              </w:rPr>
              <w:t>"É vedada a cassação de direitos políticos"</w:t>
            </w:r>
            <w:r>
              <w:rPr>
                <w:rFonts w:ascii="Arial" w:hAnsi="Arial"/>
                <w:b w:val="0"/>
                <w:i w:val="0"/>
                <w:color w:val="111827"/>
                <w:sz w:val="21"/>
              </w:rPr>
              <w:t>. O ordenamento brasileiro não admite a cassação sob nenhuma hipótese.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Conforme o art. 14, § 8º, I e II, da CF/88, o militar com </w:t>
            </w:r>
            <w:r>
              <w:rPr>
                <w:rFonts w:ascii="Arial" w:hAnsi="Arial"/>
                <w:b w:val="0"/>
                <w:i/>
                <w:color w:val="111827"/>
                <w:sz w:val="21"/>
              </w:rPr>
              <w:t>menos de dez anos</w:t>
            </w:r>
            <w:r>
              <w:rPr>
                <w:rFonts w:ascii="Arial" w:hAnsi="Arial"/>
                <w:b w:val="0"/>
                <w:i w:val="0"/>
                <w:color w:val="111827"/>
                <w:sz w:val="21"/>
              </w:rPr>
              <w:t xml:space="preserve"> de serviço deverá afastar-se definitivamente da atividade; já o militar com </w:t>
            </w:r>
            <w:r>
              <w:rPr>
                <w:rFonts w:ascii="Arial" w:hAnsi="Arial"/>
                <w:b w:val="0"/>
                <w:i/>
                <w:color w:val="111827"/>
                <w:sz w:val="21"/>
              </w:rPr>
              <w:t>mais de dez anos</w:t>
            </w:r>
            <w:r>
              <w:rPr>
                <w:rFonts w:ascii="Arial" w:hAnsi="Arial"/>
                <w:b w:val="0"/>
                <w:i w:val="0"/>
                <w:color w:val="111827"/>
                <w:sz w:val="21"/>
              </w:rPr>
              <w:t xml:space="preserve"> de serviço será agregado pela autoridade superior e, se eleito, passará automaticamente, no ato da diplomação, para a inatividade.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art. 15, III, da CF/88 estabelece a suspensão dos direitos políticos em decorrência de condenação criminal transitada em julgado enquanto durarem seus efeitos. Conforme pacificado pelo STF e pelo TSE (Súmula 9/TSE), a suspensão é efeito automático da condenação e persiste durante todo o cumprimento da pena, alcançando inclusive os beneficiados por sursis, livramento condicional ou pena restritiva de direitos.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Conforme o art. 5º, XIX, da CF/88, a dissolução compulsória de associações exige </w:t>
            </w:r>
            <w:r>
              <w:rPr>
                <w:rFonts w:ascii="Arial" w:hAnsi="Arial"/>
                <w:b/>
                <w:i w:val="0"/>
                <w:color w:val="111827"/>
                <w:sz w:val="21"/>
              </w:rPr>
              <w:t>decisão judicial transitada em julgado</w:t>
            </w:r>
            <w:r>
              <w:rPr>
                <w:rFonts w:ascii="Arial" w:hAnsi="Arial"/>
                <w:b w:val="0"/>
                <w:i w:val="0"/>
                <w:color w:val="111827"/>
                <w:sz w:val="21"/>
              </w:rPr>
              <w:t>, sendo terminantemente vedada a dissolução por ato administrativo de autoridade do Poder Executivo.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idade mínima para o cargo de Vereador é de </w:t>
            </w:r>
            <w:r>
              <w:rPr>
                <w:rFonts w:ascii="Arial" w:hAnsi="Arial"/>
                <w:b/>
                <w:i w:val="0"/>
                <w:color w:val="111827"/>
                <w:sz w:val="21"/>
              </w:rPr>
              <w:t>18 anos</w:t>
            </w:r>
            <w:r>
              <w:rPr>
                <w:rFonts w:ascii="Arial" w:hAnsi="Arial"/>
                <w:b w:val="0"/>
                <w:i w:val="0"/>
                <w:color w:val="111827"/>
                <w:sz w:val="21"/>
              </w:rPr>
              <w:t xml:space="preserve"> (art. 14, § 3º, VI, "d"), e não 21 anos.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Analista de Gestão Pública)</w:t>
      </w:r>
    </w:p>
    <w:p>
      <w:pPr>
        <w:spacing w:line="360" w:lineRule="auto" w:before="0" w:after="80"/>
        <w:jc w:val="both"/>
      </w:pPr>
      <w:r>
        <w:rPr>
          <w:rFonts w:ascii="Arial" w:hAnsi="Arial"/>
          <w:b w:val="0"/>
          <w:i w:val="0"/>
          <w:color w:val="111827"/>
          <w:sz w:val="24"/>
        </w:rPr>
        <w:t>Com relação ao regime da nacionalidade instituído pela Constituição Federal de 1988 e suas alterações posteriores, considere que Marcos, brasileiro nato, aos trinta anos de idade, mudou-se para a França e, após cumprir os requisitos legais franceses, requereu e obteve voluntariamente a cidadania francesa, sem que houvesse exigência de permanência no país nem reconhecimento de nacionalidade de origem.</w:t>
      </w:r>
    </w:p>
    <w:p>
      <w:pPr>
        <w:spacing w:line="360" w:lineRule="auto" w:before="0" w:after="80"/>
        <w:jc w:val="both"/>
      </w:pPr>
      <w:r>
        <w:rPr>
          <w:rFonts w:ascii="Arial" w:hAnsi="Arial"/>
          <w:b w:val="0"/>
          <w:i w:val="0"/>
          <w:color w:val="111827"/>
          <w:sz w:val="24"/>
        </w:rPr>
        <w:t>Considerando o texto constitucional vigente com as alterações promovidas pela Emenda Constitucional nº 131/2023, Marcos: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Perdeu automaticamente a nacionalidade brasileira no momento da formalização do deferimento da cidadania francesa.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Poderá perder a nacionalidade brasileira apenas se houver representação formal do Ministério das Relações Exteriores aprovada pelo Congresso Nacional.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Não perde a nacionalidade brasileira pela mera aquisição voluntária da cidadania estrangeira, somente ocorrendo a perda se declarar expressamente por escrito perante autoridade brasileira competente que renuncia à nacionalidade brasileira.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Passará automaticamente à condição de brasileiro naturalizado, perdendo o direito de concorrer a qualquer cargo eletivo no Brasil.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Perderá compulsoriamente a nacionalidade brasileira por sentença do juiz federal competente, por ter adotado fidelidade política a nação estrangeira.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regra da perda automática da nacionalidade pela aquisição voluntária de outra foi expressamente revogada pela Emenda Constitucional nº 131/2023. Atualmente, a aquisição voluntária de outra nacionalidade não afeta a condição de brasileiro nato.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Congresso Nacional e o MRE não possuem atribuição constitucional para decretar a perda de nacionalidade por representação política.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Com a nova redação dada ao art. 12, § 4º, da Constituição pela EC nº 131/2023, o brasileiro só perde a nacionalidade originária se fizer pedido expresso de renúncia perante autoridade brasileira competente, desde que essa renúncia não o transforme em apátrida. A aquisição de nacionalidade estrangeira não gera mais perda automática!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Constituição não prevê "rebaixamento" de brasileiro nato para naturalizado. Marcos continua sendo brasileiro nato com todos os seus direitos políticos e civis resguardados.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cancelamento de nacionalidade por sentença judicial por atividade nociva ao interesse nacional / atentado contra a ordem constitucional aplica-se exclusivamente aos </w:t>
            </w:r>
            <w:r>
              <w:rPr>
                <w:rFonts w:ascii="Arial" w:hAnsi="Arial"/>
                <w:b/>
                <w:i w:val="0"/>
                <w:color w:val="111827"/>
                <w:sz w:val="21"/>
              </w:rPr>
              <w:t>brasileiros naturalizados</w:t>
            </w:r>
            <w:r>
              <w:rPr>
                <w:rFonts w:ascii="Arial" w:hAnsi="Arial"/>
                <w:b w:val="0"/>
                <w:i w:val="0"/>
                <w:color w:val="111827"/>
                <w:sz w:val="21"/>
              </w:rPr>
              <w:t xml:space="preserve"> (art. 12, § 4º, I). O brasileiro nato nunca perde a nacionalidade por sentença judicial.</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03 - Organização do Estado, Repartição de Competências e Servidores Públicos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Direito Constitucional</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03_organizacao_do_estado_e_reparticao_de_competencias.md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Da organização político-administrativa do Estado brasileiro (Artigos 18 e 19 da CF/88): forma federativa, autonomia dos entes e vedações federativas.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Da União, dos Estados Federados, do Distrito Federal e dos Municípios: bens públicos, criação e desmembramento de entes, e competências materiais e legislativas.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Repartição constitucional de competências: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Competências materiais exclusivas da União (Art. 21) e comuns de todos os entes (Art. 23);</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Competências legislativas privativas da União (Art. 22) e concorrentes entre União, Estados e DF (Art. 24);</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Competências remanescentes/residuais dos Estados (Art. 25) e competências de interesse local dos Municípios (Art. 30).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Intervenção Federal e Estadual (Artigos 34 a 36 da CF/88): hipóteses, princípios sensíveis e procedimento.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Regime constitucional da Administração Pública (Artigo 37 da CF/88): princípios fundamentais, concurso público, cargos em comissão e funções de confiança, teto remuneratório e regras de acumulação de cargos.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Servidores públicos civis (Artigos 38 a 41 da CF/88): exercício de mandato eletivo, estágio probatório, estabilidade aos 3 anos, avaliação especial de desempenho e hipóteses constitucionais taxativas de perda do cargo público estável.</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1B365D"/>
          <w:sz w:val="22"/>
        </w:rPr>
        <w:t xml:space="preserve">1. </w:t>
      </w:r>
      <w:r>
        <w:rPr>
          <w:rFonts w:ascii="Arial" w:hAnsi="Arial"/>
          <w:color w:val="2B6CB0"/>
          <w:sz w:val="22"/>
          <w:u w:val="single"/>
        </w:rPr>
        <w:t>Forma Federativa e Organização Político-Administrativa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1.1 </w:t>
      </w:r>
      <w:r>
        <w:rPr>
          <w:rFonts w:ascii="Arial" w:hAnsi="Arial"/>
          <w:color w:val="2B6CB0"/>
          <w:sz w:val="22"/>
          <w:u w:val="single"/>
        </w:rPr>
        <w:t>Características da Federação Brasileira e Autonomia dos Entes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1.2 </w:t>
      </w:r>
      <w:r>
        <w:rPr>
          <w:rFonts w:ascii="Arial" w:hAnsi="Arial"/>
          <w:color w:val="2B6CB0"/>
          <w:sz w:val="22"/>
          <w:u w:val="single"/>
        </w:rPr>
        <w:t>Vedações Constitucionais Federativas (Art. 19)</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1.3 </w:t>
      </w:r>
      <w:r>
        <w:rPr>
          <w:rFonts w:ascii="Arial" w:hAnsi="Arial"/>
          <w:color w:val="2B6CB0"/>
          <w:sz w:val="22"/>
          <w:u w:val="single"/>
        </w:rPr>
        <w:t>Bens Públicos Constitucionais e Criação de Novos Entes</w:t>
      </w:r>
    </w:p>
    <w:p>
      <w:pPr>
        <w:spacing w:line="276" w:lineRule="auto" w:before="20" w:after="40"/>
        <w:ind w:left="425"/>
      </w:pPr>
      <w:r>
        <w:rPr>
          <w:rFonts w:ascii="Arial" w:hAnsi="Arial"/>
          <w:b/>
          <w:color w:val="1B365D"/>
          <w:sz w:val="22"/>
        </w:rPr>
        <w:t xml:space="preserve">2. </w:t>
      </w:r>
      <w:r>
        <w:rPr>
          <w:rFonts w:ascii="Arial" w:hAnsi="Arial"/>
          <w:color w:val="2B6CB0"/>
          <w:sz w:val="22"/>
          <w:u w:val="single"/>
        </w:rPr>
        <w:t>O Modelo Constitucional de Repartição de Competências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2.1 </w:t>
      </w:r>
      <w:r>
        <w:rPr>
          <w:rFonts w:ascii="Arial" w:hAnsi="Arial"/>
          <w:color w:val="2B6CB0"/>
          <w:sz w:val="22"/>
          <w:u w:val="single"/>
        </w:rPr>
        <w:t>Competências Legislativas: Privativa da União versus Concorrente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2.2 </w:t>
      </w:r>
      <w:r>
        <w:rPr>
          <w:rFonts w:ascii="Arial" w:hAnsi="Arial"/>
          <w:color w:val="2B6CB0"/>
          <w:sz w:val="22"/>
          <w:u w:val="single"/>
        </w:rPr>
        <w:t>Competências Administrativas: Exclusivas e Comuns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2.3 </w:t>
      </w:r>
      <w:r>
        <w:rPr>
          <w:rFonts w:ascii="Arial" w:hAnsi="Arial"/>
          <w:color w:val="2B6CB0"/>
          <w:sz w:val="22"/>
          <w:u w:val="single"/>
        </w:rPr>
        <w:t>Competências dos Estados e Municípios</w:t>
      </w:r>
    </w:p>
    <w:p>
      <w:pPr>
        <w:spacing w:line="276" w:lineRule="auto" w:before="20" w:after="40"/>
        <w:ind w:left="425"/>
      </w:pPr>
      <w:r>
        <w:rPr>
          <w:rFonts w:ascii="Arial" w:hAnsi="Arial"/>
          <w:b/>
          <w:color w:val="1B365D"/>
          <w:sz w:val="22"/>
        </w:rPr>
        <w:t xml:space="preserve">3. </w:t>
      </w:r>
      <w:r>
        <w:rPr>
          <w:rFonts w:ascii="Arial" w:hAnsi="Arial"/>
          <w:color w:val="2B6CB0"/>
          <w:sz w:val="22"/>
          <w:u w:val="single"/>
        </w:rPr>
        <w:t>Mecanismos Excepcionais de Equilíbrio: Intervenção Federal e Estadual</w:t>
      </w:r>
    </w:p>
    <w:p>
      <w:pPr>
        <w:spacing w:line="276" w:lineRule="auto" w:before="20" w:after="40"/>
        <w:ind w:left="425"/>
      </w:pPr>
      <w:r>
        <w:rPr>
          <w:rFonts w:ascii="Arial" w:hAnsi="Arial"/>
          <w:b/>
          <w:color w:val="1B365D"/>
          <w:sz w:val="22"/>
        </w:rPr>
        <w:t xml:space="preserve">4. </w:t>
      </w:r>
      <w:r>
        <w:rPr>
          <w:rFonts w:ascii="Arial" w:hAnsi="Arial"/>
          <w:color w:val="2B6CB0"/>
          <w:sz w:val="22"/>
          <w:u w:val="single"/>
        </w:rPr>
        <w:t>Regime Constitucional da Administração Pública e Servidores (Arts. 37 a 41)</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4.1 </w:t>
      </w:r>
      <w:r>
        <w:rPr>
          <w:rFonts w:ascii="Arial" w:hAnsi="Arial"/>
          <w:color w:val="2B6CB0"/>
          <w:sz w:val="22"/>
          <w:u w:val="single"/>
        </w:rPr>
        <w:t>Concurso Público, Funções de Confiança e Cargos em Comissão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4.2 </w:t>
      </w:r>
      <w:r>
        <w:rPr>
          <w:rFonts w:ascii="Arial" w:hAnsi="Arial"/>
          <w:color w:val="2B6CB0"/>
          <w:sz w:val="22"/>
          <w:u w:val="single"/>
        </w:rPr>
        <w:t>Regra Constitucional da Não-Acumulação e Exceções (Art. 37, XVI)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4.3 </w:t>
      </w:r>
      <w:r>
        <w:rPr>
          <w:rFonts w:ascii="Arial" w:hAnsi="Arial"/>
          <w:color w:val="2B6CB0"/>
          <w:sz w:val="22"/>
          <w:u w:val="single"/>
        </w:rPr>
        <w:t>Exercício de Mandato Eletivo pelo Servidor Público (Art. 38)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4.4 </w:t>
      </w:r>
      <w:r>
        <w:rPr>
          <w:rFonts w:ascii="Arial" w:hAnsi="Arial"/>
          <w:color w:val="2B6CB0"/>
          <w:sz w:val="22"/>
          <w:u w:val="single"/>
        </w:rPr>
        <w:t>Estabilidade e Perda do Cargo do Servidor Estável (Art. 41)</w:t>
      </w:r>
    </w:p>
    <w:p>
      <w:pPr>
        <w:spacing w:line="276" w:lineRule="auto" w:before="20" w:after="40"/>
        <w:ind w:left="425"/>
      </w:pPr>
      <w:r>
        <w:rPr>
          <w:rFonts w:ascii="Arial" w:hAnsi="Arial"/>
          <w:b/>
          <w:color w:val="1B365D"/>
          <w:sz w:val="22"/>
        </w:rPr>
        <w:t xml:space="preserve">5. </w:t>
      </w:r>
      <w:r>
        <w:rPr>
          <w:rFonts w:ascii="Arial" w:hAnsi="Arial"/>
          <w:color w:val="2B6CB0"/>
          <w:sz w:val="22"/>
          <w:u w:val="single"/>
        </w:rPr>
        <w:t>Fontes Oficiais &amp; Doutrinárias Recomendadas</w:t>
      </w:r>
    </w:p>
    <w:p>
      <w:pPr>
        <w:spacing w:line="276" w:lineRule="auto" w:before="20" w:after="40"/>
        <w:ind w:left="425"/>
      </w:pPr>
      <w:r>
        <w:rPr>
          <w:rFonts w:ascii="Arial" w:hAnsi="Arial"/>
          <w:b/>
          <w:color w:val="1B365D"/>
          <w:sz w:val="22"/>
        </w:rPr>
        <w:t xml:space="preserve">6. </w:t>
      </w:r>
      <w:r>
        <w:rPr>
          <w:rFonts w:ascii="Arial" w:hAnsi="Arial"/>
          <w:color w:val="2B6CB0"/>
          <w:sz w:val="22"/>
          <w:u w:val="single"/>
        </w:rPr>
        <w:t>Questões Comentadas no Padrão FCC (Justificadas de A a E)</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Forma Federativa e Organização Político-Administrativa</w:t>
      </w:r>
    </w:p>
    <w:p>
      <w:pPr>
        <w:keepNext/>
        <w:spacing w:before="120" w:after="40"/>
      </w:pPr>
      <w:r>
        <w:rPr>
          <w:rFonts w:ascii="Arial" w:hAnsi="Arial"/>
          <w:b/>
          <w:i/>
          <w:color w:val="334155"/>
          <w:sz w:val="22"/>
        </w:rPr>
        <w:t>1.1 Características da Federação Brasileira e Autonomia dos Entes</w:t>
      </w:r>
    </w:p>
    <w:p>
      <w:pPr>
        <w:spacing w:line="360" w:lineRule="auto" w:before="0" w:after="80"/>
        <w:jc w:val="both"/>
      </w:pPr>
      <w:r>
        <w:rPr>
          <w:rFonts w:ascii="Arial" w:hAnsi="Arial"/>
          <w:b w:val="0"/>
          <w:i w:val="0"/>
          <w:color w:val="111827"/>
          <w:sz w:val="24"/>
        </w:rPr>
        <w:t xml:space="preserve">A República Federativa do Brasil é formada pela união indissolúvel dos Estados e Municípios e do Distrito Federal (Art. 18, </w:t>
      </w:r>
      <w:r>
        <w:rPr>
          <w:rFonts w:ascii="Arial" w:hAnsi="Arial"/>
          <w:b w:val="0"/>
          <w:i/>
          <w:color w:val="111827"/>
          <w:sz w:val="24"/>
        </w:rPr>
        <w:t>caput</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Origem Histórica:</w:t>
      </w:r>
      <w:r>
        <w:rPr>
          <w:rFonts w:ascii="Arial" w:hAnsi="Arial"/>
          <w:b w:val="0"/>
          <w:i w:val="0"/>
          <w:color w:val="111827"/>
          <w:sz w:val="22"/>
        </w:rPr>
        <w:t xml:space="preserve"> Formou-se por </w:t>
      </w:r>
      <w:r>
        <w:rPr>
          <w:rFonts w:ascii="Arial" w:hAnsi="Arial"/>
          <w:b/>
          <w:i w:val="0"/>
          <w:color w:val="111827"/>
          <w:sz w:val="22"/>
        </w:rPr>
        <w:t>desagregação</w:t>
      </w:r>
      <w:r>
        <w:rPr>
          <w:rFonts w:ascii="Arial" w:hAnsi="Arial"/>
          <w:b w:val="0"/>
          <w:i w:val="0"/>
          <w:color w:val="111827"/>
          <w:sz w:val="22"/>
        </w:rPr>
        <w:t xml:space="preserve"> (ou segregação), decorrente de um movimento </w:t>
      </w:r>
      <w:r>
        <w:rPr>
          <w:rFonts w:ascii="Arial" w:hAnsi="Arial"/>
          <w:b/>
          <w:i w:val="0"/>
          <w:color w:val="111827"/>
          <w:sz w:val="22"/>
        </w:rPr>
        <w:t>centrífugo</w:t>
      </w:r>
      <w:r>
        <w:rPr>
          <w:rFonts w:ascii="Arial" w:hAnsi="Arial"/>
          <w:b w:val="0"/>
          <w:i w:val="0"/>
          <w:color w:val="111827"/>
          <w:sz w:val="22"/>
        </w:rPr>
        <w:t xml:space="preserve"> (o Estado unitário imperial descentralizou poderes políticos para as províncias que se transformaram em Estados-membros).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Indissolubilidade do Vínculo Federativo:</w:t>
      </w:r>
      <w:r>
        <w:rPr>
          <w:rFonts w:ascii="Arial" w:hAnsi="Arial"/>
          <w:b w:val="0"/>
          <w:i w:val="0"/>
          <w:color w:val="111827"/>
          <w:sz w:val="22"/>
        </w:rPr>
        <w:t xml:space="preserve"> Não existe o direito de secessão (nenhum Estado ou Município pode se separar do Brasil). A tentativa de desmembramento justifica a intervenção federal imediata (art. 34, I) e constitui crime inafiançável e imprescritível (art. 5º, XLIV).</w:t>
      </w:r>
    </w:p>
    <w:p>
      <w:pPr>
        <w:spacing w:line="276" w:lineRule="auto" w:before="20" w:after="40"/>
        <w:ind w:left="425"/>
      </w:pPr>
      <w:r>
        <w:rPr>
          <w:rFonts w:ascii="Arial" w:hAnsi="Arial"/>
          <w:b/>
          <w:color w:val="2B6CB0"/>
          <w:sz w:val="22"/>
        </w:rPr>
        <w:t xml:space="preserve">• </w:t>
      </w:r>
      <w:r>
        <w:rPr>
          <w:rFonts w:ascii="Arial" w:hAnsi="Arial"/>
          <w:b/>
          <w:i w:val="0"/>
          <w:color w:val="111827"/>
          <w:sz w:val="22"/>
        </w:rPr>
        <w:t>Soberania vs. Autonomia: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w:t>
      </w:r>
      <w:r>
        <w:rPr>
          <w:rFonts w:ascii="Arial" w:hAnsi="Arial"/>
          <w:b/>
          <w:i w:val="0"/>
          <w:color w:val="111827"/>
          <w:sz w:val="22"/>
        </w:rPr>
        <w:t>Soberania</w:t>
      </w:r>
      <w:r>
        <w:rPr>
          <w:rFonts w:ascii="Arial" w:hAnsi="Arial"/>
          <w:b w:val="0"/>
          <w:i w:val="0"/>
          <w:color w:val="111827"/>
          <w:sz w:val="22"/>
        </w:rPr>
        <w:t xml:space="preserve"> é atributo exclusivo da </w:t>
      </w:r>
      <w:r>
        <w:rPr>
          <w:rFonts w:ascii="Arial" w:hAnsi="Arial"/>
          <w:b/>
          <w:i w:val="0"/>
          <w:color w:val="111827"/>
          <w:sz w:val="22"/>
        </w:rPr>
        <w:t>República Federativa do Brasil</w:t>
      </w:r>
      <w:r>
        <w:rPr>
          <w:rFonts w:ascii="Arial" w:hAnsi="Arial"/>
          <w:b w:val="0"/>
          <w:i w:val="0"/>
          <w:color w:val="111827"/>
          <w:sz w:val="22"/>
        </w:rPr>
        <w:t xml:space="preserve"> no plano internacional.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w:t>
      </w:r>
      <w:r>
        <w:rPr>
          <w:rFonts w:ascii="Arial" w:hAnsi="Arial"/>
          <w:b/>
          <w:i w:val="0"/>
          <w:color w:val="111827"/>
          <w:sz w:val="22"/>
        </w:rPr>
        <w:t>Autonomia</w:t>
      </w:r>
      <w:r>
        <w:rPr>
          <w:rFonts w:ascii="Arial" w:hAnsi="Arial"/>
          <w:b w:val="0"/>
          <w:i w:val="0"/>
          <w:color w:val="111827"/>
          <w:sz w:val="22"/>
        </w:rPr>
        <w:t xml:space="preserve"> é outorgada aos entes federados (União, Estados, DF e Municípios), manifestando-se pela tríplice capacidade de auto-organização (Constituições e Leis Orgânicas), autogoverno (eleição de chefes dos poderes) e autoadministração (gestão e tributação próprias).</w:t>
      </w:r>
    </w:p>
    <w:p>
      <w:pPr>
        <w:spacing w:after="120"/>
      </w:pPr>
    </w:p>
    <w:p>
      <w:pPr>
        <w:keepNext/>
        <w:spacing w:before="120" w:after="40"/>
      </w:pPr>
      <w:r>
        <w:rPr>
          <w:rFonts w:ascii="Arial" w:hAnsi="Arial"/>
          <w:b/>
          <w:i/>
          <w:color w:val="334155"/>
          <w:sz w:val="22"/>
        </w:rPr>
        <w:t>1.2 Vedações Constitucionais Federativas (Art. 19)</w:t>
      </w:r>
    </w:p>
    <w:p>
      <w:pPr>
        <w:spacing w:line="360" w:lineRule="auto" w:before="0" w:after="80"/>
        <w:jc w:val="both"/>
      </w:pPr>
      <w:r>
        <w:rPr>
          <w:rFonts w:ascii="Arial" w:hAnsi="Arial"/>
          <w:b w:val="0"/>
          <w:i w:val="0"/>
          <w:color w:val="111827"/>
          <w:sz w:val="24"/>
        </w:rPr>
        <w:t>O art. 19 da Carta da República veda à União, aos Estados, ao Distrito Federal e aos Municípios: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Estabelecer cultos religiosos ou igrejas, subvencioná-los, embaraçar-lhes o funcionamento ou manter com eles ou seus representantes relações de dependência ou aliança</w:t>
      </w:r>
      <w:r>
        <w:rPr>
          <w:rFonts w:ascii="Arial" w:hAnsi="Arial"/>
          <w:b w:val="0"/>
          <w:i w:val="0"/>
          <w:color w:val="111827"/>
          <w:sz w:val="22"/>
        </w:rPr>
        <w:t xml:space="preserve">, ressalvada, na forma da lei, a colaboração de interesse público </w:t>
      </w:r>
      <w:r>
        <w:rPr>
          <w:rFonts w:ascii="Arial" w:hAnsi="Arial"/>
          <w:b w:val="0"/>
          <w:i/>
          <w:color w:val="111827"/>
          <w:sz w:val="22"/>
        </w:rPr>
        <w:t>(Princípio da Laicidade Estatal)</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Recusar fé aos documentos públicos</w:t>
      </w:r>
      <w:r>
        <w:rPr>
          <w:rFonts w:ascii="Arial" w:hAnsi="Arial"/>
          <w:b w:val="0"/>
          <w:i w:val="0"/>
          <w:color w:val="111827"/>
          <w:sz w:val="22"/>
        </w:rPr>
        <w:t xml:space="preserve"> </w:t>
      </w:r>
      <w:r>
        <w:rPr>
          <w:rFonts w:ascii="Arial" w:hAnsi="Arial"/>
          <w:b w:val="0"/>
          <w:i/>
          <w:color w:val="111827"/>
          <w:sz w:val="22"/>
        </w:rPr>
        <w:t>(Eficácia probatória nacional dos documentos emitidos por órgãos oficiais)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Criar distinções entre brasileiros ou preferências entre si</w:t>
      </w:r>
      <w:r>
        <w:rPr>
          <w:rFonts w:ascii="Arial" w:hAnsi="Arial"/>
          <w:b w:val="0"/>
          <w:i w:val="0"/>
          <w:color w:val="111827"/>
          <w:sz w:val="22"/>
        </w:rPr>
        <w:t xml:space="preserve"> </w:t>
      </w:r>
      <w:r>
        <w:rPr>
          <w:rFonts w:ascii="Arial" w:hAnsi="Arial"/>
          <w:b w:val="0"/>
          <w:i/>
          <w:color w:val="111827"/>
          <w:sz w:val="22"/>
        </w:rPr>
        <w:t>(Proibição de discriminação tributária, previdenciária ou funcional com base na origem regional)</w:t>
      </w:r>
      <w:r>
        <w:rPr>
          <w:rFonts w:ascii="Arial" w:hAnsi="Arial"/>
          <w:b w:val="0"/>
          <w:i w:val="0"/>
          <w:color w:val="111827"/>
          <w:sz w:val="22"/>
        </w:rPr>
        <w:t>.</w:t>
      </w:r>
    </w:p>
    <w:p>
      <w:pPr>
        <w:keepNext/>
        <w:spacing w:before="120" w:after="40"/>
      </w:pPr>
      <w:r>
        <w:rPr>
          <w:rFonts w:ascii="Arial" w:hAnsi="Arial"/>
          <w:b/>
          <w:i/>
          <w:color w:val="334155"/>
          <w:sz w:val="22"/>
        </w:rPr>
        <w:t>1.3 Bens Públicos Constitucionais e Criação de Novos 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Bens da União (Art. 20):</w:t>
      </w:r>
      <w:r>
        <w:rPr>
          <w:rFonts w:ascii="Arial" w:hAnsi="Arial"/>
          <w:b w:val="0"/>
          <w:i w:val="0"/>
          <w:color w:val="111827"/>
          <w:sz w:val="22"/>
        </w:rPr>
        <w:t xml:space="preserve"> Terras devolutas indispensáveis à defesa das fronteiras, recursos minerais (inclusive do subsolo), potenciais de energia hidráulica, mar territorial, terrenos de marinha e terras tradicionalmente ocupadas pelos índios.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Bens dos Estados (Art. 26):</w:t>
      </w:r>
      <w:r>
        <w:rPr>
          <w:rFonts w:ascii="Arial" w:hAnsi="Arial"/>
          <w:b w:val="0"/>
          <w:i w:val="0"/>
          <w:color w:val="111827"/>
          <w:sz w:val="22"/>
        </w:rPr>
        <w:t xml:space="preserve"> Águas superficiais ou subterrâneas fluentes nos seus territórios, ilhas fluviais e lacustres não pertencentes à União e terras devolutas não compreendidas entre as da União.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Criação de Estados (Art. 18, § 3º):</w:t>
      </w:r>
      <w:r>
        <w:rPr>
          <w:rFonts w:ascii="Arial" w:hAnsi="Arial"/>
          <w:b w:val="0"/>
          <w:i w:val="0"/>
          <w:color w:val="111827"/>
          <w:sz w:val="22"/>
        </w:rPr>
        <w:t xml:space="preserve"> Exige aprovação da população diretamente interessada por meio de </w:t>
      </w:r>
      <w:r>
        <w:rPr>
          <w:rFonts w:ascii="Arial" w:hAnsi="Arial"/>
          <w:b/>
          <w:i w:val="0"/>
          <w:color w:val="111827"/>
          <w:sz w:val="22"/>
        </w:rPr>
        <w:t>plebiscito</w:t>
      </w:r>
      <w:r>
        <w:rPr>
          <w:rFonts w:ascii="Arial" w:hAnsi="Arial"/>
          <w:b w:val="0"/>
          <w:i w:val="0"/>
          <w:color w:val="111827"/>
          <w:sz w:val="22"/>
        </w:rPr>
        <w:t xml:space="preserve"> e edição de </w:t>
      </w:r>
      <w:r>
        <w:rPr>
          <w:rFonts w:ascii="Arial" w:hAnsi="Arial"/>
          <w:b/>
          <w:i w:val="0"/>
          <w:color w:val="111827"/>
          <w:sz w:val="22"/>
        </w:rPr>
        <w:t>Lei Complementar Federal</w:t>
      </w:r>
      <w:r>
        <w:rPr>
          <w:rFonts w:ascii="Arial" w:hAnsi="Arial"/>
          <w:b w:val="0"/>
          <w:i w:val="0"/>
          <w:color w:val="111827"/>
          <w:sz w:val="22"/>
        </w:rPr>
        <w:t xml:space="preserve"> pelo Congresso Nacional.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Criação de Municípios (Art. 18, § 4º):</w:t>
      </w:r>
      <w:r>
        <w:rPr>
          <w:rFonts w:ascii="Arial" w:hAnsi="Arial"/>
          <w:b w:val="0"/>
          <w:i w:val="0"/>
          <w:color w:val="111827"/>
          <w:sz w:val="22"/>
        </w:rPr>
        <w:t xml:space="preserve"> Depende de </w:t>
      </w:r>
      <w:r>
        <w:rPr>
          <w:rFonts w:ascii="Arial" w:hAnsi="Arial"/>
          <w:b/>
          <w:i w:val="0"/>
          <w:color w:val="111827"/>
          <w:sz w:val="22"/>
        </w:rPr>
        <w:t>Lei Complementar Federal</w:t>
      </w:r>
      <w:r>
        <w:rPr>
          <w:rFonts w:ascii="Arial" w:hAnsi="Arial"/>
          <w:b w:val="0"/>
          <w:i w:val="0"/>
          <w:color w:val="111827"/>
          <w:sz w:val="22"/>
        </w:rPr>
        <w:t xml:space="preserve"> (definindo o período temporal), divulgação prévia dos Estudos de Viabilidade Municipal, consulta prévia por </w:t>
      </w:r>
      <w:r>
        <w:rPr>
          <w:rFonts w:ascii="Arial" w:hAnsi="Arial"/>
          <w:b/>
          <w:i w:val="0"/>
          <w:color w:val="111827"/>
          <w:sz w:val="22"/>
        </w:rPr>
        <w:t>plebiscito</w:t>
      </w:r>
      <w:r>
        <w:rPr>
          <w:rFonts w:ascii="Arial" w:hAnsi="Arial"/>
          <w:b w:val="0"/>
          <w:i w:val="0"/>
          <w:color w:val="111827"/>
          <w:sz w:val="22"/>
        </w:rPr>
        <w:t xml:space="preserve"> às populações dos municípios envolvidos e promulgação de </w:t>
      </w:r>
      <w:r>
        <w:rPr>
          <w:rFonts w:ascii="Arial" w:hAnsi="Arial"/>
          <w:b/>
          <w:i w:val="0"/>
          <w:color w:val="111827"/>
          <w:sz w:val="22"/>
        </w:rPr>
        <w:t>Lei Ordinária Estadual</w:t>
      </w:r>
      <w:r>
        <w:rPr>
          <w:rFonts w:ascii="Arial" w:hAnsi="Arial"/>
          <w:b w:val="0"/>
          <w:i w:val="0"/>
          <w:color w:val="111827"/>
          <w:sz w:val="22"/>
        </w:rPr>
        <w:t>.</w:t>
      </w:r>
    </w:p>
    <w:p>
      <w:pPr>
        <w:keepNext/>
        <w:spacing w:before="200" w:after="80"/>
      </w:pPr>
      <w:r>
        <w:rPr>
          <w:rFonts w:ascii="Arial" w:hAnsi="Arial"/>
          <w:b/>
          <w:i w:val="0"/>
          <w:color w:val="2B6CB0"/>
          <w:sz w:val="24"/>
        </w:rPr>
        <w:t>2. O Modelo Constitucional de Repartição de Competências</w:t>
      </w:r>
    </w:p>
    <w:p>
      <w:pPr>
        <w:spacing w:line="360" w:lineRule="auto" w:before="0" w:after="80"/>
        <w:jc w:val="both"/>
      </w:pPr>
      <w:r>
        <w:rPr>
          <w:rFonts w:ascii="Arial" w:hAnsi="Arial"/>
          <w:b w:val="0"/>
          <w:i w:val="0"/>
          <w:color w:val="111827"/>
          <w:sz w:val="24"/>
        </w:rPr>
        <w:t xml:space="preserve">A Constituição Federal de 1988 adotou o </w:t>
      </w:r>
      <w:r>
        <w:rPr>
          <w:rFonts w:ascii="Arial" w:hAnsi="Arial"/>
          <w:b/>
          <w:i w:val="0"/>
          <w:color w:val="111827"/>
          <w:sz w:val="24"/>
        </w:rPr>
        <w:t>princípio da predominância do interesse</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União:</w:t>
      </w:r>
      <w:r>
        <w:rPr>
          <w:rFonts w:ascii="Arial" w:hAnsi="Arial"/>
          <w:b w:val="0"/>
          <w:i w:val="0"/>
          <w:color w:val="111827"/>
          <w:sz w:val="22"/>
        </w:rPr>
        <w:t xml:space="preserve"> Matérias de interesse nacional e geral.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Estados:</w:t>
      </w:r>
      <w:r>
        <w:rPr>
          <w:rFonts w:ascii="Arial" w:hAnsi="Arial"/>
          <w:b w:val="0"/>
          <w:i w:val="0"/>
          <w:color w:val="111827"/>
          <w:sz w:val="22"/>
        </w:rPr>
        <w:t xml:space="preserve"> Matérias de interesse regional.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Municípios:</w:t>
      </w:r>
      <w:r>
        <w:rPr>
          <w:rFonts w:ascii="Arial" w:hAnsi="Arial"/>
          <w:b w:val="0"/>
          <w:i w:val="0"/>
          <w:color w:val="111827"/>
          <w:sz w:val="22"/>
        </w:rPr>
        <w:t xml:space="preserve"> Matérias de predominante interesse local.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Distrito Federal:</w:t>
      </w:r>
      <w:r>
        <w:rPr>
          <w:rFonts w:ascii="Arial" w:hAnsi="Arial"/>
          <w:b w:val="0"/>
          <w:i w:val="0"/>
          <w:color w:val="111827"/>
          <w:sz w:val="22"/>
        </w:rPr>
        <w:t xml:space="preserve"> Acumula competências legislativas e materiais atribuídas aos Estados e aos Municípios (vedada sua divisão em Municípios - art. 32).</w:t>
      </w:r>
    </w:p>
    <w:p>
      <w:pPr>
        <w:spacing w:after="120"/>
      </w:pPr>
    </w:p>
    <w:p>
      <w:pPr>
        <w:keepNext/>
        <w:spacing w:before="120" w:after="40"/>
      </w:pPr>
      <w:r>
        <w:rPr>
          <w:rFonts w:ascii="Arial" w:hAnsi="Arial"/>
          <w:b/>
          <w:i/>
          <w:color w:val="334155"/>
          <w:sz w:val="22"/>
        </w:rPr>
        <w:t>2.1 Competências Legislativas: Privativa da União versus Concorrente</w:t>
      </w:r>
    </w:p>
    <w:p>
      <w:pPr>
        <w:spacing w:line="360" w:lineRule="auto" w:before="0" w:after="80"/>
        <w:jc w:val="both"/>
      </w:pPr>
      <w:r>
        <w:rPr>
          <w:rFonts w:ascii="Arial" w:hAnsi="Arial"/>
          <w:b w:val="0"/>
          <w:i w:val="0"/>
          <w:color w:val="111827"/>
          <w:sz w:val="24"/>
        </w:rPr>
        <w:t>Esta é a distinção mais exigida pela banca FCC. Analise as características de cada modalidade:</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Modalidade Legislativa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Entes Competentes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Ramos do Direito Abrangidos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Regra de Delegação / Suplementação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Privativa da União (Art. 22)</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Apenas a União</w:t>
            </w:r>
            <w:r>
              <w:rPr>
                <w:rFonts w:ascii="Arial" w:hAnsi="Arial"/>
                <w:b w:val="0"/>
                <w:i w:val="0"/>
                <w:color w:val="111827"/>
                <w:sz w:val="19"/>
              </w:rPr>
              <w:t xml:space="preserve"> (Congresso Nacional)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Civil, Comercial, Penal, Processual, Eleitoral, Agrário, Marítimo, Aeronáutico, Espacial e do Trabalho; além de Trânsito/Transporte, Diretrizes da Educação e Normas Gerais de Licitação.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Lei Complementar Federal</w:t>
            </w:r>
            <w:r>
              <w:rPr>
                <w:rFonts w:ascii="Arial" w:hAnsi="Arial"/>
                <w:b w:val="0"/>
                <w:i w:val="0"/>
                <w:color w:val="111827"/>
                <w:sz w:val="19"/>
              </w:rPr>
              <w:t xml:space="preserve"> pode autorizar os Estados a legislar sobre questões específicas dessas matérias (Art. 22, parágrafo único).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Concorrente (Art. 24)</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União, Estados e Distrito Federal</w:t>
            </w:r>
            <w:r>
              <w:rPr>
                <w:rFonts w:ascii="Arial" w:hAnsi="Arial"/>
                <w:b w:val="0"/>
                <w:i w:val="0"/>
                <w:color w:val="111827"/>
                <w:sz w:val="19"/>
              </w:rPr>
              <w:t xml:space="preserve"> </w:t>
            </w:r>
            <w:r>
              <w:rPr>
                <w:rFonts w:ascii="Arial" w:hAnsi="Arial"/>
                <w:b w:val="0"/>
                <w:i/>
                <w:color w:val="111827"/>
                <w:sz w:val="19"/>
              </w:rPr>
              <w:t>(Municípios NÃO participam formalmente do art. 24)</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Direito </w:t>
            </w:r>
            <w:r>
              <w:rPr>
                <w:rFonts w:ascii="Arial" w:hAnsi="Arial"/>
                <w:b/>
                <w:i w:val="0"/>
                <w:color w:val="111827"/>
                <w:sz w:val="19"/>
              </w:rPr>
              <w:t>P</w:t>
            </w:r>
            <w:r>
              <w:rPr>
                <w:rFonts w:ascii="Arial" w:hAnsi="Arial"/>
                <w:b w:val="0"/>
                <w:i w:val="0"/>
                <w:color w:val="111827"/>
                <w:sz w:val="19"/>
              </w:rPr>
              <w:t xml:space="preserve">enitenciário, </w:t>
            </w:r>
            <w:r>
              <w:rPr>
                <w:rFonts w:ascii="Arial" w:hAnsi="Arial"/>
                <w:b/>
                <w:i w:val="0"/>
                <w:color w:val="111827"/>
                <w:sz w:val="19"/>
              </w:rPr>
              <w:t>U</w:t>
            </w:r>
            <w:r>
              <w:rPr>
                <w:rFonts w:ascii="Arial" w:hAnsi="Arial"/>
                <w:b w:val="0"/>
                <w:i w:val="0"/>
                <w:color w:val="111827"/>
                <w:sz w:val="19"/>
              </w:rPr>
              <w:t xml:space="preserve">rbanístico, </w:t>
            </w:r>
            <w:r>
              <w:rPr>
                <w:rFonts w:ascii="Arial" w:hAnsi="Arial"/>
                <w:b/>
                <w:i w:val="0"/>
                <w:color w:val="111827"/>
                <w:sz w:val="19"/>
              </w:rPr>
              <w:t>F</w:t>
            </w:r>
            <w:r>
              <w:rPr>
                <w:rFonts w:ascii="Arial" w:hAnsi="Arial"/>
                <w:b w:val="0"/>
                <w:i w:val="0"/>
                <w:color w:val="111827"/>
                <w:sz w:val="19"/>
              </w:rPr>
              <w:t xml:space="preserve">inanceiro, </w:t>
            </w:r>
            <w:r>
              <w:rPr>
                <w:rFonts w:ascii="Arial" w:hAnsi="Arial"/>
                <w:b/>
                <w:i w:val="0"/>
                <w:color w:val="111827"/>
                <w:sz w:val="19"/>
              </w:rPr>
              <w:t>E</w:t>
            </w:r>
            <w:r>
              <w:rPr>
                <w:rFonts w:ascii="Arial" w:hAnsi="Arial"/>
                <w:b w:val="0"/>
                <w:i w:val="0"/>
                <w:color w:val="111827"/>
                <w:sz w:val="19"/>
              </w:rPr>
              <w:t xml:space="preserve">conômico e </w:t>
            </w:r>
            <w:r>
              <w:rPr>
                <w:rFonts w:ascii="Arial" w:hAnsi="Arial"/>
                <w:b/>
                <w:i w:val="0"/>
                <w:color w:val="111827"/>
                <w:sz w:val="19"/>
              </w:rPr>
              <w:t>T</w:t>
            </w:r>
            <w:r>
              <w:rPr>
                <w:rFonts w:ascii="Arial" w:hAnsi="Arial"/>
                <w:b w:val="0"/>
                <w:i w:val="0"/>
                <w:color w:val="111827"/>
                <w:sz w:val="19"/>
              </w:rPr>
              <w:t>ributário (</w:t>
            </w:r>
            <w:r>
              <w:rPr>
                <w:rFonts w:ascii="Arial" w:hAnsi="Arial"/>
                <w:b/>
                <w:i w:val="0"/>
                <w:color w:val="111827"/>
                <w:sz w:val="19"/>
              </w:rPr>
              <w:t>Mnemônico: PUFET</w:t>
            </w:r>
            <w:r>
              <w:rPr>
                <w:rFonts w:ascii="Arial" w:hAnsi="Arial"/>
                <w:b w:val="0"/>
                <w:i w:val="0"/>
                <w:color w:val="111827"/>
                <w:sz w:val="19"/>
              </w:rPr>
              <w:t>), além de Orçamento, Meio Ambiente, Florestas e Proteção ao Consumidor.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União:</w:t>
            </w:r>
            <w:r>
              <w:rPr>
                <w:rFonts w:ascii="Arial" w:hAnsi="Arial"/>
                <w:b w:val="0"/>
                <w:i w:val="0"/>
                <w:color w:val="111827"/>
                <w:sz w:val="19"/>
              </w:rPr>
              <w:t xml:space="preserve"> limita-se a fixar </w:t>
            </w:r>
            <w:r>
              <w:rPr>
                <w:rFonts w:ascii="Arial" w:hAnsi="Arial"/>
                <w:b/>
                <w:i w:val="0"/>
                <w:color w:val="111827"/>
                <w:sz w:val="19"/>
              </w:rPr>
              <w:t>Normas Gerais</w:t>
            </w:r>
            <w:r>
              <w:rPr>
                <w:rFonts w:ascii="Arial" w:hAnsi="Arial"/>
                <w:b w:val="0"/>
                <w:i w:val="0"/>
                <w:color w:val="111827"/>
                <w:sz w:val="19"/>
              </w:rPr>
              <w:t>.&lt;br/&gt;</w:t>
            </w:r>
            <w:r>
              <w:rPr>
                <w:rFonts w:ascii="Arial" w:hAnsi="Arial"/>
                <w:b/>
                <w:i w:val="0"/>
                <w:color w:val="111827"/>
                <w:sz w:val="19"/>
              </w:rPr>
              <w:t>Estados/DF:</w:t>
            </w:r>
            <w:r>
              <w:rPr>
                <w:rFonts w:ascii="Arial" w:hAnsi="Arial"/>
                <w:b w:val="0"/>
                <w:i w:val="0"/>
                <w:color w:val="111827"/>
                <w:sz w:val="19"/>
              </w:rPr>
              <w:t xml:space="preserve"> exercem competência </w:t>
            </w:r>
            <w:r>
              <w:rPr>
                <w:rFonts w:ascii="Arial" w:hAnsi="Arial"/>
                <w:b/>
                <w:i w:val="0"/>
                <w:color w:val="111827"/>
                <w:sz w:val="19"/>
              </w:rPr>
              <w:t>Suplementar</w:t>
            </w:r>
            <w:r>
              <w:rPr>
                <w:rFonts w:ascii="Arial" w:hAnsi="Arial"/>
                <w:b w:val="0"/>
                <w:i w:val="0"/>
                <w:color w:val="111827"/>
                <w:sz w:val="19"/>
              </w:rPr>
              <w:t>.&lt;br/&gt;Se a União não editar norma geral, o Estado adquire competência plena.</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Direito Processual vs. Direito Penitenciário / Custas Forenses:</w:t>
            </w:r>
          </w:p>
          <w:p>
            <w:pPr>
              <w:spacing w:line="288" w:lineRule="auto" w:before="40" w:after="40"/>
            </w:pPr>
            <w:r>
              <w:rPr>
                <w:rFonts w:ascii="Arial" w:hAnsi="Arial"/>
                <w:b w:val="0"/>
                <w:i w:val="0"/>
                <w:color w:val="111827"/>
                <w:sz w:val="21"/>
              </w:rPr>
              <w:t xml:space="preserve">- Direito </w:t>
            </w:r>
            <w:r>
              <w:rPr>
                <w:rFonts w:ascii="Arial" w:hAnsi="Arial"/>
                <w:b/>
                <w:i w:val="0"/>
                <w:color w:val="111827"/>
                <w:sz w:val="21"/>
              </w:rPr>
              <w:t>Processual</w:t>
            </w:r>
            <w:r>
              <w:rPr>
                <w:rFonts w:ascii="Arial" w:hAnsi="Arial"/>
                <w:b w:val="0"/>
                <w:i w:val="0"/>
                <w:color w:val="111827"/>
                <w:sz w:val="21"/>
              </w:rPr>
              <w:t xml:space="preserve"> é competência </w:t>
            </w:r>
            <w:r>
              <w:rPr>
                <w:rFonts w:ascii="Arial" w:hAnsi="Arial"/>
                <w:b/>
                <w:i w:val="0"/>
                <w:color w:val="111827"/>
                <w:sz w:val="21"/>
              </w:rPr>
              <w:t>privativa da União</w:t>
            </w:r>
            <w:r>
              <w:rPr>
                <w:rFonts w:ascii="Arial" w:hAnsi="Arial"/>
                <w:b w:val="0"/>
                <w:i w:val="0"/>
                <w:color w:val="111827"/>
                <w:sz w:val="21"/>
              </w:rPr>
              <w:t xml:space="preserve"> (Art. 22, I). Leis estaduais que criem prazos ou ritos processuais judiciais são formalmente inconstitucionais!</w:t>
            </w:r>
          </w:p>
          <w:p>
            <w:pPr>
              <w:spacing w:line="288" w:lineRule="auto" w:before="40" w:after="40"/>
            </w:pPr>
            <w:r>
              <w:rPr>
                <w:rFonts w:ascii="Arial" w:hAnsi="Arial"/>
                <w:b w:val="0"/>
                <w:i w:val="0"/>
                <w:color w:val="111827"/>
                <w:sz w:val="21"/>
              </w:rPr>
              <w:t xml:space="preserve">- Direito </w:t>
            </w:r>
            <w:r>
              <w:rPr>
                <w:rFonts w:ascii="Arial" w:hAnsi="Arial"/>
                <w:b/>
                <w:i w:val="0"/>
                <w:color w:val="111827"/>
                <w:sz w:val="21"/>
              </w:rPr>
              <w:t>Penitenciário</w:t>
            </w:r>
            <w:r>
              <w:rPr>
                <w:rFonts w:ascii="Arial" w:hAnsi="Arial"/>
                <w:b w:val="0"/>
                <w:i w:val="0"/>
                <w:color w:val="111827"/>
                <w:sz w:val="21"/>
              </w:rPr>
              <w:t xml:space="preserve"> e custas dos serviços forenses são competências </w:t>
            </w:r>
            <w:r>
              <w:rPr>
                <w:rFonts w:ascii="Arial" w:hAnsi="Arial"/>
                <w:b/>
                <w:i w:val="0"/>
                <w:color w:val="111827"/>
                <w:sz w:val="21"/>
              </w:rPr>
              <w:t>concorrentes</w:t>
            </w:r>
            <w:r>
              <w:rPr>
                <w:rFonts w:ascii="Arial" w:hAnsi="Arial"/>
                <w:b w:val="0"/>
                <w:i w:val="0"/>
                <w:color w:val="111827"/>
                <w:sz w:val="21"/>
              </w:rPr>
              <w:t xml:space="preserve"> (Art. 24, I e IV).</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Superveniência de Lei Federal sobre Normas Gerais (Art. 24, § 4º):</w:t>
            </w:r>
          </w:p>
          <w:p>
            <w:pPr>
              <w:spacing w:line="288" w:lineRule="auto" w:before="40" w:after="40"/>
            </w:pPr>
            <w:r>
              <w:rPr>
                <w:rFonts w:ascii="Arial" w:hAnsi="Arial"/>
                <w:b w:val="0"/>
                <w:i w:val="0"/>
                <w:color w:val="111827"/>
                <w:sz w:val="21"/>
              </w:rPr>
              <w:t xml:space="preserve">A superveniência de lei federal contendo normas gerais </w:t>
            </w:r>
            <w:r>
              <w:rPr>
                <w:rFonts w:ascii="Arial" w:hAnsi="Arial"/>
                <w:b/>
                <w:i w:val="0"/>
                <w:color w:val="111827"/>
                <w:sz w:val="21"/>
              </w:rPr>
              <w:t>NÃO REVOGA</w:t>
            </w:r>
            <w:r>
              <w:rPr>
                <w:rFonts w:ascii="Arial" w:hAnsi="Arial"/>
                <w:b w:val="0"/>
                <w:i w:val="0"/>
                <w:color w:val="111827"/>
                <w:sz w:val="21"/>
              </w:rPr>
              <w:t xml:space="preserve"> a lei estadual anterior contrária; ela apenas </w:t>
            </w:r>
            <w:r>
              <w:rPr>
                <w:rFonts w:ascii="Arial" w:hAnsi="Arial"/>
                <w:b/>
                <w:i w:val="0"/>
                <w:color w:val="111827"/>
                <w:sz w:val="21"/>
              </w:rPr>
              <w:t>SUSPENDE A SUA EFICÁCIA</w:t>
            </w:r>
            <w:r>
              <w:rPr>
                <w:rFonts w:ascii="Arial" w:hAnsi="Arial"/>
                <w:b w:val="0"/>
                <w:i w:val="0"/>
                <w:color w:val="111827"/>
                <w:sz w:val="21"/>
              </w:rPr>
              <w:t xml:space="preserve"> naquilo que for incompatível. Se a lei federal for declarada inconstitucional ou revogada, a lei estadual volta a produzir efeitos normalmente!</w:t>
            </w:r>
          </w:p>
        </w:tc>
      </w:tr>
    </w:tbl>
    <w:p>
      <w:pPr>
        <w:spacing w:before="0" w:after="120"/>
      </w:pPr>
    </w:p>
    <w:p>
      <w:pPr>
        <w:keepNext/>
        <w:spacing w:before="120" w:after="40"/>
      </w:pPr>
      <w:r>
        <w:rPr>
          <w:rFonts w:ascii="Arial" w:hAnsi="Arial"/>
          <w:b/>
          <w:i/>
          <w:color w:val="334155"/>
          <w:sz w:val="22"/>
        </w:rPr>
        <w:t>2.2 Competências Administrativas: Exclusivas e Comuns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Exclusivas da União (Art. 21):</w:t>
      </w:r>
      <w:r>
        <w:rPr>
          <w:rFonts w:ascii="Arial" w:hAnsi="Arial"/>
          <w:b w:val="0"/>
          <w:i w:val="0"/>
          <w:color w:val="111827"/>
          <w:sz w:val="22"/>
        </w:rPr>
        <w:t xml:space="preserve"> São indelegáveis a outros entes políticos. Envolvem a emissão de moeda, administração das reservas cambiais, manutenção das relações diplomáticas, defesa nacional e fiscalização nuclear.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Comuns de Todos os Entes (Art. 23):</w:t>
      </w:r>
      <w:r>
        <w:rPr>
          <w:rFonts w:ascii="Arial" w:hAnsi="Arial"/>
          <w:b w:val="0"/>
          <w:i w:val="0"/>
          <w:color w:val="111827"/>
          <w:sz w:val="22"/>
        </w:rPr>
        <w:t xml:space="preserve"> Competências materiais que devem ser exercidas de forma cooperativa e solidária por União, Estados, DF e Municípios: zelar pela guarda da Constituição, cuidar da saúde e assistência pública, proteger o meio ambiente, combater a poluição e preservar o patrimônio histórico. Leis complementares fixam normas para a cooperação entre a União e os entes subnacionais (art. 23, parágrafo único).</w:t>
      </w:r>
    </w:p>
    <w:p>
      <w:pPr>
        <w:keepNext/>
        <w:spacing w:before="120" w:after="40"/>
      </w:pPr>
      <w:r>
        <w:rPr>
          <w:rFonts w:ascii="Arial" w:hAnsi="Arial"/>
          <w:b/>
          <w:i/>
          <w:color w:val="334155"/>
          <w:sz w:val="22"/>
        </w:rPr>
        <w:t>2.3 Competências dos Estados e Municípios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Estados-Membros (Art. 25, § 1º):</w:t>
      </w:r>
      <w:r>
        <w:rPr>
          <w:rFonts w:ascii="Arial" w:hAnsi="Arial"/>
          <w:b w:val="0"/>
          <w:i w:val="0"/>
          <w:color w:val="111827"/>
          <w:sz w:val="22"/>
        </w:rPr>
        <w:t xml:space="preserve"> Possuem competência </w:t>
      </w:r>
      <w:r>
        <w:rPr>
          <w:rFonts w:ascii="Arial" w:hAnsi="Arial"/>
          <w:b/>
          <w:i w:val="0"/>
          <w:color w:val="111827"/>
          <w:sz w:val="22"/>
        </w:rPr>
        <w:t>remanescente (residual)</w:t>
      </w:r>
      <w:r>
        <w:rPr>
          <w:rFonts w:ascii="Arial" w:hAnsi="Arial"/>
          <w:b w:val="0"/>
          <w:i w:val="0"/>
          <w:color w:val="111827"/>
          <w:sz w:val="22"/>
        </w:rPr>
        <w:t>: são reservadas aos Estados todas as competências que não lhes sejam vedadas pela Constituição e que não pertençam expressamente à União ou aos Municípios. Além disso, cabe aos Estados explorar diretamente ou mediante concessão os serviços locais de gás canalizado (art. 25, § 2º, vedada edição de MP para sua regulamentação).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Municípios (Art. 30):</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 xml:space="preserve">Legislar sobre assuntos de </w:t>
      </w:r>
      <w:r>
        <w:rPr>
          <w:rFonts w:ascii="Arial" w:hAnsi="Arial"/>
          <w:b/>
          <w:i w:val="0"/>
          <w:color w:val="111827"/>
          <w:sz w:val="22"/>
        </w:rPr>
        <w:t>interesse local</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Suplementar a legislação federal e estadual no que couber;</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Instituir e arrecadar os tributos municipais e aplicar suas rendas;</w:t>
      </w:r>
    </w:p>
    <w:p>
      <w:pPr>
        <w:spacing w:line="276" w:lineRule="auto" w:before="20" w:after="40"/>
        <w:ind w:left="992"/>
      </w:pPr>
      <w:r>
        <w:rPr>
          <w:rFonts w:ascii="Arial" w:hAnsi="Arial"/>
          <w:b/>
          <w:color w:val="1B365D"/>
          <w:sz w:val="22"/>
        </w:rPr>
        <w:t xml:space="preserve">4. </w:t>
      </w:r>
      <w:r>
        <w:rPr>
          <w:rFonts w:ascii="Arial" w:hAnsi="Arial"/>
          <w:b w:val="0"/>
          <w:i w:val="0"/>
          <w:color w:val="111827"/>
          <w:sz w:val="22"/>
        </w:rPr>
        <w:t xml:space="preserve">Organizar e prestar, diretamente ou sob concessão/permissão, os serviços públicos de interesse local, incluído o de </w:t>
      </w:r>
      <w:r>
        <w:rPr>
          <w:rFonts w:ascii="Arial" w:hAnsi="Arial"/>
          <w:b/>
          <w:i w:val="0"/>
          <w:color w:val="111827"/>
          <w:sz w:val="22"/>
        </w:rPr>
        <w:t>transporte coletivo</w:t>
      </w:r>
      <w:r>
        <w:rPr>
          <w:rFonts w:ascii="Arial" w:hAnsi="Arial"/>
          <w:b w:val="0"/>
          <w:i w:val="0"/>
          <w:color w:val="111827"/>
          <w:sz w:val="22"/>
        </w:rPr>
        <w:t>, de caráter essencial.</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(SÚMULA VINCULANTE 38 DO STF):</w:t>
            </w:r>
          </w:p>
          <w:p>
            <w:pPr>
              <w:spacing w:line="288" w:lineRule="auto" w:before="40" w:after="40"/>
            </w:pPr>
            <w:r>
              <w:rPr>
                <w:rFonts w:ascii="Arial" w:hAnsi="Arial"/>
                <w:b w:val="0"/>
                <w:i/>
                <w:color w:val="111827"/>
                <w:sz w:val="21"/>
              </w:rPr>
              <w:t>"É competente o Município para fixar o horário de funcionamento de estabelecimento comercial."</w:t>
            </w:r>
          </w:p>
          <w:p>
            <w:pPr>
              <w:spacing w:line="288" w:lineRule="auto" w:before="40" w:after="40"/>
            </w:pPr>
            <w:r>
              <w:rPr>
                <w:rFonts w:ascii="Arial" w:hAnsi="Arial"/>
                <w:b w:val="0"/>
                <w:i w:val="0"/>
                <w:color w:val="111827"/>
                <w:sz w:val="21"/>
              </w:rPr>
              <w:t>Em contrapartida, conforme a Súmula Vinculante 49, leis municipais que impedem a instalação de estabelecimentos do mesmo ramo em determinada área violam a liberdade de concorrência.</w:t>
            </w:r>
          </w:p>
        </w:tc>
      </w:tr>
    </w:tbl>
    <w:p>
      <w:pPr>
        <w:spacing w:before="0" w:after="120"/>
      </w:pPr>
    </w:p>
    <w:p>
      <w:pPr>
        <w:keepNext/>
        <w:spacing w:before="200" w:after="80"/>
      </w:pPr>
      <w:r>
        <w:rPr>
          <w:rFonts w:ascii="Arial" w:hAnsi="Arial"/>
          <w:b/>
          <w:i w:val="0"/>
          <w:color w:val="2B6CB0"/>
          <w:sz w:val="24"/>
        </w:rPr>
        <w:t>3. Mecanismos Excepcionais de Equilíbrio: Intervenção Federal e Estadual</w:t>
      </w:r>
    </w:p>
    <w:p>
      <w:pPr>
        <w:spacing w:line="360" w:lineRule="auto" w:before="0" w:after="80"/>
        <w:jc w:val="both"/>
      </w:pPr>
      <w:r>
        <w:rPr>
          <w:rFonts w:ascii="Arial" w:hAnsi="Arial"/>
          <w:b w:val="0"/>
          <w:i w:val="0"/>
          <w:color w:val="111827"/>
          <w:sz w:val="24"/>
        </w:rPr>
        <w:t>A não-intervenção é a regra geral da federação. A intervenção consubstancia medida drástica e temporária que suspende a autonomia do ente subnacional para resguardar a integridade da ordem federativa.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Intervenção Federal nos Estados e DF (Art. 34):</w:t>
      </w:r>
      <w:r>
        <w:rPr>
          <w:rFonts w:ascii="Arial" w:hAnsi="Arial"/>
          <w:b w:val="0"/>
          <w:i w:val="0"/>
          <w:color w:val="111827"/>
          <w:sz w:val="22"/>
        </w:rPr>
        <w:t xml:space="preserve"> Cabível para manter a integridade nacional, repelir invasão estrangeira ou de uma unidade na outra, pôr termo a grave comprometimento da ordem pública, garantir o livre exercício de qualquer dos Poderes, reorganizar as finanças do Estado (se suspender pagamento de dívida por mais de 2 anos consecutivos) ou assegurar a observância dos </w:t>
      </w:r>
      <w:r>
        <w:rPr>
          <w:rFonts w:ascii="Arial" w:hAnsi="Arial"/>
          <w:b/>
          <w:i w:val="0"/>
          <w:color w:val="111827"/>
          <w:sz w:val="22"/>
        </w:rPr>
        <w:t>princípios constitucionais sensíveis</w:t>
      </w:r>
      <w:r>
        <w:rPr>
          <w:rFonts w:ascii="Arial" w:hAnsi="Arial"/>
          <w:b w:val="0"/>
          <w:i w:val="0"/>
          <w:color w:val="111827"/>
          <w:sz w:val="22"/>
        </w:rPr>
        <w:t xml:space="preserve"> (forma republicana, direitos da pessoa humana, regime democrático, prestação de contas da administração e aplicação dos mínimos em saúde e educação).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Intervenção Estadual nos Municípios (Art. 35):</w:t>
      </w:r>
      <w:r>
        <w:rPr>
          <w:rFonts w:ascii="Arial" w:hAnsi="Arial"/>
          <w:b w:val="0"/>
          <w:i w:val="0"/>
          <w:color w:val="111827"/>
          <w:sz w:val="22"/>
        </w:rPr>
        <w:t xml:space="preserve"> Decretada pelo Governador do Estado quando o Município deixar de pagar sua dívida fundada por dois anos consecutivos, não prestar contas devidas, não aplicar o mínimo constitucional em saúde e educação ou quando o Tribunal de Justiça der provimento a representação para garantir a observância de princípios da Constituição Estadual ou prover a execução de lei ou ordem judicial.</w:t>
      </w:r>
    </w:p>
    <w:p>
      <w:pPr>
        <w:keepNext/>
        <w:spacing w:before="200" w:after="80"/>
      </w:pPr>
      <w:r>
        <w:rPr>
          <w:rFonts w:ascii="Arial" w:hAnsi="Arial"/>
          <w:b/>
          <w:i w:val="0"/>
          <w:color w:val="2B6CB0"/>
          <w:sz w:val="24"/>
        </w:rPr>
        <w:t>4. Regime Constitucional da Administração Pública e Servidores (Arts. 37 a 41)</w:t>
      </w:r>
    </w:p>
    <w:p>
      <w:pPr>
        <w:keepNext/>
        <w:spacing w:before="120" w:after="40"/>
      </w:pPr>
      <w:r>
        <w:rPr>
          <w:rFonts w:ascii="Arial" w:hAnsi="Arial"/>
          <w:b/>
          <w:i/>
          <w:color w:val="334155"/>
          <w:sz w:val="22"/>
        </w:rPr>
        <w:t>4.1 Concurso Público, Funções de Confiança e Cargos em Comissão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Validade do Concurso (Art. 37, III):</w:t>
      </w:r>
      <w:r>
        <w:rPr>
          <w:rFonts w:ascii="Arial" w:hAnsi="Arial"/>
          <w:b w:val="0"/>
          <w:i w:val="0"/>
          <w:color w:val="111827"/>
          <w:sz w:val="22"/>
        </w:rPr>
        <w:t xml:space="preserve"> Validade de </w:t>
      </w:r>
      <w:r>
        <w:rPr>
          <w:rFonts w:ascii="Arial" w:hAnsi="Arial"/>
          <w:b/>
          <w:i w:val="0"/>
          <w:color w:val="111827"/>
          <w:sz w:val="22"/>
        </w:rPr>
        <w:t>até 2 (dois) anos</w:t>
      </w:r>
      <w:r>
        <w:rPr>
          <w:rFonts w:ascii="Arial" w:hAnsi="Arial"/>
          <w:b w:val="0"/>
          <w:i w:val="0"/>
          <w:color w:val="111827"/>
          <w:sz w:val="22"/>
        </w:rPr>
        <w:t>, prorrogável uma única vez, por igual período. O edital pode fixar validade inferior (ex.: 6 meses prorrogável por mais 6 meses).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Funções de Confiança vs. Cargos em Comissão (Art. 37, V):</w:t>
      </w:r>
    </w:p>
    <w:p>
      <w:pPr>
        <w:spacing w:line="276" w:lineRule="auto" w:before="20" w:after="40"/>
        <w:ind w:left="992"/>
      </w:pPr>
      <w:r>
        <w:rPr>
          <w:rFonts w:ascii="Arial" w:hAnsi="Arial"/>
          <w:b/>
          <w:color w:val="2B6CB0"/>
          <w:sz w:val="22"/>
        </w:rPr>
        <w:t xml:space="preserve">• </w:t>
      </w:r>
      <w:r>
        <w:rPr>
          <w:rFonts w:ascii="Arial" w:hAnsi="Arial"/>
          <w:b w:val="0"/>
          <w:i/>
          <w:color w:val="111827"/>
          <w:sz w:val="22"/>
        </w:rPr>
        <w:t>Funções de Confiança:</w:t>
      </w:r>
      <w:r>
        <w:rPr>
          <w:rFonts w:ascii="Arial" w:hAnsi="Arial"/>
          <w:b w:val="0"/>
          <w:i w:val="0"/>
          <w:color w:val="111827"/>
          <w:sz w:val="22"/>
        </w:rPr>
        <w:t xml:space="preserve"> Exercidas </w:t>
      </w:r>
      <w:r>
        <w:rPr>
          <w:rFonts w:ascii="Arial" w:hAnsi="Arial"/>
          <w:b/>
          <w:i w:val="0"/>
          <w:color w:val="111827"/>
          <w:sz w:val="22"/>
        </w:rPr>
        <w:t>exclusivamente</w:t>
      </w:r>
      <w:r>
        <w:rPr>
          <w:rFonts w:ascii="Arial" w:hAnsi="Arial"/>
          <w:b w:val="0"/>
          <w:i w:val="0"/>
          <w:color w:val="111827"/>
          <w:sz w:val="22"/>
        </w:rPr>
        <w:t xml:space="preserve"> por servidores ocupantes de cargo de provimento efetivo.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Cargos em Comissão:</w:t>
      </w:r>
      <w:r>
        <w:rPr>
          <w:rFonts w:ascii="Arial" w:hAnsi="Arial"/>
          <w:b w:val="0"/>
          <w:i w:val="0"/>
          <w:color w:val="111827"/>
          <w:sz w:val="22"/>
        </w:rPr>
        <w:t xml:space="preserve"> Preenchidos por servidores de carreira nos casos, condições e percentuais mínimos previstos em lei, ou por pessoas sem vínculo (comissionados puros).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Ambos destinam-se exclusivamente às atribuições de </w:t>
      </w:r>
      <w:r>
        <w:rPr>
          <w:rFonts w:ascii="Arial" w:hAnsi="Arial"/>
          <w:b/>
          <w:i w:val="0"/>
          <w:color w:val="111827"/>
          <w:sz w:val="22"/>
        </w:rPr>
        <w:t>direção, chefia e assessoramento</w:t>
      </w:r>
      <w:r>
        <w:rPr>
          <w:rFonts w:ascii="Arial" w:hAnsi="Arial"/>
          <w:b w:val="0"/>
          <w:i w:val="0"/>
          <w:color w:val="111827"/>
          <w:sz w:val="22"/>
        </w:rPr>
        <w:t xml:space="preserve"> (vedada a criação para atribuições técnicas, operacionais ou burocráticas subalternas - Súmula Vinculante 37).</w:t>
      </w:r>
    </w:p>
    <w:p>
      <w:pPr>
        <w:spacing w:after="120"/>
      </w:pPr>
    </w:p>
    <w:p>
      <w:pPr>
        <w:keepNext/>
        <w:spacing w:before="120" w:after="40"/>
      </w:pPr>
      <w:r>
        <w:rPr>
          <w:rFonts w:ascii="Arial" w:hAnsi="Arial"/>
          <w:b/>
          <w:i/>
          <w:color w:val="334155"/>
          <w:sz w:val="22"/>
        </w:rPr>
        <w:t>4.2 Regra Constitucional da Não-Acumulação e Exceções (Art. 37, XVI)</w:t>
      </w:r>
    </w:p>
    <w:p>
      <w:pPr>
        <w:spacing w:line="360" w:lineRule="auto" w:before="0" w:after="80"/>
        <w:jc w:val="both"/>
      </w:pPr>
      <w:r>
        <w:rPr>
          <w:rFonts w:ascii="Arial" w:hAnsi="Arial"/>
          <w:b w:val="0"/>
          <w:i w:val="0"/>
          <w:color w:val="111827"/>
          <w:sz w:val="24"/>
        </w:rPr>
        <w:t>A regra é a proibição categórica de acumulação remunerada de cargos, empregos e funções públicas no âmbito da administração direta, autárquica, fundacional e empresas estatais.</w:t>
      </w:r>
    </w:p>
    <w:p>
      <w:pPr>
        <w:spacing w:line="360" w:lineRule="auto" w:before="0" w:after="80"/>
        <w:jc w:val="both"/>
      </w:pPr>
      <w:r>
        <w:rPr>
          <w:rFonts w:ascii="Arial" w:hAnsi="Arial"/>
          <w:b w:val="0"/>
          <w:i w:val="0"/>
          <w:color w:val="111827"/>
          <w:sz w:val="24"/>
        </w:rPr>
        <w:t xml:space="preserve">Exigem-se cumulativamente: </w:t>
      </w:r>
      <w:r>
        <w:rPr>
          <w:rFonts w:ascii="Arial" w:hAnsi="Arial"/>
          <w:b/>
          <w:i w:val="0"/>
          <w:color w:val="111827"/>
          <w:sz w:val="24"/>
        </w:rPr>
        <w:t>compatibilidade de horários</w:t>
      </w:r>
      <w:r>
        <w:rPr>
          <w:rFonts w:ascii="Arial" w:hAnsi="Arial"/>
          <w:b w:val="0"/>
          <w:i w:val="0"/>
          <w:color w:val="111827"/>
          <w:sz w:val="24"/>
        </w:rPr>
        <w:t xml:space="preserve"> + </w:t>
      </w:r>
      <w:r>
        <w:rPr>
          <w:rFonts w:ascii="Arial" w:hAnsi="Arial"/>
          <w:b/>
          <w:i w:val="0"/>
          <w:color w:val="111827"/>
          <w:sz w:val="24"/>
        </w:rPr>
        <w:t>observância do teto remuneratório constitucional</w:t>
      </w:r>
      <w:r>
        <w:rPr>
          <w:rFonts w:ascii="Arial" w:hAnsi="Arial"/>
          <w:b w:val="0"/>
          <w:i w:val="0"/>
          <w:color w:val="111827"/>
          <w:sz w:val="24"/>
        </w:rPr>
        <w:t>. As únicas 3 exceções constitucionais são:</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Teto Remuneratório na Acumulação Lícita (Tema 377/STF):</w:t>
            </w:r>
            <w:r>
              <w:rPr>
                <w:rFonts w:ascii="Arial" w:hAnsi="Arial"/>
                <w:b w:val="0"/>
                <w:i w:val="0"/>
                <w:color w:val="111827"/>
                <w:sz w:val="21"/>
              </w:rPr>
              <w:t xml:space="preserve"> No caso de acumulação constitucional legítima de cargos, o teto remuneratório constitucional incide </w:t>
            </w:r>
            <w:r>
              <w:rPr>
                <w:rFonts w:ascii="Arial" w:hAnsi="Arial"/>
                <w:b/>
                <w:i w:val="0"/>
                <w:color w:val="111827"/>
                <w:sz w:val="21"/>
              </w:rPr>
              <w:t>isoladamente sobre cada um dos cargos</w:t>
            </w:r>
            <w:r>
              <w:rPr>
                <w:rFonts w:ascii="Arial" w:hAnsi="Arial"/>
                <w:b w:val="0"/>
                <w:i w:val="0"/>
                <w:color w:val="111827"/>
                <w:sz w:val="21"/>
              </w:rPr>
              <w:t>, e não sobre o somatório das remunerações!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Cargo Técnico:</w:t>
            </w:r>
            <w:r>
              <w:rPr>
                <w:rFonts w:ascii="Arial" w:hAnsi="Arial"/>
                <w:b w:val="0"/>
                <w:i w:val="0"/>
                <w:color w:val="111827"/>
                <w:sz w:val="21"/>
              </w:rPr>
              <w:t xml:space="preserve"> Para fins de acumulação com professor, considera-se técnico o cargo que exige conhecimentos técnicos específicos ou formação superior determinada, como o cargo de Analista e Técnico de Controle Externo do TCE-GO.</w:t>
            </w:r>
          </w:p>
        </w:tc>
      </w:tr>
    </w:tbl>
    <w:p>
      <w:pPr>
        <w:spacing w:before="0" w:after="120"/>
      </w:pPr>
    </w:p>
    <w:p>
      <w:pPr>
        <w:keepNext/>
        <w:spacing w:before="120" w:after="40"/>
      </w:pPr>
      <w:r>
        <w:rPr>
          <w:rFonts w:ascii="Arial" w:hAnsi="Arial"/>
          <w:b/>
          <w:i/>
          <w:color w:val="334155"/>
          <w:sz w:val="22"/>
        </w:rPr>
        <w:t>4.3 Exercício de Mandato Eletivo pelo Servidor Público (Art. 38)</w:t>
      </w:r>
    </w:p>
    <w:p>
      <w:pPr>
        <w:spacing w:line="360" w:lineRule="auto" w:before="0" w:after="80"/>
        <w:jc w:val="both"/>
      </w:pPr>
      <w:r>
        <w:rPr>
          <w:rFonts w:ascii="Arial" w:hAnsi="Arial"/>
          <w:b w:val="0"/>
          <w:i w:val="0"/>
          <w:color w:val="111827"/>
          <w:sz w:val="24"/>
        </w:rPr>
        <w:t>Tratamento constitucional aplicável ao servidor público da administração direta, autárquica e fundacional no exercício de mandato político:</w:t>
      </w:r>
    </w:p>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Para contagem de tempo de serviço: o tempo de mandato é contado para todos os efeitos legais, </w:t>
      </w:r>
      <w:r>
        <w:rPr>
          <w:rFonts w:ascii="Arial" w:hAnsi="Arial"/>
          <w:b/>
          <w:i w:val="0"/>
          <w:color w:val="111827"/>
          <w:sz w:val="22"/>
        </w:rPr>
        <w:t>exceto para promoção por merecimento</w:t>
      </w:r>
      <w:r>
        <w:rPr>
          <w:rFonts w:ascii="Arial" w:hAnsi="Arial"/>
          <w:b w:val="0"/>
          <w:i w:val="0"/>
          <w:color w:val="111827"/>
          <w:sz w:val="22"/>
        </w:rPr>
        <w:t xml:space="preserve"> (computa-se apenas por antiguidade).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Previdência Social: os valores são recolhidos como se estivesse no exercício efetivo do cargo.</w:t>
      </w:r>
    </w:p>
    <w:p>
      <w:pPr>
        <w:keepNext/>
        <w:spacing w:before="120" w:after="40"/>
      </w:pPr>
      <w:r>
        <w:rPr>
          <w:rFonts w:ascii="Arial" w:hAnsi="Arial"/>
          <w:b/>
          <w:i/>
          <w:color w:val="334155"/>
          <w:sz w:val="22"/>
        </w:rPr>
        <w:t>4.4 Estabilidade e Perda do Cargo do Servidor Estável (Art. 41)</w:t>
      </w:r>
    </w:p>
    <w:p>
      <w:pPr>
        <w:spacing w:line="276" w:lineRule="auto" w:before="20" w:after="40"/>
        <w:ind w:left="425"/>
      </w:pPr>
      <w:r>
        <w:rPr>
          <w:rFonts w:ascii="Arial" w:hAnsi="Arial"/>
          <w:b/>
          <w:color w:val="2B6CB0"/>
          <w:sz w:val="22"/>
        </w:rPr>
        <w:t xml:space="preserve">• </w:t>
      </w:r>
      <w:r>
        <w:rPr>
          <w:rFonts w:ascii="Arial" w:hAnsi="Arial"/>
          <w:b/>
          <w:i w:val="0"/>
          <w:color w:val="111827"/>
          <w:sz w:val="22"/>
        </w:rPr>
        <w:t>Aquisição da Estabilidade:</w:t>
      </w:r>
      <w:r>
        <w:rPr>
          <w:rFonts w:ascii="Arial" w:hAnsi="Arial"/>
          <w:b w:val="0"/>
          <w:i w:val="0"/>
          <w:color w:val="111827"/>
          <w:sz w:val="22"/>
        </w:rPr>
        <w:t xml:space="preserve"> São estáveis após </w:t>
      </w:r>
      <w:r>
        <w:rPr>
          <w:rFonts w:ascii="Arial" w:hAnsi="Arial"/>
          <w:b/>
          <w:i w:val="0"/>
          <w:color w:val="111827"/>
          <w:sz w:val="22"/>
        </w:rPr>
        <w:t>3 (três) anos</w:t>
      </w:r>
      <w:r>
        <w:rPr>
          <w:rFonts w:ascii="Arial" w:hAnsi="Arial"/>
          <w:b w:val="0"/>
          <w:i w:val="0"/>
          <w:color w:val="111827"/>
          <w:sz w:val="22"/>
        </w:rPr>
        <w:t xml:space="preserve"> de efetivo exercício os servidores nomeados para cargo de provimento efetivo em virtude de concurso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Condição Obrigatória:</w:t>
      </w:r>
      <w:r>
        <w:rPr>
          <w:rFonts w:ascii="Arial" w:hAnsi="Arial"/>
          <w:b w:val="0"/>
          <w:i w:val="0"/>
          <w:color w:val="111827"/>
          <w:sz w:val="22"/>
        </w:rPr>
        <w:t xml:space="preserve"> É obrigatória a aprovação prévia em </w:t>
      </w:r>
      <w:r>
        <w:rPr>
          <w:rFonts w:ascii="Arial" w:hAnsi="Arial"/>
          <w:b/>
          <w:i w:val="0"/>
          <w:color w:val="111827"/>
          <w:sz w:val="22"/>
        </w:rPr>
        <w:t>avaliação especial de desempenho</w:t>
      </w:r>
      <w:r>
        <w:rPr>
          <w:rFonts w:ascii="Arial" w:hAnsi="Arial"/>
          <w:b w:val="0"/>
          <w:i w:val="0"/>
          <w:color w:val="111827"/>
          <w:sz w:val="22"/>
        </w:rPr>
        <w:t xml:space="preserve"> realizada por comissão instituída especificamente para essa finalidade (art. 41, § 4º).</w:t>
      </w:r>
    </w:p>
    <w:p>
      <w:pPr>
        <w:spacing w:line="276" w:lineRule="auto" w:before="20" w:after="40"/>
        <w:ind w:left="425"/>
      </w:pPr>
      <w:r>
        <w:rPr>
          <w:rFonts w:ascii="Arial" w:hAnsi="Arial"/>
          <w:b/>
          <w:color w:val="2B6CB0"/>
          <w:sz w:val="22"/>
        </w:rPr>
        <w:t xml:space="preserve">• </w:t>
      </w:r>
      <w:r>
        <w:rPr>
          <w:rFonts w:ascii="Arial" w:hAnsi="Arial"/>
          <w:b/>
          <w:i w:val="0"/>
          <w:color w:val="111827"/>
          <w:sz w:val="22"/>
        </w:rPr>
        <w:t>As Quatro Hipóteses Exaustivas de Perda do Cargo do Servidor Estável:</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 xml:space="preserve">Em virtude de </w:t>
      </w:r>
      <w:r>
        <w:rPr>
          <w:rFonts w:ascii="Arial" w:hAnsi="Arial"/>
          <w:b/>
          <w:i w:val="0"/>
          <w:color w:val="111827"/>
          <w:sz w:val="22"/>
        </w:rPr>
        <w:t>sentença judicial transitada em julgado</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 xml:space="preserve">Mediante </w:t>
      </w:r>
      <w:r>
        <w:rPr>
          <w:rFonts w:ascii="Arial" w:hAnsi="Arial"/>
          <w:b/>
          <w:i w:val="0"/>
          <w:color w:val="111827"/>
          <w:sz w:val="22"/>
        </w:rPr>
        <w:t>processo administrativo disciplinar (PAD)</w:t>
      </w:r>
      <w:r>
        <w:rPr>
          <w:rFonts w:ascii="Arial" w:hAnsi="Arial"/>
          <w:b w:val="0"/>
          <w:i w:val="0"/>
          <w:color w:val="111827"/>
          <w:sz w:val="22"/>
        </w:rPr>
        <w:t xml:space="preserve"> no qual lhe seja assegurada ampla defesa;</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 xml:space="preserve">Mediante </w:t>
      </w:r>
      <w:r>
        <w:rPr>
          <w:rFonts w:ascii="Arial" w:hAnsi="Arial"/>
          <w:b/>
          <w:i w:val="0"/>
          <w:color w:val="111827"/>
          <w:sz w:val="22"/>
        </w:rPr>
        <w:t>procedimento de avaliação periódica de desempenho</w:t>
      </w:r>
      <w:r>
        <w:rPr>
          <w:rFonts w:ascii="Arial" w:hAnsi="Arial"/>
          <w:b w:val="0"/>
          <w:i w:val="0"/>
          <w:color w:val="111827"/>
          <w:sz w:val="22"/>
        </w:rPr>
        <w:t>, na forma de lei complementar federal, assegurada ampla defesa;</w:t>
      </w:r>
    </w:p>
    <w:p>
      <w:pPr>
        <w:spacing w:line="276" w:lineRule="auto" w:before="20" w:after="40"/>
        <w:ind w:left="992"/>
      </w:pPr>
      <w:r>
        <w:rPr>
          <w:rFonts w:ascii="Arial" w:hAnsi="Arial"/>
          <w:b/>
          <w:color w:val="1B365D"/>
          <w:sz w:val="22"/>
        </w:rPr>
        <w:t xml:space="preserve">4. </w:t>
      </w:r>
      <w:r>
        <w:rPr>
          <w:rFonts w:ascii="Arial" w:hAnsi="Arial"/>
          <w:b w:val="0"/>
          <w:i w:val="0"/>
          <w:color w:val="111827"/>
          <w:sz w:val="22"/>
        </w:rPr>
        <w:t xml:space="preserve">Para cumprimento dos </w:t>
      </w:r>
      <w:r>
        <w:rPr>
          <w:rFonts w:ascii="Arial" w:hAnsi="Arial"/>
          <w:b/>
          <w:i w:val="0"/>
          <w:color w:val="111827"/>
          <w:sz w:val="22"/>
        </w:rPr>
        <w:t>limites com despesas de pessoal</w:t>
      </w:r>
      <w:r>
        <w:rPr>
          <w:rFonts w:ascii="Arial" w:hAnsi="Arial"/>
          <w:b w:val="0"/>
          <w:i w:val="0"/>
          <w:color w:val="111827"/>
          <w:sz w:val="22"/>
        </w:rPr>
        <w:t xml:space="preserve"> (art. 169, § 4º da CF/88), caso as medidas anteriores (corte de cargos em comissão e exoneração de servidores não estáveis) sejam insuficientes.</w:t>
      </w:r>
    </w:p>
    <w:p>
      <w:pPr>
        <w:spacing w:after="120"/>
      </w:pPr>
    </w:p>
    <w:p>
      <w:pPr>
        <w:keepNext/>
        <w:spacing w:before="280" w:after="120"/>
      </w:pPr>
      <w:r>
        <w:rPr>
          <w:rFonts w:ascii="Arial" w:hAnsi="Arial"/>
          <w:b/>
          <w:i w:val="0"/>
          <w:color w:val="2C5282"/>
          <w:sz w:val="28"/>
        </w:rPr>
        <w:t>🌐 Fontes Oficiais &amp; Doutrinárias Recomendadas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Federal de 1988 - Título III (Da Organização do Estado)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Dispositivos completos sobre competências dos entes federados e estatuto dos servidores públicos.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Súmula Vinculante nº 38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Competência municipal para fixação de horário de comércio.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Tema 377 de Repercussão Geral (Teto na Acumulação Lícita)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Fixação de que o teto constitucional incide sobre cada remuneração individualmente considerada.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Tema 280 (Violação de Domicílio e Tráfico)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Critérios constitucionais de controle da atuação estatal e repartição de poderes.</w:t>
      </w:r>
    </w:p>
    <w:p>
      <w:pPr>
        <w:keepNext/>
        <w:spacing w:before="280" w:after="120"/>
      </w:pPr>
      <w:r>
        <w:rPr>
          <w:rFonts w:ascii="Arial" w:hAnsi="Arial"/>
          <w:b/>
          <w:i w:val="0"/>
          <w:color w:val="2C5282"/>
          <w:sz w:val="28"/>
        </w:rPr>
        <w:t>📝 Questões Comentadas no Padrão FCC (Justificadas de A a E)</w:t>
      </w:r>
    </w:p>
    <w:p>
      <w:pPr>
        <w:keepNext/>
        <w:spacing w:before="200" w:after="80"/>
      </w:pPr>
      <w:r>
        <w:rPr>
          <w:rFonts w:ascii="Arial" w:hAnsi="Arial"/>
          <w:b/>
          <w:i w:val="0"/>
          <w:color w:val="2B6CB0"/>
          <w:sz w:val="24"/>
        </w:rPr>
        <w:t>Questão 1 (FCC - Adaptada / Analista de Controle Externo)</w:t>
      </w:r>
    </w:p>
    <w:p>
      <w:pPr>
        <w:spacing w:line="360" w:lineRule="auto" w:before="0" w:after="80"/>
        <w:jc w:val="both"/>
      </w:pPr>
      <w:r>
        <w:rPr>
          <w:rFonts w:ascii="Arial" w:hAnsi="Arial"/>
          <w:b w:val="0"/>
          <w:i w:val="0"/>
          <w:color w:val="111827"/>
          <w:sz w:val="24"/>
        </w:rPr>
        <w:t>A Assembleia Legislativa do Estado de Goiás aprovou projeto de lei que disciplina matérias relativas ao direito tributário e financeiro estadual, estabelecendo regras inovadoras de arrecadação e fiscalização orçamentária no âmbito de seu território, na ausência de lei federal veiculando normas gerais sobre aquele tema específico. Dois anos depois, o Congresso Nacional promulgou lei federal contendo normas gerais sobre a mesma matéria, cujos dispositivos colidem diretamente com três artigos da referida lei estadual goiana.</w:t>
      </w:r>
    </w:p>
    <w:p>
      <w:pPr>
        <w:spacing w:line="360" w:lineRule="auto" w:before="0" w:after="80"/>
        <w:jc w:val="both"/>
      </w:pPr>
      <w:r>
        <w:rPr>
          <w:rFonts w:ascii="Arial" w:hAnsi="Arial"/>
          <w:b w:val="0"/>
          <w:i w:val="0"/>
          <w:color w:val="111827"/>
          <w:sz w:val="24"/>
        </w:rPr>
        <w:t>Considerando o modelo constitucional brasileiro de repartição de competências legislativas concorrentes (art. 24 da CF/88):</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lei estadual goiana era originariamente inconstitucional, pois aos Estados Federados é terminantemente vedado legislar sobre direito financeiro e tributário sem expressa autorização em lei complementar federal.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Estado de Goiás exerceu legitimamente competência legislativa plena ante a omissão originária da União; todavia, a superveniência da lei federal sobre normas gerais suspende a eficácia da lei estadual no que lhe for contrário.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lei federal posterior padece de inconstitucionalidade formal, por invadir competência reservada originariamente ao Estado-membro.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lei estadual goiana foi formalmente revogada e extinta do ordenamento jurídico, tendo em vista o princípio da hierarquia absoluta da União sobre os Estados Federados.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antinomia entre as duas leis impõe a anulação simultânea de ambas pelo Tribunal de Justiça, competindo aos Municípios legislar de forma residual.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art. 24, I, da CF/88 consagra competência concorrente sobre direito tributário e financeiro. Inexistindo lei federal de normas gerais, o Estado exerce competência legislativa plena (art. 24, § 3º), sem necessidade de lei complementar delegatória.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texto do art. 24, § 3º, confere ao Estado competência legislativa plena perante a inércia da União. O § 4º do mesmo artigo prescreve expressamente: </w:t>
            </w:r>
            <w:r>
              <w:rPr>
                <w:rFonts w:ascii="Arial" w:hAnsi="Arial"/>
                <w:b w:val="0"/>
                <w:i/>
                <w:color w:val="111827"/>
                <w:sz w:val="21"/>
              </w:rPr>
              <w:t>"A superveniência de lei federal sobre normas gerais suspende a eficácia da lei estadual, no que lhe for contrário."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União tem competência constitucional originária para editar normas gerais a qualquer tempo no âmbito concorrente.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Não existe hierarquia entre leis federais e leis estaduais no federalismo brasileiro. Por essa razão técnica, a lei federal </w:t>
            </w:r>
            <w:r>
              <w:rPr>
                <w:rFonts w:ascii="Arial" w:hAnsi="Arial"/>
                <w:b/>
                <w:i w:val="0"/>
                <w:color w:val="111827"/>
                <w:sz w:val="21"/>
              </w:rPr>
              <w:t>não revoga</w:t>
            </w:r>
            <w:r>
              <w:rPr>
                <w:rFonts w:ascii="Arial" w:hAnsi="Arial"/>
                <w:b w:val="0"/>
                <w:i w:val="0"/>
                <w:color w:val="111827"/>
                <w:sz w:val="21"/>
              </w:rPr>
              <w:t xml:space="preserve"> a lei estadual, mas apenas </w:t>
            </w:r>
            <w:r>
              <w:rPr>
                <w:rFonts w:ascii="Arial" w:hAnsi="Arial"/>
                <w:b/>
                <w:i w:val="0"/>
                <w:color w:val="111827"/>
                <w:sz w:val="21"/>
              </w:rPr>
              <w:t>suspende a sua eficácia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Constituição prevê expressamente o mecanismo da suspensão da eficácia, sem declaração de anulação recíproca.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Técnico de Controle Externo - TCE-GO)</w:t>
      </w:r>
    </w:p>
    <w:p>
      <w:pPr>
        <w:spacing w:line="360" w:lineRule="auto" w:before="0" w:after="80"/>
        <w:jc w:val="both"/>
      </w:pPr>
      <w:r>
        <w:rPr>
          <w:rFonts w:ascii="Arial" w:hAnsi="Arial"/>
          <w:b w:val="0"/>
          <w:i w:val="0"/>
          <w:color w:val="111827"/>
          <w:sz w:val="24"/>
        </w:rPr>
        <w:t>Um servidor público ocupante do cargo de provimento efetivo de Técnico de Controle Externo do Tribunal de Contas do Estado de Goiás, com formação acadêmica superior em Direito, foi aprovado em regular concurso público municipal para o cargo de Professor de Direito Constitucional na Faculdade Municipal de Ensino Superior de Goiânia.</w:t>
      </w:r>
    </w:p>
    <w:p>
      <w:pPr>
        <w:spacing w:line="360" w:lineRule="auto" w:before="0" w:after="80"/>
        <w:jc w:val="both"/>
      </w:pPr>
      <w:r>
        <w:rPr>
          <w:rFonts w:ascii="Arial" w:hAnsi="Arial"/>
          <w:b w:val="0"/>
          <w:i w:val="0"/>
          <w:color w:val="111827"/>
          <w:sz w:val="24"/>
        </w:rPr>
        <w:t>Considerando as normas constitucionais que regem a acumulação remunerada de cargos públicos (art. 37, XVI da CF/88) e comprovada a plena compatibilidade de horários entre as jornadas de trabalho: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acumulação é constitucionalmente admitida, por envolver o exercício de um cargo técnico ou científico com outro cargo de professor.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acumulação é ilícita, pois a Constituição Federal veda expressamente a cumulação de vínculos com entes federativos distintos (Estado e Município).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servidor deve obrigatoriamente optar pela remuneração de apenas um dos cargos, prestando serviços de docência de maneira voluntária.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Apenas servidores estáveis com mais de dez anos de serviço podem exercer a prerrogativa excepcional de acumulação remunerada.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acumulação é permitida exclusivamente para dois cargos privativos de profissionais de saúde, sendo vedada a docência por técnicos de controle externo.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O art. 37, XVI, "b", da CF/88 excepciona a vedação de acumulação permitindo a de um cargo de professor com outro técnico ou científico, desde que haja compatibilidade de horários. O cargo de Técnico de Controle Externo possui inequívoca natureza de cargo técnico.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cumulação constitucional pode envolver cargos de qualquer ente federativo (União, Estados, DF ou Municípios), inclusive estendendo-se à administração indireta (art. 37, XVII).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Na acumulação lícita com compatibilidade de horários, o servidor percebe a remuneração integral de ambos os cargos (respeitados os tetos individuais).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Não há exigência temporal de tempo de serviço nem de estágio probatório para exercer o direito de acumulação lícita.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acumulação na área da saúde é apenas uma das três hipóteses; a docência acumulada com cargo técnico é modalidade plenamente autônoma e válida.</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3 (FCC - Adaptada / Analista Judiciário)</w:t>
      </w:r>
    </w:p>
    <w:p>
      <w:pPr>
        <w:spacing w:line="360" w:lineRule="auto" w:before="0" w:after="80"/>
        <w:jc w:val="both"/>
      </w:pPr>
      <w:r>
        <w:rPr>
          <w:rFonts w:ascii="Arial" w:hAnsi="Arial"/>
          <w:b w:val="0"/>
          <w:i w:val="0"/>
          <w:color w:val="111827"/>
          <w:sz w:val="24"/>
        </w:rPr>
        <w:t>Sobre o regime constitucional de estabilidade dos servidores públicos civis e as hipóteses de perda do cargo público efetivo previstas na Constituição da República, analise as proposições a seguir:</w:t>
      </w:r>
    </w:p>
    <w:p>
      <w:pPr>
        <w:spacing w:line="360" w:lineRule="auto" w:before="0" w:after="80"/>
        <w:jc w:val="both"/>
      </w:pPr>
      <w:r>
        <w:rPr>
          <w:rFonts w:ascii="Arial" w:hAnsi="Arial"/>
          <w:b w:val="0"/>
          <w:i w:val="0"/>
          <w:color w:val="111827"/>
          <w:sz w:val="24"/>
        </w:rPr>
        <w:t>I. São estáveis após dois anos de efetivo exercício os servidores nomeados para cargo de provimento efetivo em virtude de concurso público.</w:t>
      </w:r>
    </w:p>
    <w:p>
      <w:pPr>
        <w:spacing w:line="360" w:lineRule="auto" w:before="0" w:after="80"/>
        <w:jc w:val="both"/>
      </w:pPr>
      <w:r>
        <w:rPr>
          <w:rFonts w:ascii="Arial" w:hAnsi="Arial"/>
          <w:b w:val="0"/>
          <w:i w:val="0"/>
          <w:color w:val="111827"/>
          <w:sz w:val="24"/>
        </w:rPr>
        <w:t>II. Como condição para a aquisição da estabilidade, é obrigatória a avaliação especial de desempenho por comissão instituída para essa finalidade.</w:t>
      </w:r>
    </w:p>
    <w:p>
      <w:pPr>
        <w:spacing w:line="360" w:lineRule="auto" w:before="0" w:after="80"/>
        <w:jc w:val="both"/>
      </w:pPr>
      <w:r>
        <w:rPr>
          <w:rFonts w:ascii="Arial" w:hAnsi="Arial"/>
          <w:b w:val="0"/>
          <w:i w:val="0"/>
          <w:color w:val="111827"/>
          <w:sz w:val="24"/>
        </w:rPr>
        <w:t>III. O servidor público estável poderá perder o cargo mediante procedimento de avaliação periódica de desempenho, na forma de lei complementar, assegurada a ampla defesa.</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item I é incorreto, pois o prazo constitucional de estágio probatório é de 3 anos de efetivo exercício.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p>
          <w:p>
            <w:pPr>
              <w:spacing w:line="288" w:lineRule="auto" w:before="40" w:after="40"/>
            </w:pPr>
            <w:r>
              <w:rPr>
                <w:rFonts w:ascii="Arial" w:hAnsi="Arial"/>
                <w:b w:val="0"/>
                <w:i w:val="0"/>
                <w:color w:val="111827"/>
                <w:sz w:val="21"/>
              </w:rPr>
              <w:t xml:space="preserve">- </w:t>
            </w:r>
            <w:r>
              <w:rPr>
                <w:rFonts w:ascii="Arial" w:hAnsi="Arial"/>
                <w:b w:val="0"/>
                <w:i/>
                <w:color w:val="111827"/>
                <w:sz w:val="21"/>
              </w:rPr>
              <w:t>Item I (Falso):</w:t>
            </w:r>
            <w:r>
              <w:rPr>
                <w:rFonts w:ascii="Arial" w:hAnsi="Arial"/>
                <w:b w:val="0"/>
                <w:i w:val="0"/>
                <w:color w:val="111827"/>
                <w:sz w:val="21"/>
              </w:rPr>
              <w:t xml:space="preserve"> Desde a Emenda Constitucional nº 19/1998, o prazo constitucional de estágio probatório para a aquisição de estabilidade é de </w:t>
            </w:r>
            <w:r>
              <w:rPr>
                <w:rFonts w:ascii="Arial" w:hAnsi="Arial"/>
                <w:b/>
                <w:i w:val="0"/>
                <w:color w:val="111827"/>
                <w:sz w:val="21"/>
              </w:rPr>
              <w:t>3 (três) anos de efetivo exercício</w:t>
            </w:r>
            <w:r>
              <w:rPr>
                <w:rFonts w:ascii="Arial" w:hAnsi="Arial"/>
                <w:b w:val="0"/>
                <w:i w:val="0"/>
                <w:color w:val="111827"/>
                <w:sz w:val="21"/>
              </w:rPr>
              <w:t xml:space="preserve">, e não dois anos (art. 41, </w:t>
            </w:r>
            <w:r>
              <w:rPr>
                <w:rFonts w:ascii="Arial" w:hAnsi="Arial"/>
                <w:b w:val="0"/>
                <w:i/>
                <w:color w:val="111827"/>
                <w:sz w:val="21"/>
              </w:rPr>
              <w:t>caput</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w:t>
            </w:r>
            <w:r>
              <w:rPr>
                <w:rFonts w:ascii="Arial" w:hAnsi="Arial"/>
                <w:b w:val="0"/>
                <w:i/>
                <w:color w:val="111827"/>
                <w:sz w:val="21"/>
              </w:rPr>
              <w:t>Item II (Verdadeiro):</w:t>
            </w:r>
            <w:r>
              <w:rPr>
                <w:rFonts w:ascii="Arial" w:hAnsi="Arial"/>
                <w:b w:val="0"/>
                <w:i w:val="0"/>
                <w:color w:val="111827"/>
                <w:sz w:val="21"/>
              </w:rPr>
              <w:t xml:space="preserve"> O § 4º do art. 41 da CF/88 estabelece que </w:t>
            </w:r>
            <w:r>
              <w:rPr>
                <w:rFonts w:ascii="Arial" w:hAnsi="Arial"/>
                <w:b w:val="0"/>
                <w:i/>
                <w:color w:val="111827"/>
                <w:sz w:val="21"/>
              </w:rPr>
              <w:t>"é obrigatória a avaliação especial de desempenho por comissão instituída para essa finalidade"</w:t>
            </w:r>
            <w:r>
              <w:rPr>
                <w:rFonts w:ascii="Arial" w:hAnsi="Arial"/>
                <w:b w:val="0"/>
                <w:i w:val="0"/>
                <w:color w:val="111827"/>
                <w:sz w:val="21"/>
              </w:rPr>
              <w:t xml:space="preserve"> como condição imprescindível para a estabilidade.</w:t>
            </w:r>
          </w:p>
          <w:p>
            <w:pPr>
              <w:spacing w:line="288" w:lineRule="auto" w:before="40" w:after="40"/>
            </w:pPr>
            <w:r>
              <w:rPr>
                <w:rFonts w:ascii="Arial" w:hAnsi="Arial"/>
                <w:b w:val="0"/>
                <w:i w:val="0"/>
                <w:color w:val="111827"/>
                <w:sz w:val="21"/>
              </w:rPr>
              <w:t xml:space="preserve">- </w:t>
            </w:r>
            <w:r>
              <w:rPr>
                <w:rFonts w:ascii="Arial" w:hAnsi="Arial"/>
                <w:b w:val="0"/>
                <w:i/>
                <w:color w:val="111827"/>
                <w:sz w:val="21"/>
              </w:rPr>
              <w:t>Item III (Verdadeiro):</w:t>
            </w:r>
            <w:r>
              <w:rPr>
                <w:rFonts w:ascii="Arial" w:hAnsi="Arial"/>
                <w:b w:val="0"/>
                <w:i w:val="0"/>
                <w:color w:val="111827"/>
                <w:sz w:val="21"/>
              </w:rPr>
              <w:t xml:space="preserve"> O art. 41, § 1º, III, da CF/88 prescreve expressamente que o servidor público estável só perderá o cargo, dentre outras hipóteses, </w:t>
            </w:r>
            <w:r>
              <w:rPr>
                <w:rFonts w:ascii="Arial" w:hAnsi="Arial"/>
                <w:b w:val="0"/>
                <w:i/>
                <w:color w:val="111827"/>
                <w:sz w:val="21"/>
              </w:rPr>
              <w:t>"mediante procedimento de avaliação periódica de desempenho, na forma de lei complementar, assegurada ampla defesa"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item I é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Os itens II e III são verdadeiros.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item I é falso.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Auditor Governamental)</w:t>
      </w:r>
    </w:p>
    <w:p>
      <w:pPr>
        <w:spacing w:line="360" w:lineRule="auto" w:before="0" w:after="80"/>
        <w:jc w:val="both"/>
      </w:pPr>
      <w:r>
        <w:rPr>
          <w:rFonts w:ascii="Arial" w:hAnsi="Arial"/>
          <w:b w:val="0"/>
          <w:i w:val="0"/>
          <w:color w:val="111827"/>
          <w:sz w:val="24"/>
        </w:rPr>
        <w:t>Determinado servidor público efetivo do Tribunal de Contas estadual decidiu concorrer a mandato eletivo político, sagrando-se vitorioso nas eleições municipais para o mandato de Vereador. No caso concreto, os horários das sessões ordinárias e comissões da Câmara Municipal coincidem parcialmente com o expediente de trabalho regular desempenhado no Tribunal de Contas.</w:t>
      </w:r>
    </w:p>
    <w:p>
      <w:pPr>
        <w:spacing w:line="360" w:lineRule="auto" w:before="0" w:after="80"/>
        <w:jc w:val="both"/>
      </w:pPr>
      <w:r>
        <w:rPr>
          <w:rFonts w:ascii="Arial" w:hAnsi="Arial"/>
          <w:b w:val="0"/>
          <w:i w:val="0"/>
          <w:color w:val="111827"/>
          <w:sz w:val="24"/>
        </w:rPr>
        <w:t>De acordo com o regime constitucional do servidor em exercício de mandato eletivo (art. 38 da CF/88):</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servidor deverá obrigatoriamente renunciar ao cargo efetivo no Tribunal de Contas no ato da posse, assumindo dedicação exclusiva no parlamento.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servidor acumulará compulsoriamente os subsídios integrais de ambos os cargos, devendo cumprir sua jornada técnica em regime de plantão no final de semana.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Inexistindo compatibilidade de horários, o servidor será afastado do cargo de Técnico de Controle Externo, sendo-lhe facultado optar pela sua remuneração funcional.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tempo de exercício do mandato eletivo será computado para todos os efeitos funcionais, inclusive para promoção compulsória por merecimento.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servidor não pode assumir o mandato de Vereador sob pena de demissão imediata a bem do serviço público.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Servidor público eleito para qualquer mandato jamais é obrigado a renunciar ou perder o cargo de provimento efetivo; ele apenas se afasta das funções durante a legislatura.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percepção cumulativa das vantagens somente é admitida se houver estrita compatibilidade de horários (art. 38, III). O enunciado frisou que os horários coincidem parcialmente (incompatíveis).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De acordo com o art. 38, III, da CF/88, investido no mandato de Vereador, </w:t>
            </w:r>
            <w:r>
              <w:rPr>
                <w:rFonts w:ascii="Arial" w:hAnsi="Arial"/>
                <w:b w:val="0"/>
                <w:i/>
                <w:color w:val="111827"/>
                <w:sz w:val="21"/>
              </w:rPr>
              <w:t>"havendo compatibilidade de horários, perceberá as vantagens de seu cargo, emprego ou função, sem prejuízo da remuneração do cargo eletivo, e, não havendo compatibilidade, será aplicada a norma do inciso anterior"</w:t>
            </w:r>
            <w:r>
              <w:rPr>
                <w:rFonts w:ascii="Arial" w:hAnsi="Arial"/>
                <w:b w:val="0"/>
                <w:i w:val="0"/>
                <w:color w:val="111827"/>
                <w:sz w:val="21"/>
              </w:rPr>
              <w:t xml:space="preserve"> (ou seja, afasta-se do cargo público, sendo-lhe facultado optar pela sua remuneração).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art. 38, IV, prescreve que o tempo de serviço será contado para todos os efeitos legais, </w:t>
            </w:r>
            <w:r>
              <w:rPr>
                <w:rFonts w:ascii="Arial" w:hAnsi="Arial"/>
                <w:b/>
                <w:i w:val="0"/>
                <w:color w:val="111827"/>
                <w:sz w:val="21"/>
              </w:rPr>
              <w:t>exceto para promoção por merecimento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exercício de mandato político é um direito político fundamental plenamente assegurado aos servidores públicos.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Procuradoria Legislativa)</w:t>
      </w:r>
    </w:p>
    <w:p>
      <w:pPr>
        <w:spacing w:line="360" w:lineRule="auto" w:before="0" w:after="80"/>
        <w:jc w:val="both"/>
      </w:pPr>
      <w:r>
        <w:rPr>
          <w:rFonts w:ascii="Arial" w:hAnsi="Arial"/>
          <w:b w:val="0"/>
          <w:i w:val="0"/>
          <w:color w:val="111827"/>
          <w:sz w:val="24"/>
        </w:rPr>
        <w:t xml:space="preserve">Em tema de repartição constitucional de competências legislativas entre os entes federados, a competência para legislar sobre </w:t>
      </w:r>
      <w:r>
        <w:rPr>
          <w:rFonts w:ascii="Arial" w:hAnsi="Arial"/>
          <w:b/>
          <w:i w:val="0"/>
          <w:color w:val="111827"/>
          <w:sz w:val="24"/>
        </w:rPr>
        <w:t>Direito do Trabalho</w:t>
      </w:r>
      <w:r>
        <w:rPr>
          <w:rFonts w:ascii="Arial" w:hAnsi="Arial"/>
          <w:b w:val="0"/>
          <w:i w:val="0"/>
          <w:color w:val="111827"/>
          <w:sz w:val="24"/>
        </w:rPr>
        <w:t xml:space="preserve">, </w:t>
      </w:r>
      <w:r>
        <w:rPr>
          <w:rFonts w:ascii="Arial" w:hAnsi="Arial"/>
          <w:b/>
          <w:i w:val="0"/>
          <w:color w:val="111827"/>
          <w:sz w:val="24"/>
        </w:rPr>
        <w:t>Direito Processual</w:t>
      </w:r>
      <w:r>
        <w:rPr>
          <w:rFonts w:ascii="Arial" w:hAnsi="Arial"/>
          <w:b w:val="0"/>
          <w:i w:val="0"/>
          <w:color w:val="111827"/>
          <w:sz w:val="24"/>
        </w:rPr>
        <w:t xml:space="preserve"> e </w:t>
      </w:r>
      <w:r>
        <w:rPr>
          <w:rFonts w:ascii="Arial" w:hAnsi="Arial"/>
          <w:b/>
          <w:i w:val="0"/>
          <w:color w:val="111827"/>
          <w:sz w:val="24"/>
        </w:rPr>
        <w:t>Trânsito e Transporte</w:t>
      </w:r>
      <w:r>
        <w:rPr>
          <w:rFonts w:ascii="Arial" w:hAnsi="Arial"/>
          <w:b w:val="0"/>
          <w:i w:val="0"/>
          <w:color w:val="111827"/>
          <w:sz w:val="24"/>
        </w:rPr>
        <w:t xml:space="preserve"> pertence: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Concorrentemente à União, aos Estados e ao Distrito Federal.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Privativamente aos Estados Federados, cabendo aos Municípios suplementar as peculiaridades locais.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Privativamente à União, podendo lei complementar federal autorizar os Estados a legislar sobre questões específicas dessas matérias.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Exclusivamente à União, sendo vedada qualquer hipótese de delegação de competência aos Estados-membros.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Concorrentemente à União e aos Municípios, ficando os Estados restritos às normas de interesse regional.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Essas três matérias não integram o rol da competência concorrente do art. 24 da CF/88.</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Estados não têm competência privativa originária sobre tais matérias substantivas federais.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As matérias Direito do Trabalho e Direito Processual estão arroladas no art. 22, I, da CF/88, e Trânsito e Transporte no art. 22, XI, da CF/88, configurando competências privativas da União. O parágrafo único do art. 22 prescreve expressamente: </w:t>
            </w:r>
            <w:r>
              <w:rPr>
                <w:rFonts w:ascii="Arial" w:hAnsi="Arial"/>
                <w:b w:val="0"/>
                <w:i/>
                <w:color w:val="111827"/>
                <w:sz w:val="21"/>
              </w:rPr>
              <w:t>"Lei complementar poderá autorizar os Estados a legislar sobre questões específicas das matérias relacionadas neste artigo."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competência legislativa privativa admite delegação para questões específicas mediante Lei Complementar Federal (art. 22, parágrafo único). A indelegabilidade aplica-se às competências administrativas </w:t>
            </w:r>
            <w:r>
              <w:rPr>
                <w:rFonts w:ascii="Arial" w:hAnsi="Arial"/>
                <w:b w:val="0"/>
                <w:i/>
                <w:color w:val="111827"/>
                <w:sz w:val="21"/>
              </w:rPr>
              <w:t>exclusivas</w:t>
            </w:r>
            <w:r>
              <w:rPr>
                <w:rFonts w:ascii="Arial" w:hAnsi="Arial"/>
                <w:b w:val="0"/>
                <w:i w:val="0"/>
                <w:color w:val="111827"/>
                <w:sz w:val="21"/>
              </w:rPr>
              <w:t xml:space="preserve"> do art. 21.</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Municípios sequer participam formalmente das competências concorrentes do art. 24, e tais matérias são privativas federais.</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04 - Poder Legislativo, Processo Legislativo e Controle Externo (Arts. 70 a 75 da CF/88)</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Direito Constitucional</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04_poder_legislativo_processo_legislativo_e_fiscalizacao_tce.md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Do Poder Legislativo: estrutura bicameral federal (Câmara dos Deputados e Senado Federal) e unicameral estadual/distrital/municipal.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Atribuições do Congresso Nacional e competências privativas da Câmara dos Deputados (Art. 51) e do Senado Federal (Art. 52).</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Estatuto dos congressistas: imunidade material (inviolabilidade civil e penal) e imunidade formal/processual (prisão e prerrogativa de foro - Art. 53).</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Do processo legislativo (Artigos 59 a 69 da CF/88):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Emendas à Constituição (Art. 60): iniciativa restrita, rito qualificado de aprovação, inexistência de sanção/veto e limitações circunstanciais e materiais (cláusulas pétreas);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Leis Complementares vs. Leis Ordinárias (quórum e reserva de matéria);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Medidas Provisórias (Art. 62): pressupostos constitucionais, prazos e vedações temáticas absolutas.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Da fiscalização contábil, financeira, orçamentária, operacional e patrimonial (Artigos 70 a 75 da CF/88):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Controle externo titularizado pelo Poder Legislativo com auxílio do Tribunal de Contas;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Competências do Tribunal de Contas (Art. 71 da CF/88);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Duplo regime de contas: Contas de Governo (parecer prévio opinativo) vs. Contas de Gestão/Ordenadores de Despesa (julgamento técnico definitivo);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Julgamento das contas de Prefeito Municipal (Art. 31, § 2º e Tema 835 do STF);</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Sustação de atos administrativos ilegais vs. sustação de contratos administrativos (Art. 71, X e §§ 1º e 2º);</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Eficácia de título executivo extrajudicial das decisões do Tribunal de Contas (Art. 71, § 3º da CF/88);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Princípio da simetria constitucional (Art. 75 da CF/88) e o Ministério Público de Contas (Art. 130 da CF/88).</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1B365D"/>
          <w:sz w:val="22"/>
        </w:rPr>
        <w:t xml:space="preserve">1. </w:t>
      </w:r>
      <w:r>
        <w:rPr>
          <w:rFonts w:ascii="Arial" w:hAnsi="Arial"/>
          <w:color w:val="2B6CB0"/>
          <w:sz w:val="22"/>
          <w:u w:val="single"/>
        </w:rPr>
        <w:t>Estrutura Bicameral e Atribuições das Casas Legislativas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1.1 </w:t>
      </w:r>
      <w:r>
        <w:rPr>
          <w:rFonts w:ascii="Arial" w:hAnsi="Arial"/>
          <w:color w:val="2B6CB0"/>
          <w:sz w:val="22"/>
          <w:u w:val="single"/>
        </w:rPr>
        <w:t>Modelo Bicameral Federal e Unicameral Estadual/Municipal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1.2 </w:t>
      </w:r>
      <w:r>
        <w:rPr>
          <w:rFonts w:ascii="Arial" w:hAnsi="Arial"/>
          <w:color w:val="2B6CB0"/>
          <w:sz w:val="22"/>
          <w:u w:val="single"/>
        </w:rPr>
        <w:t>Repartição de Competências no Congresso Nacional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1.3 </w:t>
      </w:r>
      <w:r>
        <w:rPr>
          <w:rFonts w:ascii="Arial" w:hAnsi="Arial"/>
          <w:color w:val="2B6CB0"/>
          <w:sz w:val="22"/>
          <w:u w:val="single"/>
        </w:rPr>
        <w:t>Estatuto dos Congressistas e Imunidades Parlamentares</w:t>
      </w:r>
    </w:p>
    <w:p>
      <w:pPr>
        <w:spacing w:line="276" w:lineRule="auto" w:before="20" w:after="40"/>
        <w:ind w:left="425"/>
      </w:pPr>
      <w:r>
        <w:rPr>
          <w:rFonts w:ascii="Arial" w:hAnsi="Arial"/>
          <w:b/>
          <w:color w:val="1B365D"/>
          <w:sz w:val="22"/>
        </w:rPr>
        <w:t xml:space="preserve">2. </w:t>
      </w:r>
      <w:r>
        <w:rPr>
          <w:rFonts w:ascii="Arial" w:hAnsi="Arial"/>
          <w:color w:val="2B6CB0"/>
          <w:sz w:val="22"/>
          <w:u w:val="single"/>
        </w:rPr>
        <w:t>O Processo Legislativo Constitucional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2.1 </w:t>
      </w:r>
      <w:r>
        <w:rPr>
          <w:rFonts w:ascii="Arial" w:hAnsi="Arial"/>
          <w:color w:val="2B6CB0"/>
          <w:sz w:val="22"/>
          <w:u w:val="single"/>
        </w:rPr>
        <w:t>Emendas à Constituição (Art. 60) e Limitações ao Poder de Reforma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2.2 </w:t>
      </w:r>
      <w:r>
        <w:rPr>
          <w:rFonts w:ascii="Arial" w:hAnsi="Arial"/>
          <w:color w:val="2B6CB0"/>
          <w:sz w:val="22"/>
          <w:u w:val="single"/>
        </w:rPr>
        <w:t>Leis Complementares versus Leis Ordinárias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2.3 </w:t>
      </w:r>
      <w:r>
        <w:rPr>
          <w:rFonts w:ascii="Arial" w:hAnsi="Arial"/>
          <w:color w:val="2B6CB0"/>
          <w:sz w:val="22"/>
          <w:u w:val="single"/>
        </w:rPr>
        <w:t>Medidas Provisórias (Art. 62): Prazos e Vedações Temáticas</w:t>
      </w:r>
    </w:p>
    <w:p>
      <w:pPr>
        <w:spacing w:line="276" w:lineRule="auto" w:before="20" w:after="40"/>
        <w:ind w:left="425"/>
      </w:pPr>
      <w:r>
        <w:rPr>
          <w:rFonts w:ascii="Arial" w:hAnsi="Arial"/>
          <w:b/>
          <w:color w:val="1B365D"/>
          <w:sz w:val="22"/>
        </w:rPr>
        <w:t xml:space="preserve">3. </w:t>
      </w:r>
      <w:r>
        <w:rPr>
          <w:rFonts w:ascii="Arial" w:hAnsi="Arial"/>
          <w:color w:val="2B6CB0"/>
          <w:sz w:val="22"/>
          <w:u w:val="single"/>
        </w:rPr>
        <w:t>Fiscalização e Controle Externo pelos Tribunais de Contas (Arts. 70 a 75)</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3.1 </w:t>
      </w:r>
      <w:r>
        <w:rPr>
          <w:rFonts w:ascii="Arial" w:hAnsi="Arial"/>
          <w:color w:val="2B6CB0"/>
          <w:sz w:val="22"/>
          <w:u w:val="single"/>
        </w:rPr>
        <w:t>Abrangência e Critérios da Fiscalização Financeira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3.2 </w:t>
      </w:r>
      <w:r>
        <w:rPr>
          <w:rFonts w:ascii="Arial" w:hAnsi="Arial"/>
          <w:color w:val="2B6CB0"/>
          <w:sz w:val="22"/>
          <w:u w:val="single"/>
        </w:rPr>
        <w:t>O Julgamento de Contas Públicas: Contas de Governo versus Contas de Gestão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3.3 </w:t>
      </w:r>
      <w:r>
        <w:rPr>
          <w:rFonts w:ascii="Arial" w:hAnsi="Arial"/>
          <w:color w:val="2B6CB0"/>
          <w:sz w:val="22"/>
          <w:u w:val="single"/>
        </w:rPr>
        <w:t>Sustação de Atos Ilegais versus Sustação de Contratos Administrativos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3.4 </w:t>
      </w:r>
      <w:r>
        <w:rPr>
          <w:rFonts w:ascii="Arial" w:hAnsi="Arial"/>
          <w:color w:val="2B6CB0"/>
          <w:sz w:val="22"/>
          <w:u w:val="single"/>
        </w:rPr>
        <w:t>Eficácia das Decisões Condenatórias e Título Executivo Extrajudicial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3.5 </w:t>
      </w:r>
      <w:r>
        <w:rPr>
          <w:rFonts w:ascii="Arial" w:hAnsi="Arial"/>
          <w:color w:val="2B6CB0"/>
          <w:sz w:val="22"/>
          <w:u w:val="single"/>
        </w:rPr>
        <w:t>Simetria Federativa (Art. 75) e o Ministério Público de Contas (Art. 130)</w:t>
      </w:r>
    </w:p>
    <w:p>
      <w:pPr>
        <w:spacing w:line="276" w:lineRule="auto" w:before="20" w:after="40"/>
        <w:ind w:left="425"/>
      </w:pPr>
      <w:r>
        <w:rPr>
          <w:rFonts w:ascii="Arial" w:hAnsi="Arial"/>
          <w:b/>
          <w:color w:val="1B365D"/>
          <w:sz w:val="22"/>
        </w:rPr>
        <w:t xml:space="preserve">4. </w:t>
      </w:r>
      <w:r>
        <w:rPr>
          <w:rFonts w:ascii="Arial" w:hAnsi="Arial"/>
          <w:color w:val="2B6CB0"/>
          <w:sz w:val="22"/>
          <w:u w:val="single"/>
        </w:rPr>
        <w:t>Fontes Oficiais &amp; Jurisprudenciais Recomendadas</w:t>
      </w:r>
    </w:p>
    <w:p>
      <w:pPr>
        <w:spacing w:line="276" w:lineRule="auto" w:before="20" w:after="40"/>
        <w:ind w:left="425"/>
      </w:pPr>
      <w:r>
        <w:rPr>
          <w:rFonts w:ascii="Arial" w:hAnsi="Arial"/>
          <w:b/>
          <w:color w:val="1B365D"/>
          <w:sz w:val="22"/>
        </w:rPr>
        <w:t xml:space="preserve">5. </w:t>
      </w:r>
      <w:r>
        <w:rPr>
          <w:rFonts w:ascii="Arial" w:hAnsi="Arial"/>
          <w:color w:val="2B6CB0"/>
          <w:sz w:val="22"/>
          <w:u w:val="single"/>
        </w:rPr>
        <w:t>Questões Comentadas no Padrão FCC (Justificadas de A a E)</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Estrutura Bicameral e Atribuições das Casas Legislativas</w:t>
      </w:r>
    </w:p>
    <w:p>
      <w:pPr>
        <w:spacing w:line="360" w:lineRule="auto" w:before="0" w:after="80"/>
        <w:jc w:val="both"/>
      </w:pPr>
      <w:r>
        <w:rPr>
          <w:rFonts w:ascii="Arial" w:hAnsi="Arial"/>
          <w:b w:val="0"/>
          <w:i w:val="0"/>
          <w:color w:val="111827"/>
          <w:sz w:val="24"/>
        </w:rPr>
        <w:t>O Poder Legislativo da União é exercido pelo Congresso Nacional, que se compõe da Câmara dos Deputados e do Senado Federal (modelo bicameral federativo):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Câmara dos Deputados (Art. 45):</w:t>
      </w:r>
      <w:r>
        <w:rPr>
          <w:rFonts w:ascii="Arial" w:hAnsi="Arial"/>
          <w:b w:val="0"/>
          <w:i w:val="0"/>
          <w:color w:val="111827"/>
          <w:sz w:val="22"/>
        </w:rPr>
        <w:t xml:space="preserve"> Representa o </w:t>
      </w:r>
      <w:r>
        <w:rPr>
          <w:rFonts w:ascii="Arial" w:hAnsi="Arial"/>
          <w:b/>
          <w:i w:val="0"/>
          <w:color w:val="111827"/>
          <w:sz w:val="22"/>
        </w:rPr>
        <w:t>povo brasileiro</w:t>
      </w:r>
      <w:r>
        <w:rPr>
          <w:rFonts w:ascii="Arial" w:hAnsi="Arial"/>
          <w:b w:val="0"/>
          <w:i w:val="0"/>
          <w:color w:val="111827"/>
          <w:sz w:val="22"/>
        </w:rPr>
        <w:t xml:space="preserve">. Os deputados são eleitos pelo sistema eleitoral proporcional, para mandato de </w:t>
      </w:r>
      <w:r>
        <w:rPr>
          <w:rFonts w:ascii="Arial" w:hAnsi="Arial"/>
          <w:b/>
          <w:i w:val="0"/>
          <w:color w:val="111827"/>
          <w:sz w:val="22"/>
        </w:rPr>
        <w:t>4 anos</w:t>
      </w:r>
      <w:r>
        <w:rPr>
          <w:rFonts w:ascii="Arial" w:hAnsi="Arial"/>
          <w:b w:val="0"/>
          <w:i w:val="0"/>
          <w:color w:val="111827"/>
          <w:sz w:val="22"/>
        </w:rPr>
        <w:t xml:space="preserve"> (uma legislatura). O número total de deputados por Estado e DF é proporcional à população, com piso mínimo de </w:t>
      </w:r>
      <w:r>
        <w:rPr>
          <w:rFonts w:ascii="Arial" w:hAnsi="Arial"/>
          <w:b/>
          <w:i w:val="0"/>
          <w:color w:val="111827"/>
          <w:sz w:val="22"/>
        </w:rPr>
        <w:t>8</w:t>
      </w:r>
      <w:r>
        <w:rPr>
          <w:rFonts w:ascii="Arial" w:hAnsi="Arial"/>
          <w:b w:val="0"/>
          <w:i w:val="0"/>
          <w:color w:val="111827"/>
          <w:sz w:val="22"/>
        </w:rPr>
        <w:t xml:space="preserve"> e teto máximo de </w:t>
      </w:r>
      <w:r>
        <w:rPr>
          <w:rFonts w:ascii="Arial" w:hAnsi="Arial"/>
          <w:b/>
          <w:i w:val="0"/>
          <w:color w:val="111827"/>
          <w:sz w:val="22"/>
        </w:rPr>
        <w:t>70 deputados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Senado Federal (Art. 46):</w:t>
      </w:r>
      <w:r>
        <w:rPr>
          <w:rFonts w:ascii="Arial" w:hAnsi="Arial"/>
          <w:b w:val="0"/>
          <w:i w:val="0"/>
          <w:color w:val="111827"/>
          <w:sz w:val="22"/>
        </w:rPr>
        <w:t xml:space="preserve"> Representa os </w:t>
      </w:r>
      <w:r>
        <w:rPr>
          <w:rFonts w:ascii="Arial" w:hAnsi="Arial"/>
          <w:b/>
          <w:i w:val="0"/>
          <w:color w:val="111827"/>
          <w:sz w:val="22"/>
        </w:rPr>
        <w:t>Estados e o Distrito Federal</w:t>
      </w:r>
      <w:r>
        <w:rPr>
          <w:rFonts w:ascii="Arial" w:hAnsi="Arial"/>
          <w:b w:val="0"/>
          <w:i w:val="0"/>
          <w:color w:val="111827"/>
          <w:sz w:val="22"/>
        </w:rPr>
        <w:t xml:space="preserve">. Cada unidade federada elege </w:t>
      </w:r>
      <w:r>
        <w:rPr>
          <w:rFonts w:ascii="Arial" w:hAnsi="Arial"/>
          <w:b/>
          <w:i w:val="0"/>
          <w:color w:val="111827"/>
          <w:sz w:val="22"/>
        </w:rPr>
        <w:t>3 senadores</w:t>
      </w:r>
      <w:r>
        <w:rPr>
          <w:rFonts w:ascii="Arial" w:hAnsi="Arial"/>
          <w:b w:val="0"/>
          <w:i w:val="0"/>
          <w:color w:val="111827"/>
          <w:sz w:val="22"/>
        </w:rPr>
        <w:t xml:space="preserve">, pelo sistema majoritário, com mandato de </w:t>
      </w:r>
      <w:r>
        <w:rPr>
          <w:rFonts w:ascii="Arial" w:hAnsi="Arial"/>
          <w:b/>
          <w:i w:val="0"/>
          <w:color w:val="111827"/>
          <w:sz w:val="22"/>
        </w:rPr>
        <w:t>8 anos</w:t>
      </w:r>
      <w:r>
        <w:rPr>
          <w:rFonts w:ascii="Arial" w:hAnsi="Arial"/>
          <w:b w:val="0"/>
          <w:i w:val="0"/>
          <w:color w:val="111827"/>
          <w:sz w:val="22"/>
        </w:rPr>
        <w:t xml:space="preserve"> (duas legislaturas). A representação é renovada de quatro em quatro anos, alternadamente, por </w:t>
      </w:r>
      <w:r>
        <w:rPr>
          <w:rFonts w:ascii="Arial" w:hAnsi="Arial"/>
          <w:b/>
          <w:i w:val="0"/>
          <w:color w:val="111827"/>
          <w:sz w:val="22"/>
        </w:rPr>
        <w:t>um terço (1/3)</w:t>
      </w:r>
      <w:r>
        <w:rPr>
          <w:rFonts w:ascii="Arial" w:hAnsi="Arial"/>
          <w:b w:val="0"/>
          <w:i w:val="0"/>
          <w:color w:val="111827"/>
          <w:sz w:val="22"/>
        </w:rPr>
        <w:t xml:space="preserve"> e </w:t>
      </w:r>
      <w:r>
        <w:rPr>
          <w:rFonts w:ascii="Arial" w:hAnsi="Arial"/>
          <w:b/>
          <w:i w:val="0"/>
          <w:color w:val="111827"/>
          <w:sz w:val="22"/>
        </w:rPr>
        <w:t>dois terços (2/3)</w:t>
      </w:r>
      <w:r>
        <w:rPr>
          <w:rFonts w:ascii="Arial" w:hAnsi="Arial"/>
          <w:b w:val="0"/>
          <w:i w:val="0"/>
          <w:color w:val="111827"/>
          <w:sz w:val="22"/>
        </w:rPr>
        <w:t>.</w:t>
      </w:r>
    </w:p>
    <w:p>
      <w:pPr>
        <w:spacing w:after="120"/>
      </w:pPr>
    </w:p>
    <w:p>
      <w:pPr>
        <w:keepNext/>
        <w:spacing w:before="120" w:after="40"/>
      </w:pPr>
      <w:r>
        <w:rPr>
          <w:rFonts w:ascii="Arial" w:hAnsi="Arial"/>
          <w:b/>
          <w:i/>
          <w:color w:val="334155"/>
          <w:sz w:val="22"/>
        </w:rPr>
        <w:t>1.1 Modelo Bicameral Federal e Unicameral Estadual/Municipal</w:t>
      </w:r>
    </w:p>
    <w:p>
      <w:pPr>
        <w:spacing w:line="360" w:lineRule="auto" w:before="0" w:after="80"/>
        <w:jc w:val="both"/>
      </w:pPr>
      <w:r>
        <w:rPr>
          <w:rFonts w:ascii="Arial" w:hAnsi="Arial"/>
          <w:b w:val="0"/>
          <w:i w:val="0"/>
          <w:color w:val="111827"/>
          <w:sz w:val="24"/>
        </w:rPr>
        <w:t xml:space="preserve">Enquanto na esfera federal vigora o bicameralismo, nos demais entes da Federação o Poder Legislativo adota compulsoriamente a estrutura </w:t>
      </w:r>
      <w:r>
        <w:rPr>
          <w:rFonts w:ascii="Arial" w:hAnsi="Arial"/>
          <w:b/>
          <w:i w:val="0"/>
          <w:color w:val="111827"/>
          <w:sz w:val="24"/>
        </w:rPr>
        <w:t>unicameral</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Estados-Membros:</w:t>
      </w:r>
      <w:r>
        <w:rPr>
          <w:rFonts w:ascii="Arial" w:hAnsi="Arial"/>
          <w:b w:val="0"/>
          <w:i w:val="0"/>
          <w:color w:val="111827"/>
          <w:sz w:val="22"/>
        </w:rPr>
        <w:t xml:space="preserve"> Assembleias Legislativas, compostas por Deputados Estaduais (art. 27);</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Distrito Federal:</w:t>
      </w:r>
      <w:r>
        <w:rPr>
          <w:rFonts w:ascii="Arial" w:hAnsi="Arial"/>
          <w:b w:val="0"/>
          <w:i w:val="0"/>
          <w:color w:val="111827"/>
          <w:sz w:val="22"/>
        </w:rPr>
        <w:t xml:space="preserve"> Câmara Legislativa do Distrito Federal, composta por Deputados Distritais (art. 32, § 2º);</w:t>
      </w:r>
    </w:p>
    <w:p>
      <w:pPr>
        <w:spacing w:line="276" w:lineRule="auto" w:before="20" w:after="40"/>
        <w:ind w:left="425"/>
      </w:pPr>
      <w:r>
        <w:rPr>
          <w:rFonts w:ascii="Arial" w:hAnsi="Arial"/>
          <w:b/>
          <w:color w:val="2B6CB0"/>
          <w:sz w:val="22"/>
        </w:rPr>
        <w:t xml:space="preserve">• </w:t>
      </w:r>
      <w:r>
        <w:rPr>
          <w:rFonts w:ascii="Arial" w:hAnsi="Arial"/>
          <w:b/>
          <w:i w:val="0"/>
          <w:color w:val="111827"/>
          <w:sz w:val="22"/>
        </w:rPr>
        <w:t>Municípios:</w:t>
      </w:r>
      <w:r>
        <w:rPr>
          <w:rFonts w:ascii="Arial" w:hAnsi="Arial"/>
          <w:b w:val="0"/>
          <w:i w:val="0"/>
          <w:color w:val="111827"/>
          <w:sz w:val="22"/>
        </w:rPr>
        <w:t xml:space="preserve"> Câmaras Municipais, compostas por Vereadores (art. 29, IV).</w:t>
      </w:r>
    </w:p>
    <w:p>
      <w:pPr>
        <w:keepNext/>
        <w:spacing w:before="120" w:after="40"/>
      </w:pPr>
      <w:r>
        <w:rPr>
          <w:rFonts w:ascii="Arial" w:hAnsi="Arial"/>
          <w:b/>
          <w:i/>
          <w:color w:val="334155"/>
          <w:sz w:val="22"/>
        </w:rPr>
        <w:t>1.2 Repartição de Competências no Congresso Nacional</w:t>
      </w:r>
    </w:p>
    <w:p>
      <w:pPr>
        <w:spacing w:line="360" w:lineRule="auto" w:before="0" w:after="80"/>
        <w:jc w:val="both"/>
      </w:pPr>
      <w:r>
        <w:rPr>
          <w:rFonts w:ascii="Arial" w:hAnsi="Arial"/>
          <w:b w:val="0"/>
          <w:i w:val="0"/>
          <w:color w:val="111827"/>
          <w:sz w:val="24"/>
        </w:rPr>
        <w:t>É fundamental distinguir os três tipos de atribuições legislativas federais: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Competências com Sanção Presidencial (Art. 48):</w:t>
      </w:r>
      <w:r>
        <w:rPr>
          <w:rFonts w:ascii="Arial" w:hAnsi="Arial"/>
          <w:b w:val="0"/>
          <w:i w:val="0"/>
          <w:color w:val="111827"/>
          <w:sz w:val="22"/>
        </w:rPr>
        <w:t xml:space="preserve"> Matérias deliberadas pelo Congresso Nacional que geram leis e demandam envio ao Presidente da República para sanção ou veto (ex.: sistema tributário, planos orçamentários, criação e extinção de cargos públicos).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Competências Exclusivas do Congresso Nacional sem Sanção (Art. 49):</w:t>
      </w:r>
      <w:r>
        <w:rPr>
          <w:rFonts w:ascii="Arial" w:hAnsi="Arial"/>
          <w:b w:val="0"/>
          <w:i w:val="0"/>
          <w:color w:val="111827"/>
          <w:sz w:val="22"/>
        </w:rPr>
        <w:t xml:space="preserve"> Deliberadas em sessão conjunta ou separada e formalizadas por </w:t>
      </w:r>
      <w:r>
        <w:rPr>
          <w:rFonts w:ascii="Arial" w:hAnsi="Arial"/>
          <w:b/>
          <w:i w:val="0"/>
          <w:color w:val="111827"/>
          <w:sz w:val="22"/>
        </w:rPr>
        <w:t>Decreto Legislativo</w:t>
      </w:r>
      <w:r>
        <w:rPr>
          <w:rFonts w:ascii="Arial" w:hAnsi="Arial"/>
          <w:b w:val="0"/>
          <w:i w:val="0"/>
          <w:color w:val="111827"/>
          <w:sz w:val="22"/>
        </w:rPr>
        <w:t>, sem qualquer interferência presidencial (ex.: sustar atos normativos do Executivo que exorbitem do poder regulamentar; autorizar o Presidente a declarar guerra ou celebrar a paz; julgar anualmente as contas prestadas pelo Presidente da República).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Competências Privativas de Cada Casa (Arts. 51 e 52):</w:t>
      </w:r>
      <w:r>
        <w:rPr>
          <w:rFonts w:ascii="Arial" w:hAnsi="Arial"/>
          <w:b w:val="0"/>
          <w:i w:val="0"/>
          <w:color w:val="111827"/>
          <w:sz w:val="22"/>
        </w:rPr>
        <w:t xml:space="preserve"> Formalizadas por </w:t>
      </w:r>
      <w:r>
        <w:rPr>
          <w:rFonts w:ascii="Arial" w:hAnsi="Arial"/>
          <w:b/>
          <w:i w:val="0"/>
          <w:color w:val="111827"/>
          <w:sz w:val="22"/>
        </w:rPr>
        <w:t>Resolução</w:t>
      </w:r>
      <w:r>
        <w:rPr>
          <w:rFonts w:ascii="Arial" w:hAnsi="Arial"/>
          <w:b w:val="0"/>
          <w:i w:val="0"/>
          <w:color w:val="111827"/>
          <w:sz w:val="22"/>
        </w:rPr>
        <w:t>, sem envio ao Presidente:</w:t>
      </w:r>
    </w:p>
    <w:p>
      <w:pPr>
        <w:spacing w:line="276" w:lineRule="auto" w:before="20" w:after="40"/>
        <w:ind w:left="992"/>
      </w:pPr>
      <w:r>
        <w:rPr>
          <w:rFonts w:ascii="Arial" w:hAnsi="Arial"/>
          <w:b/>
          <w:color w:val="2B6CB0"/>
          <w:sz w:val="22"/>
        </w:rPr>
        <w:t xml:space="preserve">• </w:t>
      </w:r>
      <w:r>
        <w:rPr>
          <w:rFonts w:ascii="Arial" w:hAnsi="Arial"/>
          <w:b w:val="0"/>
          <w:i/>
          <w:color w:val="111827"/>
          <w:sz w:val="22"/>
        </w:rPr>
        <w:t>Câmara dos Deputados (Art. 51, I):</w:t>
      </w:r>
      <w:r>
        <w:rPr>
          <w:rFonts w:ascii="Arial" w:hAnsi="Arial"/>
          <w:b w:val="0"/>
          <w:i w:val="0"/>
          <w:color w:val="111827"/>
          <w:sz w:val="22"/>
        </w:rPr>
        <w:t xml:space="preserve"> Autorizar, por </w:t>
      </w:r>
      <w:r>
        <w:rPr>
          <w:rFonts w:ascii="Arial" w:hAnsi="Arial"/>
          <w:b/>
          <w:i w:val="0"/>
          <w:color w:val="111827"/>
          <w:sz w:val="22"/>
        </w:rPr>
        <w:t>dois terços</w:t>
      </w:r>
      <w:r>
        <w:rPr>
          <w:rFonts w:ascii="Arial" w:hAnsi="Arial"/>
          <w:b w:val="0"/>
          <w:i w:val="0"/>
          <w:color w:val="111827"/>
          <w:sz w:val="22"/>
        </w:rPr>
        <w:t xml:space="preserve"> de seus membros, a instauração de processo contra o Presidente e o Vice-Presidente da República e os Ministros de Estado.</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Senado Federal (Art. 52, I e II):</w:t>
      </w:r>
      <w:r>
        <w:rPr>
          <w:rFonts w:ascii="Arial" w:hAnsi="Arial"/>
          <w:b w:val="0"/>
          <w:i w:val="0"/>
          <w:color w:val="111827"/>
          <w:sz w:val="22"/>
        </w:rPr>
        <w:t xml:space="preserve"> Processar e julgar o Presidente e Vice-Presidente nos </w:t>
      </w:r>
      <w:r>
        <w:rPr>
          <w:rFonts w:ascii="Arial" w:hAnsi="Arial"/>
          <w:b/>
          <w:i w:val="0"/>
          <w:color w:val="111827"/>
          <w:sz w:val="22"/>
        </w:rPr>
        <w:t>crimes de responsabilidade</w:t>
      </w:r>
      <w:r>
        <w:rPr>
          <w:rFonts w:ascii="Arial" w:hAnsi="Arial"/>
          <w:b w:val="0"/>
          <w:i w:val="0"/>
          <w:color w:val="111827"/>
          <w:sz w:val="22"/>
        </w:rPr>
        <w:t>, bem como os Ministros do STF, os membros do CNJ e CNMP, o Procurador-Geral da República e o Advogado-Geral da União; sabatinar e aprovar a escolha de magistrados, Ministros do TCU e chefes de missão diplomática; suspender a execução, no todo ou em parte, de lei declarada inconstitucional por decisão definitiva do STF em controle difuso.</w:t>
      </w:r>
    </w:p>
    <w:p>
      <w:pPr>
        <w:keepNext/>
        <w:spacing w:before="120" w:after="40"/>
      </w:pPr>
      <w:r>
        <w:rPr>
          <w:rFonts w:ascii="Arial" w:hAnsi="Arial"/>
          <w:b/>
          <w:i/>
          <w:color w:val="334155"/>
          <w:sz w:val="22"/>
        </w:rPr>
        <w:t>1.3 Estatuto dos Congressistas e Imunidades Parlamentares</w:t>
      </w:r>
    </w:p>
    <w:p>
      <w:pPr>
        <w:spacing w:line="360" w:lineRule="auto" w:before="0" w:after="80"/>
        <w:jc w:val="both"/>
      </w:pPr>
      <w:r>
        <w:rPr>
          <w:rFonts w:ascii="Arial" w:hAnsi="Arial"/>
          <w:b w:val="0"/>
          <w:i w:val="0"/>
          <w:color w:val="111827"/>
          <w:sz w:val="24"/>
        </w:rPr>
        <w:t>O art. 53 da Constituição consagra o plexo de garantias institucionais dos membros do Congresso Nacional: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Imunidade Material (Real ou Substantiva):</w:t>
      </w:r>
      <w:r>
        <w:rPr>
          <w:rFonts w:ascii="Arial" w:hAnsi="Arial"/>
          <w:b w:val="0"/>
          <w:i w:val="0"/>
          <w:color w:val="111827"/>
          <w:sz w:val="22"/>
        </w:rPr>
        <w:t xml:space="preserve"> Os Deputados e Senadores são invioláveis, civil e penalmente, por quaisquer de suas opiniões, palavras e votos. Exige conexão (nexo de causalidade) com o desempenho das funções parlamentares, sendo absoluta quando manifestada dentro do recinto do parlamento.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Imunidade Formal (Processual) quanto à Prisão (Art. 53, § 2º):</w:t>
      </w:r>
      <w:r>
        <w:rPr>
          <w:rFonts w:ascii="Arial" w:hAnsi="Arial"/>
          <w:b w:val="0"/>
          <w:i w:val="0"/>
          <w:color w:val="111827"/>
          <w:sz w:val="22"/>
        </w:rPr>
        <w:t xml:space="preserve"> Desde a expedição do diploma, os membros do Congresso Nacional </w:t>
      </w:r>
      <w:r>
        <w:rPr>
          <w:rFonts w:ascii="Arial" w:hAnsi="Arial"/>
          <w:b/>
          <w:i w:val="0"/>
          <w:color w:val="111827"/>
          <w:sz w:val="22"/>
        </w:rPr>
        <w:t>não poderão ser presos</w:t>
      </w:r>
      <w:r>
        <w:rPr>
          <w:rFonts w:ascii="Arial" w:hAnsi="Arial"/>
          <w:b w:val="0"/>
          <w:i w:val="0"/>
          <w:color w:val="111827"/>
          <w:sz w:val="22"/>
        </w:rPr>
        <w:t>, salvo em flagrante de crime inafiançável. Nesse caso, os autos serão remetidos dentro de vinte e quatro horas à Casa respectiva, para que, pelo voto da maioria de seus membros, resolva sobre a prisão.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Foro por Prerrogativa de Função (Art. 53, § 1º):</w:t>
      </w:r>
      <w:r>
        <w:rPr>
          <w:rFonts w:ascii="Arial" w:hAnsi="Arial"/>
          <w:b w:val="0"/>
          <w:i w:val="0"/>
          <w:color w:val="111827"/>
          <w:sz w:val="22"/>
        </w:rPr>
        <w:t xml:space="preserve"> Os Deputados e Senadores serão submetidos a julgamento perante o STF desde a expedição do diploma. Conforme tese firmada pelo STF na AP 937 e reafirmada pelo plenário, o foro especial aplica-se apenas aos crimes cometidos durante o exercício do mandato e relacionados com as funções parlamentares.</w:t>
      </w:r>
    </w:p>
    <w:p>
      <w:pPr>
        <w:keepNext/>
        <w:spacing w:before="200" w:after="80"/>
      </w:pPr>
      <w:r>
        <w:rPr>
          <w:rFonts w:ascii="Arial" w:hAnsi="Arial"/>
          <w:b/>
          <w:i w:val="0"/>
          <w:color w:val="2B6CB0"/>
          <w:sz w:val="24"/>
        </w:rPr>
        <w:t>2. O Processo Legislativo Constitucional</w:t>
      </w:r>
    </w:p>
    <w:p>
      <w:pPr>
        <w:keepNext/>
        <w:spacing w:before="120" w:after="40"/>
      </w:pPr>
      <w:r>
        <w:rPr>
          <w:rFonts w:ascii="Arial" w:hAnsi="Arial"/>
          <w:b/>
          <w:i/>
          <w:color w:val="334155"/>
          <w:sz w:val="22"/>
        </w:rPr>
        <w:t>2.1 Emendas à Constituição (Art. 60) e Limitações ao Poder de Reforma</w:t>
      </w:r>
    </w:p>
    <w:p>
      <w:pPr>
        <w:spacing w:line="360" w:lineRule="auto" w:before="0" w:after="80"/>
        <w:jc w:val="both"/>
      </w:pPr>
      <w:r>
        <w:rPr>
          <w:rFonts w:ascii="Arial" w:hAnsi="Arial"/>
          <w:b w:val="0"/>
          <w:i w:val="0"/>
          <w:color w:val="111827"/>
          <w:sz w:val="24"/>
        </w:rPr>
        <w:t xml:space="preserve">As Emendas Constitucionais manifestam o exercício do </w:t>
      </w:r>
      <w:r>
        <w:rPr>
          <w:rFonts w:ascii="Arial" w:hAnsi="Arial"/>
          <w:b/>
          <w:i w:val="0"/>
          <w:color w:val="111827"/>
          <w:sz w:val="24"/>
        </w:rPr>
        <w:t>Poder Constituinte Derivado Reformador</w:t>
      </w:r>
      <w:r>
        <w:rPr>
          <w:rFonts w:ascii="Arial" w:hAnsi="Arial"/>
          <w:b w:val="0"/>
          <w:i w:val="0"/>
          <w:color w:val="111827"/>
          <w:sz w:val="24"/>
        </w:rPr>
        <w:t>, sujeitando-se a limites formais e materiais rigorosos.</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1. </w:t>
            </w:r>
            <w:r>
              <w:rPr>
                <w:rFonts w:ascii="Arial" w:hAnsi="Arial"/>
                <w:b/>
                <w:i w:val="0"/>
                <w:color w:val="111827"/>
                <w:sz w:val="21"/>
              </w:rPr>
              <w:t>Iniciativa Popular de PEC:</w:t>
            </w:r>
            <w:r>
              <w:rPr>
                <w:rFonts w:ascii="Arial" w:hAnsi="Arial"/>
                <w:b w:val="0"/>
                <w:i w:val="0"/>
                <w:color w:val="111827"/>
                <w:sz w:val="21"/>
              </w:rPr>
              <w:t xml:space="preserve"> NÃO existe iniciativa popular para propor Emenda à Constituição! A iniciativa popular no Brasil (art. 61, § 2º) é restrita a projetos de </w:t>
            </w:r>
            <w:r>
              <w:rPr>
                <w:rFonts w:ascii="Arial" w:hAnsi="Arial"/>
                <w:b/>
                <w:i w:val="0"/>
                <w:color w:val="111827"/>
                <w:sz w:val="21"/>
              </w:rPr>
              <w:t>lei ordinária</w:t>
            </w:r>
            <w:r>
              <w:rPr>
                <w:rFonts w:ascii="Arial" w:hAnsi="Arial"/>
                <w:b w:val="0"/>
                <w:i w:val="0"/>
                <w:color w:val="111827"/>
                <w:sz w:val="21"/>
              </w:rPr>
              <w:t xml:space="preserve"> e </w:t>
            </w:r>
            <w:r>
              <w:rPr>
                <w:rFonts w:ascii="Arial" w:hAnsi="Arial"/>
                <w:b/>
                <w:i w:val="0"/>
                <w:color w:val="111827"/>
                <w:sz w:val="21"/>
              </w:rPr>
              <w:t>lei complementar</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2. </w:t>
            </w:r>
            <w:r>
              <w:rPr>
                <w:rFonts w:ascii="Arial" w:hAnsi="Arial"/>
                <w:b/>
                <w:i w:val="0"/>
                <w:color w:val="111827"/>
                <w:sz w:val="21"/>
              </w:rPr>
              <w:t>Sanção e Veto Presidencial:</w:t>
            </w:r>
            <w:r>
              <w:rPr>
                <w:rFonts w:ascii="Arial" w:hAnsi="Arial"/>
                <w:b w:val="0"/>
                <w:i w:val="0"/>
                <w:color w:val="111827"/>
                <w:sz w:val="21"/>
              </w:rPr>
              <w:t xml:space="preserve"> O Presidente da República </w:t>
            </w:r>
            <w:r>
              <w:rPr>
                <w:rFonts w:ascii="Arial" w:hAnsi="Arial"/>
                <w:b/>
                <w:i w:val="0"/>
                <w:color w:val="111827"/>
                <w:sz w:val="21"/>
              </w:rPr>
              <w:t>NÃO sanciona nem veta</w:t>
            </w:r>
            <w:r>
              <w:rPr>
                <w:rFonts w:ascii="Arial" w:hAnsi="Arial"/>
                <w:b w:val="0"/>
                <w:i w:val="0"/>
                <w:color w:val="111827"/>
                <w:sz w:val="21"/>
              </w:rPr>
              <w:t xml:space="preserve"> Emendas à Constituição. Uma vez aprovada por 3/5 em dois turnos na Câmara e no Senado, a PEC é promulgada diretamente pelas Mesas da Câmara dos Deputados e do Senado Federal.</w:t>
            </w:r>
          </w:p>
          <w:p>
            <w:pPr>
              <w:spacing w:line="288" w:lineRule="auto" w:before="40" w:after="40"/>
            </w:pPr>
            <w:r>
              <w:rPr>
                <w:rFonts w:ascii="Arial" w:hAnsi="Arial"/>
                <w:b w:val="0"/>
                <w:i w:val="0"/>
                <w:color w:val="111827"/>
                <w:sz w:val="21"/>
              </w:rPr>
              <w:t xml:space="preserve">3. </w:t>
            </w:r>
            <w:r>
              <w:rPr>
                <w:rFonts w:ascii="Arial" w:hAnsi="Arial"/>
                <w:b/>
                <w:i w:val="0"/>
                <w:color w:val="111827"/>
                <w:sz w:val="21"/>
              </w:rPr>
              <w:t>Cláusulas Pétreas (Art. 60, § 4º):</w:t>
            </w:r>
            <w:r>
              <w:rPr>
                <w:rFonts w:ascii="Arial" w:hAnsi="Arial"/>
                <w:b w:val="0"/>
                <w:i w:val="0"/>
                <w:color w:val="111827"/>
                <w:sz w:val="21"/>
              </w:rPr>
              <w:t xml:space="preserve"> Não será objeto de deliberação a proposta de emenda tendente a abolir:</w:t>
            </w:r>
          </w:p>
          <w:p>
            <w:pPr>
              <w:spacing w:line="288" w:lineRule="auto" w:before="40" w:after="40"/>
            </w:pPr>
            <w:r>
              <w:rPr>
                <w:rFonts w:ascii="Arial" w:hAnsi="Arial"/>
                <w:b w:val="0"/>
                <w:i w:val="0"/>
                <w:color w:val="111827"/>
                <w:sz w:val="21"/>
              </w:rPr>
              <w:t>- I - a forma federativa de Estado;</w:t>
            </w:r>
          </w:p>
          <w:p>
            <w:pPr>
              <w:spacing w:line="288" w:lineRule="auto" w:before="40" w:after="40"/>
            </w:pPr>
            <w:r>
              <w:rPr>
                <w:rFonts w:ascii="Arial" w:hAnsi="Arial"/>
                <w:b w:val="0"/>
                <w:i w:val="0"/>
                <w:color w:val="111827"/>
                <w:sz w:val="21"/>
              </w:rPr>
              <w:t>- II - o voto direto, secreto, universal e periódico;</w:t>
            </w:r>
          </w:p>
          <w:p>
            <w:pPr>
              <w:spacing w:line="288" w:lineRule="auto" w:before="40" w:after="40"/>
            </w:pPr>
            <w:r>
              <w:rPr>
                <w:rFonts w:ascii="Arial" w:hAnsi="Arial"/>
                <w:b w:val="0"/>
                <w:i w:val="0"/>
                <w:color w:val="111827"/>
                <w:sz w:val="21"/>
              </w:rPr>
              <w:t>- III - a separação dos Poderes;</w:t>
            </w:r>
          </w:p>
          <w:p>
            <w:pPr>
              <w:spacing w:line="288" w:lineRule="auto" w:before="40" w:after="40"/>
            </w:pPr>
            <w:r>
              <w:rPr>
                <w:rFonts w:ascii="Arial" w:hAnsi="Arial"/>
                <w:b w:val="0"/>
                <w:i w:val="0"/>
                <w:color w:val="111827"/>
                <w:sz w:val="21"/>
              </w:rPr>
              <w:t>- IV - os direitos e garantias individuais.</w:t>
            </w:r>
          </w:p>
        </w:tc>
      </w:tr>
    </w:tbl>
    <w:p>
      <w:pPr>
        <w:spacing w:before="0"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Limitações Circunstanciais (Art. 60, § 1º):</w:t>
      </w:r>
      <w:r>
        <w:rPr>
          <w:rFonts w:ascii="Arial" w:hAnsi="Arial"/>
          <w:b w:val="0"/>
          <w:i w:val="0"/>
          <w:color w:val="111827"/>
          <w:sz w:val="22"/>
        </w:rPr>
        <w:t xml:space="preserve"> A Constituição não poderá ser emendada na vigência de intervenção federal, de estado de defesa ou de estado de sítio.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 da Irrepetibilidade (Art. 60, § 5º):</w:t>
      </w:r>
      <w:r>
        <w:rPr>
          <w:rFonts w:ascii="Arial" w:hAnsi="Arial"/>
          <w:b w:val="0"/>
          <w:i w:val="0"/>
          <w:color w:val="111827"/>
          <w:sz w:val="22"/>
        </w:rPr>
        <w:t xml:space="preserve"> A matéria constante de proposta de emenda rejeitada ou havida por prejudicada não pode ser objeto de nova proposta na mesma sessão legislativa (ano parlamentar).</w:t>
      </w:r>
    </w:p>
    <w:p>
      <w:pPr>
        <w:keepNext/>
        <w:spacing w:before="120" w:after="40"/>
      </w:pPr>
      <w:r>
        <w:rPr>
          <w:rFonts w:ascii="Arial" w:hAnsi="Arial"/>
          <w:b/>
          <w:i/>
          <w:color w:val="334155"/>
          <w:sz w:val="22"/>
        </w:rPr>
        <w:t>2.2 Leis Complementares versus Leis Ordinárias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Lei Complementar:</w:t>
      </w:r>
      <w:r>
        <w:rPr>
          <w:rFonts w:ascii="Arial" w:hAnsi="Arial"/>
          <w:b w:val="0"/>
          <w:i w:val="0"/>
          <w:color w:val="111827"/>
          <w:sz w:val="22"/>
        </w:rPr>
        <w:t xml:space="preserve"> Exige quórum de aprovação de </w:t>
      </w:r>
      <w:r>
        <w:rPr>
          <w:rFonts w:ascii="Arial" w:hAnsi="Arial"/>
          <w:b/>
          <w:i w:val="0"/>
          <w:color w:val="111827"/>
          <w:sz w:val="22"/>
        </w:rPr>
        <w:t>maioria absoluta</w:t>
      </w:r>
      <w:r>
        <w:rPr>
          <w:rFonts w:ascii="Arial" w:hAnsi="Arial"/>
          <w:b w:val="0"/>
          <w:i w:val="0"/>
          <w:color w:val="111827"/>
          <w:sz w:val="22"/>
        </w:rPr>
        <w:t xml:space="preserve"> em ambas as Casas Legislativas (metade mais um do total de membros da Casa). Aplica-se às matérias expressa e taxativamente reservadas pela Constituição Federal (ex.: Código Tributário Nacional, LRF, competências da Defensoria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Lei Ordinária:</w:t>
      </w:r>
      <w:r>
        <w:rPr>
          <w:rFonts w:ascii="Arial" w:hAnsi="Arial"/>
          <w:b w:val="0"/>
          <w:i w:val="0"/>
          <w:color w:val="111827"/>
          <w:sz w:val="22"/>
        </w:rPr>
        <w:t xml:space="preserve"> Exige quórum de aprovação de </w:t>
      </w:r>
      <w:r>
        <w:rPr>
          <w:rFonts w:ascii="Arial" w:hAnsi="Arial"/>
          <w:b/>
          <w:i w:val="0"/>
          <w:color w:val="111827"/>
          <w:sz w:val="22"/>
        </w:rPr>
        <w:t>maioria simples (ou relativa)</w:t>
      </w:r>
      <w:r>
        <w:rPr>
          <w:rFonts w:ascii="Arial" w:hAnsi="Arial"/>
          <w:b w:val="0"/>
          <w:i w:val="0"/>
          <w:color w:val="111827"/>
          <w:sz w:val="22"/>
        </w:rPr>
        <w:t>, isto é, a maioria dos votos dos presentes na sessão, desde que presente a maioria absoluta dos membros. Possui campo de atuação residual (todas as matérias que a Constituição não reservou expressamente a outra espécie normativa).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Não há hierarquia formal entre Lei Complementar e Lei Ordinária no direito brasileiro (STF); a distinção reside no quórum qualificado e na reserva material de competência temática.</w:t>
      </w:r>
    </w:p>
    <w:p>
      <w:pPr>
        <w:keepNext/>
        <w:spacing w:before="120" w:after="40"/>
      </w:pPr>
      <w:r>
        <w:rPr>
          <w:rFonts w:ascii="Arial" w:hAnsi="Arial"/>
          <w:b/>
          <w:i/>
          <w:color w:val="334155"/>
          <w:sz w:val="22"/>
        </w:rPr>
        <w:t>2.3 Medidas Provisórias (Art. 62): Prazos e Vedações Temáticas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Requisitos Constitucionais:</w:t>
      </w:r>
      <w:r>
        <w:rPr>
          <w:rFonts w:ascii="Arial" w:hAnsi="Arial"/>
          <w:b w:val="0"/>
          <w:i w:val="0"/>
          <w:color w:val="111827"/>
          <w:sz w:val="22"/>
        </w:rPr>
        <w:t xml:space="preserve"> Adotadas pelo Presidente da República em casos de </w:t>
      </w:r>
      <w:r>
        <w:rPr>
          <w:rFonts w:ascii="Arial" w:hAnsi="Arial"/>
          <w:b/>
          <w:i w:val="0"/>
          <w:color w:val="111827"/>
          <w:sz w:val="22"/>
        </w:rPr>
        <w:t>relevância e urgência</w:t>
      </w:r>
      <w:r>
        <w:rPr>
          <w:rFonts w:ascii="Arial" w:hAnsi="Arial"/>
          <w:b w:val="0"/>
          <w:i w:val="0"/>
          <w:color w:val="111827"/>
          <w:sz w:val="22"/>
        </w:rPr>
        <w:t>, com força de lei imediata.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Vigência:</w:t>
      </w:r>
      <w:r>
        <w:rPr>
          <w:rFonts w:ascii="Arial" w:hAnsi="Arial"/>
          <w:b w:val="0"/>
          <w:i w:val="0"/>
          <w:color w:val="111827"/>
          <w:sz w:val="22"/>
        </w:rPr>
        <w:t xml:space="preserve"> Vigoram por </w:t>
      </w:r>
      <w:r>
        <w:rPr>
          <w:rFonts w:ascii="Arial" w:hAnsi="Arial"/>
          <w:b/>
          <w:i w:val="0"/>
          <w:color w:val="111827"/>
          <w:sz w:val="22"/>
        </w:rPr>
        <w:t>60 dias</w:t>
      </w:r>
      <w:r>
        <w:rPr>
          <w:rFonts w:ascii="Arial" w:hAnsi="Arial"/>
          <w:b w:val="0"/>
          <w:i w:val="0"/>
          <w:color w:val="111827"/>
          <w:sz w:val="22"/>
        </w:rPr>
        <w:t xml:space="preserve">, prorrogáveis uma única vez por mais 60 dias (prazo total máximo de </w:t>
      </w:r>
      <w:r>
        <w:rPr>
          <w:rFonts w:ascii="Arial" w:hAnsi="Arial"/>
          <w:b/>
          <w:i w:val="0"/>
          <w:color w:val="111827"/>
          <w:sz w:val="22"/>
        </w:rPr>
        <w:t>120 dias</w:t>
      </w:r>
      <w:r>
        <w:rPr>
          <w:rFonts w:ascii="Arial" w:hAnsi="Arial"/>
          <w:b w:val="0"/>
          <w:i w:val="0"/>
          <w:color w:val="111827"/>
          <w:sz w:val="22"/>
        </w:rPr>
        <w:t xml:space="preserve">). Se não forem apreciadas em até </w:t>
      </w:r>
      <w:r>
        <w:rPr>
          <w:rFonts w:ascii="Arial" w:hAnsi="Arial"/>
          <w:b/>
          <w:i w:val="0"/>
          <w:color w:val="111827"/>
          <w:sz w:val="22"/>
        </w:rPr>
        <w:t>45 dias</w:t>
      </w:r>
      <w:r>
        <w:rPr>
          <w:rFonts w:ascii="Arial" w:hAnsi="Arial"/>
          <w:b w:val="0"/>
          <w:i w:val="0"/>
          <w:color w:val="111827"/>
          <w:sz w:val="22"/>
        </w:rPr>
        <w:t xml:space="preserve"> da publicação, entram em regime de urgência, ficando sobrestadas (trancadas) todas as demais deliberações legislativas da Casa.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Vedações Materiais Categóricas (Art. 62, § 1º):</w:t>
      </w:r>
      <w:r>
        <w:rPr>
          <w:rFonts w:ascii="Arial" w:hAnsi="Arial"/>
          <w:b w:val="0"/>
          <w:i w:val="0"/>
          <w:color w:val="111827"/>
          <w:sz w:val="22"/>
        </w:rPr>
        <w:t xml:space="preserve"> É terminantemente vedada a edição de Medidas Provisórias sobre: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Nacionalidade, cidadania, direitos políticos, partidos políticos e direito eleitoral;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Direito penal, processual penal e processual civil;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Organização do Poder Judiciário e do Ministério Público, a carreira e a garantia de seus membros;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Planos plurianuais (PPA), diretrizes orçamentárias (LDO), orçamento anual (LOA) e créditos adicionais (ressalvada a abertura de </w:t>
      </w:r>
      <w:r>
        <w:rPr>
          <w:rFonts w:ascii="Arial" w:hAnsi="Arial"/>
          <w:b/>
          <w:i w:val="0"/>
          <w:color w:val="111827"/>
          <w:sz w:val="22"/>
        </w:rPr>
        <w:t>créditos extraordinários</w:t>
      </w:r>
      <w:r>
        <w:rPr>
          <w:rFonts w:ascii="Arial" w:hAnsi="Arial"/>
          <w:b w:val="0"/>
          <w:i w:val="0"/>
          <w:color w:val="111827"/>
          <w:sz w:val="22"/>
        </w:rPr>
        <w:t xml:space="preserve"> para despesas urgentes e imprevistas decorrentes de guerra, calamidade pública ou comoção interna - Art. 167, § 3º);</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Detenção ou sequestro de bens, poupança ou qualquer outro ativo financeiro;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Matéria reservada a </w:t>
      </w:r>
      <w:r>
        <w:rPr>
          <w:rFonts w:ascii="Arial" w:hAnsi="Arial"/>
          <w:b/>
          <w:i w:val="0"/>
          <w:color w:val="111827"/>
          <w:sz w:val="22"/>
        </w:rPr>
        <w:t>Lei Complementar</w:t>
      </w:r>
      <w:r>
        <w:rPr>
          <w:rFonts w:ascii="Arial" w:hAnsi="Arial"/>
          <w:b w:val="0"/>
          <w:i w:val="0"/>
          <w:color w:val="111827"/>
          <w:sz w:val="22"/>
        </w:rPr>
        <w:t>.</w:t>
      </w:r>
    </w:p>
    <w:p>
      <w:pPr>
        <w:keepNext/>
        <w:spacing w:before="200" w:after="80"/>
      </w:pPr>
      <w:r>
        <w:rPr>
          <w:rFonts w:ascii="Arial" w:hAnsi="Arial"/>
          <w:b/>
          <w:i w:val="0"/>
          <w:color w:val="2B6CB0"/>
          <w:sz w:val="24"/>
        </w:rPr>
        <w:t>3. Fiscalização e Controle Externo pelos Tribunais de Contas (Arts. 70 a 75)</w:t>
      </w:r>
    </w:p>
    <w:p>
      <w:pPr>
        <w:keepNext/>
        <w:spacing w:before="120" w:after="40"/>
      </w:pPr>
      <w:r>
        <w:rPr>
          <w:rFonts w:ascii="Arial" w:hAnsi="Arial"/>
          <w:b/>
          <w:i/>
          <w:color w:val="334155"/>
          <w:sz w:val="22"/>
        </w:rPr>
        <w:t>3.1 Abrangência e Critérios da Fiscalização Financeira</w:t>
      </w:r>
    </w:p>
    <w:p>
      <w:pPr>
        <w:spacing w:line="360" w:lineRule="auto" w:before="0" w:after="80"/>
        <w:jc w:val="both"/>
      </w:pPr>
      <w:r>
        <w:rPr>
          <w:rFonts w:ascii="Arial" w:hAnsi="Arial"/>
          <w:b w:val="0"/>
          <w:i w:val="0"/>
          <w:color w:val="111827"/>
          <w:sz w:val="24"/>
        </w:rPr>
        <w:t xml:space="preserve">Conforme o art. 70 da CF/88, a fiscalização contábil, financeira, orçamentária, operacional e patrimonial da Administração Pública e de qualquer entidade que utilize recursos públicos será exercida pelo Congresso Nacional (ou Assembleia Legislativa estadual), mediante </w:t>
      </w:r>
      <w:r>
        <w:rPr>
          <w:rFonts w:ascii="Arial" w:hAnsi="Arial"/>
          <w:b/>
          <w:i w:val="0"/>
          <w:color w:val="111827"/>
          <w:sz w:val="24"/>
        </w:rPr>
        <w:t>controle externo</w:t>
      </w:r>
      <w:r>
        <w:rPr>
          <w:rFonts w:ascii="Arial" w:hAnsi="Arial"/>
          <w:b w:val="0"/>
          <w:i w:val="0"/>
          <w:color w:val="111827"/>
          <w:sz w:val="24"/>
        </w:rPr>
        <w:t xml:space="preserve">, e pelos sistemas de </w:t>
      </w:r>
      <w:r>
        <w:rPr>
          <w:rFonts w:ascii="Arial" w:hAnsi="Arial"/>
          <w:b/>
          <w:i w:val="0"/>
          <w:color w:val="111827"/>
          <w:sz w:val="24"/>
        </w:rPr>
        <w:t>controle interno</w:t>
      </w:r>
      <w:r>
        <w:rPr>
          <w:rFonts w:ascii="Arial" w:hAnsi="Arial"/>
          <w:b w:val="0"/>
          <w:i w:val="0"/>
          <w:color w:val="111827"/>
          <w:sz w:val="24"/>
        </w:rPr>
        <w:t xml:space="preserve"> de cada Poder.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Aspectos Controlados: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Legalidade:</w:t>
      </w:r>
      <w:r>
        <w:rPr>
          <w:rFonts w:ascii="Arial" w:hAnsi="Arial"/>
          <w:b w:val="0"/>
          <w:i w:val="0"/>
          <w:color w:val="111827"/>
          <w:sz w:val="22"/>
        </w:rPr>
        <w:t xml:space="preserve"> Conformidade com as leis e a Constituição.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Legitimidade:</w:t>
      </w:r>
      <w:r>
        <w:rPr>
          <w:rFonts w:ascii="Arial" w:hAnsi="Arial"/>
          <w:b w:val="0"/>
          <w:i w:val="0"/>
          <w:color w:val="111827"/>
          <w:sz w:val="22"/>
        </w:rPr>
        <w:t xml:space="preserve"> Atendimento ao interesse público e à moralidade administrativa.</w:t>
      </w:r>
    </w:p>
    <w:p>
      <w:pPr>
        <w:spacing w:line="276" w:lineRule="auto" w:before="20" w:after="40"/>
        <w:ind w:left="992"/>
      </w:pPr>
      <w:r>
        <w:rPr>
          <w:rFonts w:ascii="Arial" w:hAnsi="Arial"/>
          <w:b/>
          <w:color w:val="2B6CB0"/>
          <w:sz w:val="22"/>
        </w:rPr>
        <w:t xml:space="preserve">• </w:t>
      </w:r>
      <w:r>
        <w:rPr>
          <w:rFonts w:ascii="Arial" w:hAnsi="Arial"/>
          <w:b w:val="0"/>
          <w:i/>
          <w:color w:val="111827"/>
          <w:sz w:val="22"/>
        </w:rPr>
        <w:t>Economicidade:</w:t>
      </w:r>
      <w:r>
        <w:rPr>
          <w:rFonts w:ascii="Arial" w:hAnsi="Arial"/>
          <w:b w:val="0"/>
          <w:i w:val="0"/>
          <w:color w:val="111827"/>
          <w:sz w:val="22"/>
        </w:rPr>
        <w:t xml:space="preserve"> Relação custo-benefício e eficiência na alocação dos recursos públicos.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Aplicação de Subvenções e Renúncia de Receitas:</w:t>
      </w:r>
      <w:r>
        <w:rPr>
          <w:rFonts w:ascii="Arial" w:hAnsi="Arial"/>
          <w:b w:val="0"/>
          <w:i w:val="0"/>
          <w:color w:val="111827"/>
          <w:sz w:val="22"/>
        </w:rPr>
        <w:t xml:space="preserve"> Verificação de benefícios fiscais, isenções, incentivos e repasses voluntários.</w:t>
      </w:r>
    </w:p>
    <w:p>
      <w:pPr>
        <w:spacing w:after="120"/>
      </w:pPr>
    </w:p>
    <w:p>
      <w:pPr>
        <w:keepNext/>
        <w:spacing w:before="120" w:after="40"/>
      </w:pPr>
      <w:r>
        <w:rPr>
          <w:rFonts w:ascii="Arial" w:hAnsi="Arial"/>
          <w:b/>
          <w:i/>
          <w:color w:val="334155"/>
          <w:sz w:val="22"/>
        </w:rPr>
        <w:t>3.2 O Julgamento de Contas Públicas: Contas de Governo versus Contas de Gestão</w:t>
      </w:r>
    </w:p>
    <w:p>
      <w:pPr>
        <w:spacing w:line="360" w:lineRule="auto" w:before="0" w:after="80"/>
        <w:jc w:val="both"/>
      </w:pPr>
      <w:r>
        <w:rPr>
          <w:rFonts w:ascii="Arial" w:hAnsi="Arial"/>
          <w:b w:val="0"/>
          <w:i w:val="0"/>
          <w:color w:val="111827"/>
          <w:sz w:val="24"/>
        </w:rPr>
        <w:t>Esta distinção conceitual é uma das favoritas da FCC para cargos de tribunais de contas: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Contas de Governo (Art. 71, I)</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Contas de Gestão / Ordenador (Art. 71, II)</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Contas do Prefeito Municipal (Tema 835/STF)</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Responsável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Chefe do Poder Executivo (Presidente, Governador, Prefeito) agindo como gestor político geral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Todos os demais administradores, secretários de Estado, presidentes de estatais e ordenadores de despesas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Prefeito Municipal (inclusive quando atua na ordenação direta de despesas)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Papel do Tribunal de Contas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Emite </w:t>
            </w:r>
            <w:r>
              <w:rPr>
                <w:rFonts w:ascii="Arial" w:hAnsi="Arial"/>
                <w:b/>
                <w:i w:val="0"/>
                <w:color w:val="111827"/>
                <w:sz w:val="19"/>
              </w:rPr>
              <w:t>Parecer Prévio</w:t>
            </w:r>
            <w:r>
              <w:rPr>
                <w:rFonts w:ascii="Arial" w:hAnsi="Arial"/>
                <w:b w:val="0"/>
                <w:i w:val="0"/>
                <w:color w:val="111827"/>
                <w:sz w:val="19"/>
              </w:rPr>
              <w:t xml:space="preserve"> (opinativo) no prazo constitucional de 60 dias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Julga definitivamente</w:t>
            </w:r>
            <w:r>
              <w:rPr>
                <w:rFonts w:ascii="Arial" w:hAnsi="Arial"/>
                <w:b w:val="0"/>
                <w:i w:val="0"/>
                <w:color w:val="111827"/>
                <w:sz w:val="19"/>
              </w:rPr>
              <w:t xml:space="preserve"> as contas em decisão técnica e administrativa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Emite </w:t>
            </w:r>
            <w:r>
              <w:rPr>
                <w:rFonts w:ascii="Arial" w:hAnsi="Arial"/>
                <w:b/>
                <w:i w:val="0"/>
                <w:color w:val="111827"/>
                <w:sz w:val="19"/>
              </w:rPr>
              <w:t>Parecer Prévio</w:t>
            </w:r>
            <w:r>
              <w:rPr>
                <w:rFonts w:ascii="Arial" w:hAnsi="Arial"/>
                <w:b w:val="0"/>
                <w:i w:val="0"/>
                <w:color w:val="111827"/>
                <w:sz w:val="19"/>
              </w:rPr>
              <w:t xml:space="preserve"> sobre todas as contas do Prefeito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Quem Proferirá o Julgamento?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w:t>
            </w:r>
            <w:r>
              <w:rPr>
                <w:rFonts w:ascii="Arial" w:hAnsi="Arial"/>
                <w:b/>
                <w:i w:val="0"/>
                <w:color w:val="111827"/>
                <w:sz w:val="19"/>
              </w:rPr>
              <w:t>Poder Legislativo</w:t>
            </w:r>
            <w:r>
              <w:rPr>
                <w:rFonts w:ascii="Arial" w:hAnsi="Arial"/>
                <w:b w:val="0"/>
                <w:i w:val="0"/>
                <w:color w:val="111827"/>
                <w:sz w:val="19"/>
              </w:rPr>
              <w:t xml:space="preserve"> competente (Congresso, Assembleia ou Câmara de Vereadores)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próprio </w:t>
            </w:r>
            <w:r>
              <w:rPr>
                <w:rFonts w:ascii="Arial" w:hAnsi="Arial"/>
                <w:b/>
                <w:i w:val="0"/>
                <w:color w:val="111827"/>
                <w:sz w:val="19"/>
              </w:rPr>
              <w:t>Tribunal de Contas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Exclusivamente a </w:t>
            </w:r>
            <w:r>
              <w:rPr>
                <w:rFonts w:ascii="Arial" w:hAnsi="Arial"/>
                <w:b/>
                <w:i w:val="0"/>
                <w:color w:val="111827"/>
                <w:sz w:val="19"/>
              </w:rPr>
              <w:t>Câmara Municipal de Vereadores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Quórum para Afastar Parecer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No Município, exige-se quórum qualificado de </w:t>
            </w:r>
            <w:r>
              <w:rPr>
                <w:rFonts w:ascii="Arial" w:hAnsi="Arial"/>
                <w:b/>
                <w:i w:val="0"/>
                <w:color w:val="111827"/>
                <w:sz w:val="19"/>
              </w:rPr>
              <w:t>2/3 dos Vereadores</w:t>
            </w:r>
            <w:r>
              <w:rPr>
                <w:rFonts w:ascii="Arial" w:hAnsi="Arial"/>
                <w:b w:val="0"/>
                <w:i w:val="0"/>
                <w:color w:val="111827"/>
                <w:sz w:val="19"/>
              </w:rPr>
              <w:t xml:space="preserve"> para derrubar o parecer do Tribunal de Contas (Art. 31, § 2º)</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Inaplicável (o TC profere acórdão definitivo, sem parecer submetido ao parlamento)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parecer do TC só deixa de prevalecer por deliberação de </w:t>
            </w:r>
            <w:r>
              <w:rPr>
                <w:rFonts w:ascii="Arial" w:hAnsi="Arial"/>
                <w:b/>
                <w:i w:val="0"/>
                <w:color w:val="111827"/>
                <w:sz w:val="19"/>
              </w:rPr>
              <w:t>2/3 dos membros da Câmara Municipal</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(TEMA 835 DA REPERCUSSÃO GERAL DO STF):</w:t>
            </w:r>
          </w:p>
          <w:p>
            <w:pPr>
              <w:spacing w:line="288" w:lineRule="auto" w:before="40" w:after="40"/>
            </w:pPr>
            <w:r>
              <w:rPr>
                <w:rFonts w:ascii="Arial" w:hAnsi="Arial"/>
                <w:b w:val="0"/>
                <w:i/>
                <w:color w:val="111827"/>
                <w:sz w:val="21"/>
              </w:rPr>
              <w:t>"Para os fins do art. 1º, inciso I, alínea 'g', da Lei Complementar nº 64/1990 (Lei da Ficha Limpa), a apreciação das contas de prefeitos, tanto as de governo quanto as de gestão, será exercida pelas Câmaras Municipais, com o auxílio dos Tribunais de Contas competentes, cujo parecer prévio somente deixará de prevalecer por decisão de 2/3 dos vereadores."</w:t>
            </w:r>
          </w:p>
          <w:p>
            <w:pPr>
              <w:spacing w:line="288" w:lineRule="auto" w:before="40" w:after="40"/>
            </w:pPr>
            <w:r>
              <w:rPr>
                <w:rFonts w:ascii="Arial" w:hAnsi="Arial"/>
                <w:b w:val="0"/>
                <w:i w:val="0"/>
                <w:color w:val="111827"/>
                <w:sz w:val="21"/>
              </w:rPr>
              <w:t>Portanto, mesmo que o Prefeito tenha agido como ordenador direto de despesas e o Tribunal de Contas tenha emitido parecer pela rejeição das contas, o Prefeito só se torna inelegível se a Câmara Municipal julgar e mantiver a rejeição dessas contas!</w:t>
            </w:r>
          </w:p>
        </w:tc>
      </w:tr>
    </w:tbl>
    <w:p>
      <w:pPr>
        <w:spacing w:before="0" w:after="120"/>
      </w:pPr>
    </w:p>
    <w:p>
      <w:pPr>
        <w:keepNext/>
        <w:spacing w:before="120" w:after="40"/>
      </w:pPr>
      <w:r>
        <w:rPr>
          <w:rFonts w:ascii="Arial" w:hAnsi="Arial"/>
          <w:b/>
          <w:i/>
          <w:color w:val="334155"/>
          <w:sz w:val="22"/>
        </w:rPr>
        <w:t>3.3 Sustação de Atos Ilegais versus Sustação de Contratos Administrativos</w:t>
      </w:r>
    </w:p>
    <w:p>
      <w:pPr>
        <w:spacing w:line="360" w:lineRule="auto" w:before="0" w:after="80"/>
        <w:jc w:val="both"/>
      </w:pPr>
      <w:r>
        <w:rPr>
          <w:rFonts w:ascii="Arial" w:hAnsi="Arial"/>
          <w:b w:val="0"/>
          <w:i w:val="0"/>
          <w:color w:val="111827"/>
          <w:sz w:val="24"/>
        </w:rPr>
        <w:t>A Constituição Federal estabelece uma distinção procedimental nítida entre atos administrativos e contratos administrativos:</w:t>
      </w:r>
    </w:p>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w:t>
            </w:r>
          </w:p>
          <w:p>
            <w:pPr>
              <w:spacing w:line="288" w:lineRule="auto" w:before="40" w:after="40"/>
            </w:pPr>
            <w:r>
              <w:rPr>
                <w:rFonts w:ascii="Arial" w:hAnsi="Arial"/>
                <w:b w:val="0"/>
                <w:i w:val="0"/>
                <w:color w:val="111827"/>
                <w:sz w:val="21"/>
              </w:rPr>
              <w:t xml:space="preserve">O Tribunal de Contas </w:t>
            </w:r>
            <w:r>
              <w:rPr>
                <w:rFonts w:ascii="Arial" w:hAnsi="Arial"/>
                <w:b/>
                <w:i w:val="0"/>
                <w:color w:val="111827"/>
                <w:sz w:val="21"/>
              </w:rPr>
              <w:t>tem poder para sustar diretamente atos administrativos ilegais</w:t>
            </w:r>
            <w:r>
              <w:rPr>
                <w:rFonts w:ascii="Arial" w:hAnsi="Arial"/>
                <w:b w:val="0"/>
                <w:i w:val="0"/>
                <w:color w:val="111827"/>
                <w:sz w:val="21"/>
              </w:rPr>
              <w:t xml:space="preserve">, mas </w:t>
            </w:r>
            <w:r>
              <w:rPr>
                <w:rFonts w:ascii="Arial" w:hAnsi="Arial"/>
                <w:b/>
                <w:i w:val="0"/>
                <w:color w:val="111827"/>
                <w:sz w:val="21"/>
              </w:rPr>
              <w:t>NÃO tem competência primária para sustar contratos administrativos</w:t>
            </w:r>
            <w:r>
              <w:rPr>
                <w:rFonts w:ascii="Arial" w:hAnsi="Arial"/>
                <w:b w:val="0"/>
                <w:i w:val="0"/>
                <w:color w:val="111827"/>
                <w:sz w:val="21"/>
              </w:rPr>
              <w:t xml:space="preserve">. A sustação originária do contrato compete ao Poder Legislativo. O TC só ganha competência subsidiária caso o Congresso/Assembleia não tome providências no prazo de </w:t>
            </w:r>
            <w:r>
              <w:rPr>
                <w:rFonts w:ascii="Arial" w:hAnsi="Arial"/>
                <w:b/>
                <w:i w:val="0"/>
                <w:color w:val="111827"/>
                <w:sz w:val="21"/>
              </w:rPr>
              <w:t>90 dias</w:t>
            </w:r>
            <w:r>
              <w:rPr>
                <w:rFonts w:ascii="Arial" w:hAnsi="Arial"/>
                <w:b w:val="0"/>
                <w:i w:val="0"/>
                <w:color w:val="111827"/>
                <w:sz w:val="21"/>
              </w:rPr>
              <w:t>!</w:t>
            </w:r>
          </w:p>
        </w:tc>
      </w:tr>
    </w:tbl>
    <w:p>
      <w:pPr>
        <w:spacing w:before="0" w:after="120"/>
      </w:pPr>
    </w:p>
    <w:p>
      <w:pPr>
        <w:keepNext/>
        <w:spacing w:before="120" w:after="40"/>
      </w:pPr>
      <w:r>
        <w:rPr>
          <w:rFonts w:ascii="Arial" w:hAnsi="Arial"/>
          <w:b/>
          <w:i/>
          <w:color w:val="334155"/>
          <w:sz w:val="22"/>
        </w:rPr>
        <w:t>3.4 Eficácia das Decisões Condenatórias e Título Executivo Extrajudicial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Natureza Jurídica:</w:t>
      </w:r>
      <w:r>
        <w:rPr>
          <w:rFonts w:ascii="Arial" w:hAnsi="Arial"/>
          <w:b w:val="0"/>
          <w:i w:val="0"/>
          <w:color w:val="111827"/>
          <w:sz w:val="22"/>
        </w:rPr>
        <w:t xml:space="preserve"> As decisões dos Tribunais de Contas que imputam débito (dever de ressarcir o erário) ou cominam multa possuem </w:t>
      </w:r>
      <w:r>
        <w:rPr>
          <w:rFonts w:ascii="Arial" w:hAnsi="Arial"/>
          <w:b/>
          <w:i w:val="0"/>
          <w:color w:val="111827"/>
          <w:sz w:val="22"/>
        </w:rPr>
        <w:t>eficácia de título executivo extrajudicial</w:t>
      </w:r>
      <w:r>
        <w:rPr>
          <w:rFonts w:ascii="Arial" w:hAnsi="Arial"/>
          <w:b w:val="0"/>
          <w:i w:val="0"/>
          <w:color w:val="111827"/>
          <w:sz w:val="22"/>
        </w:rPr>
        <w:t xml:space="preserve"> (art. 71, § 3º).</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Cobrança Judicial:</w:t>
      </w:r>
      <w:r>
        <w:rPr>
          <w:rFonts w:ascii="Arial" w:hAnsi="Arial"/>
          <w:b w:val="0"/>
          <w:i w:val="0"/>
          <w:color w:val="111827"/>
          <w:sz w:val="22"/>
        </w:rPr>
        <w:t xml:space="preserve"> O Tribunal de Contas não executa suas próprias decisões. A certidão de crédito/julgamento é encaminhada à </w:t>
      </w:r>
      <w:r>
        <w:rPr>
          <w:rFonts w:ascii="Arial" w:hAnsi="Arial"/>
          <w:b/>
          <w:i w:val="0"/>
          <w:color w:val="111827"/>
          <w:sz w:val="22"/>
        </w:rPr>
        <w:t>Procuradoria-Geral do Estado</w:t>
      </w:r>
      <w:r>
        <w:rPr>
          <w:rFonts w:ascii="Arial" w:hAnsi="Arial"/>
          <w:b w:val="0"/>
          <w:i w:val="0"/>
          <w:color w:val="111827"/>
          <w:sz w:val="22"/>
        </w:rPr>
        <w:t xml:space="preserve"> (ou Procuradoria do Município lesado), que promove o ajuizamento de </w:t>
      </w:r>
      <w:r>
        <w:rPr>
          <w:rFonts w:ascii="Arial" w:hAnsi="Arial"/>
          <w:b/>
          <w:i w:val="0"/>
          <w:color w:val="111827"/>
          <w:sz w:val="22"/>
        </w:rPr>
        <w:t>Ação de Execução Fiscal</w:t>
      </w:r>
      <w:r>
        <w:rPr>
          <w:rFonts w:ascii="Arial" w:hAnsi="Arial"/>
          <w:b w:val="0"/>
          <w:i w:val="0"/>
          <w:color w:val="111827"/>
          <w:sz w:val="22"/>
        </w:rPr>
        <w:t xml:space="preserve"> perante as Varas da Fazenda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Prescritibilidade:</w:t>
      </w:r>
      <w:r>
        <w:rPr>
          <w:rFonts w:ascii="Arial" w:hAnsi="Arial"/>
          <w:b w:val="0"/>
          <w:i w:val="0"/>
          <w:color w:val="111827"/>
          <w:sz w:val="22"/>
        </w:rPr>
        <w:t xml:space="preserve"> O STF fixou (Tema 899 de Repercussão Geral) que a pretensão de ressarcimento ao erário fundada em decisão de Tribunal de Contas é </w:t>
      </w:r>
      <w:r>
        <w:rPr>
          <w:rFonts w:ascii="Arial" w:hAnsi="Arial"/>
          <w:b/>
          <w:i w:val="0"/>
          <w:color w:val="111827"/>
          <w:sz w:val="22"/>
        </w:rPr>
        <w:t>prescritível</w:t>
      </w:r>
      <w:r>
        <w:rPr>
          <w:rFonts w:ascii="Arial" w:hAnsi="Arial"/>
          <w:b w:val="0"/>
          <w:i w:val="0"/>
          <w:color w:val="111827"/>
          <w:sz w:val="22"/>
        </w:rPr>
        <w:t xml:space="preserve"> no prazo quinquenal (5 anos), aplicando-se a Lei nº 9.873/1999 e o Decreto 20.910/1932.</w:t>
      </w:r>
    </w:p>
    <w:p>
      <w:pPr>
        <w:keepNext/>
        <w:spacing w:before="120" w:after="40"/>
      </w:pPr>
      <w:r>
        <w:rPr>
          <w:rFonts w:ascii="Arial" w:hAnsi="Arial"/>
          <w:b/>
          <w:i/>
          <w:color w:val="334155"/>
          <w:sz w:val="22"/>
        </w:rPr>
        <w:t>3.5 Simetria Federativa (Art. 75) e o Ministério Público de Contas (Art. 130)</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 da Simetria Constitucional (Art. 75):</w:t>
      </w:r>
      <w:r>
        <w:rPr>
          <w:rFonts w:ascii="Arial" w:hAnsi="Arial"/>
          <w:b w:val="0"/>
          <w:i w:val="0"/>
          <w:color w:val="111827"/>
          <w:sz w:val="22"/>
        </w:rPr>
        <w:t xml:space="preserve"> As normas relativas à organização, composição e fiscalização do Tribunal de Contas da União aplicam-se, no que couber, à organização, composição e fiscalização dos Tribunais de Contas dos Estados (TCE-GO) e do Distrito Federal, bem como aos Tribunais e Conselhos de Contas dos Municípios.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Ministério Público de Contas (Art. 130):</w:t>
      </w:r>
      <w:r>
        <w:rPr>
          <w:rFonts w:ascii="Arial" w:hAnsi="Arial"/>
          <w:b w:val="0"/>
          <w:i w:val="0"/>
          <w:color w:val="111827"/>
          <w:sz w:val="22"/>
        </w:rPr>
        <w:t xml:space="preserve"> Órgão ministerial especializado que atua privativamente perante o respectivo Tribunal de Contas. Seus membros gozam das mesmas garantias de vitaliciedade, inamovibilidade e irredutibilidade de vencimentos conferidas aos membros do Ministério Público comum, integrando a estrutura do Tribunal com autonomia funcional.</w:t>
      </w:r>
    </w:p>
    <w:p>
      <w:pPr>
        <w:keepNext/>
        <w:spacing w:before="280" w:after="120"/>
      </w:pPr>
      <w:r>
        <w:rPr>
          <w:rFonts w:ascii="Arial" w:hAnsi="Arial"/>
          <w:b/>
          <w:i w:val="0"/>
          <w:color w:val="2C5282"/>
          <w:sz w:val="28"/>
        </w:rPr>
        <w:t>🌐 Fontes Oficiais &amp; Jurisprudenciais Recomendadas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Federal de 1988 - Artigos 44 a 75 (Poder Legislativo e Fiscalização Contábil)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Estrutura completa do Congresso Nacional, processo legislativo e competências dos Tribunais de Contas.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Tema 835 de Repercussão Geral (Julgamento das Contas de Prefeito)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Competência da Câmara de Vereadores para julgamento de contas de gestão e de governo do Chefe do Executivo municipal.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Tema 899 de Repercussão Geral (Prescritibilidade da Execução de Decisões do TC)</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Fixação do prazo quinquenal para cobrança de títulos executivos extrajudiciais oriundos de Tribunais de Contas.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Tema 445 de Repercussão Geral (Prazo Decadencial de Aposentadoria no TC)</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Prazo de 5 anos para que o Tribunal de Contas aprecie a legalidade do ato concessivo de aposentadoria ou pensão.</w:t>
      </w:r>
    </w:p>
    <w:p>
      <w:pPr>
        <w:keepNext/>
        <w:spacing w:before="280" w:after="120"/>
      </w:pPr>
      <w:r>
        <w:rPr>
          <w:rFonts w:ascii="Arial" w:hAnsi="Arial"/>
          <w:b/>
          <w:i w:val="0"/>
          <w:color w:val="2C5282"/>
          <w:sz w:val="28"/>
        </w:rPr>
        <w:t>📝 Questões Comentadas no Padrão FCC (Justificadas de A a E)</w:t>
      </w:r>
    </w:p>
    <w:p>
      <w:pPr>
        <w:keepNext/>
        <w:spacing w:before="200" w:after="80"/>
      </w:pPr>
      <w:r>
        <w:rPr>
          <w:rFonts w:ascii="Arial" w:hAnsi="Arial"/>
          <w:b/>
          <w:i w:val="0"/>
          <w:color w:val="2B6CB0"/>
          <w:sz w:val="24"/>
        </w:rPr>
        <w:t>Questão 1 (FCC - Adaptada / Analista de Controle Externo - TCE-GO)</w:t>
      </w:r>
    </w:p>
    <w:p>
      <w:pPr>
        <w:spacing w:line="360" w:lineRule="auto" w:before="0" w:after="80"/>
        <w:jc w:val="both"/>
      </w:pPr>
      <w:r>
        <w:rPr>
          <w:rFonts w:ascii="Arial" w:hAnsi="Arial"/>
          <w:b w:val="0"/>
          <w:i w:val="0"/>
          <w:color w:val="111827"/>
          <w:sz w:val="24"/>
        </w:rPr>
        <w:t>A Câmara Municipal de determinado município goiano recebeu o parecer prévio conclusivo emitido pelo Tribunal de Contas do Estado recomendando, de forma unânime e fundamentada, a rejeição das contas anuais prestadas pelo Prefeito Municipal relativas ao exercício financeiro anterior, diante da constatação de descumprimento dos limites constitucionais de aplicação em educação e saúde. Submetido o parecer a deliberação em plenário, 60% dos vereadores votaram pela aprovação das contas do Chefe do Executivo.</w:t>
      </w:r>
    </w:p>
    <w:p>
      <w:pPr>
        <w:spacing w:line="360" w:lineRule="auto" w:before="0" w:after="80"/>
        <w:jc w:val="both"/>
      </w:pPr>
      <w:r>
        <w:rPr>
          <w:rFonts w:ascii="Arial" w:hAnsi="Arial"/>
          <w:b w:val="0"/>
          <w:i w:val="0"/>
          <w:color w:val="111827"/>
          <w:sz w:val="24"/>
        </w:rPr>
        <w:t>Nos termos do artigo 31, § 2º da Constituição Federal de 1988 e da jurisprudência consolidada do Supremo Tribunal Federal sobre o julgamento das contas municipais: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 contas foram aprovadas, uma vez que o parecer prévio do Tribunal de Contas possui natureza meramente opinativa e somente deixará de prevalecer por decisão de dois terços dos membros da Câmara Municipal.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As contas foram rejeitadas, haja vista que o parecer do Tribunal de Contas que conclui pela rejeição de contas possui eficácia jurisdicional definitiva e impositiva perante os órgãos municipais.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parecer prévio do Tribunal de Contas somente deixaria de prevalecer por decisão unânime de todos os vereadores componentes do parlamento municipal.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contas foram rejeitadas, pois a maioria simples de votos de 60% não alcançou o quórum qualificado constitucional de dois terços (2/3) necessário para derrubar a conclusão do parecer prévio do Tribunal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Caberá ao Presidente do Tribunal de Justiça do Estado de Goiás desempatar a votação e proferir a decisão terminativa sobre as contas do Chefe do Executivo.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parecer prévio do Tribunal de Contas recomendou a </w:t>
            </w:r>
            <w:r>
              <w:rPr>
                <w:rFonts w:ascii="Arial" w:hAnsi="Arial"/>
                <w:b/>
                <w:i w:val="0"/>
                <w:color w:val="111827"/>
                <w:sz w:val="21"/>
              </w:rPr>
              <w:t>rejeição</w:t>
            </w:r>
            <w:r>
              <w:rPr>
                <w:rFonts w:ascii="Arial" w:hAnsi="Arial"/>
                <w:b w:val="0"/>
                <w:i w:val="0"/>
                <w:color w:val="111827"/>
                <w:sz w:val="21"/>
              </w:rPr>
              <w:t xml:space="preserve"> das contas. Para rejeitar essa conclusão técnica e aprovar as contas do prefeito, a Câmara Municipal precisava alcançar o quórum qualificado de </w:t>
            </w:r>
            <w:r>
              <w:rPr>
                <w:rFonts w:ascii="Arial" w:hAnsi="Arial"/>
                <w:b/>
                <w:i w:val="0"/>
                <w:color w:val="111827"/>
                <w:sz w:val="21"/>
              </w:rPr>
              <w:t>dois terços</w:t>
            </w:r>
            <w:r>
              <w:rPr>
                <w:rFonts w:ascii="Arial" w:hAnsi="Arial"/>
                <w:b w:val="0"/>
                <w:i w:val="0"/>
                <w:color w:val="111827"/>
                <w:sz w:val="21"/>
              </w:rPr>
              <w:t xml:space="preserve"> (66,66%) dos vereadores. Tendo obtido apenas 60% dos votos favoráveis, a votação não conseguiu derrubar o parecer prévio.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parecer prévio não possui natureza jurisdicional definitiva impositiva sobre o julgamento político das contas de prefeito, sendo atribuída a competência julgadora à Câmara de Vereadores.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Constituição exige quórum qualificado de dois terços dos membros da Câmara Municipal (art. 31, § 2º), e não voto unânime.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CORRETA:</w:t>
            </w:r>
            <w:r>
              <w:rPr>
                <w:rFonts w:ascii="Arial" w:hAnsi="Arial"/>
                <w:b w:val="0"/>
                <w:i w:val="0"/>
                <w:color w:val="111827"/>
                <w:sz w:val="21"/>
              </w:rPr>
              <w:t xml:space="preserve"> Pelo art. 31, § 2º, da CF/88, o parecer prévio emitido pelo Tribunal de Contas sobre as contas anuais do Prefeito somente deixará de prevalecer por decisão de dois terços dos membros da Câmara Municipal. Como a votação pela aprovação atingiu apenas 60% dos votos (insuficiente para atingir 2/3), o parecer do Tribunal de Contas prevaleceu e as contas foram formalmente rejeitadas.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Poder Judiciário não intervém como árbitro ou voto de desempate no julgamento político de contas do Legislativo municipal.</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2 (FCC - Adaptada / Técnico de Controle Externo - TCE-GO)</w:t>
      </w:r>
    </w:p>
    <w:p>
      <w:pPr>
        <w:spacing w:line="360" w:lineRule="auto" w:before="0" w:after="80"/>
        <w:jc w:val="both"/>
      </w:pPr>
      <w:r>
        <w:rPr>
          <w:rFonts w:ascii="Arial" w:hAnsi="Arial"/>
          <w:b w:val="0"/>
          <w:i w:val="0"/>
          <w:color w:val="111827"/>
          <w:sz w:val="24"/>
        </w:rPr>
        <w:t>O Plenário do Tribunal de Contas do Estado de Goiás, ao julgar irregular a prestação de contas de determinado dirigente de entidade pública autárquica estadual em virtude de sobrepreço comprovado em contratação emergencial de serviços de tecnologia, imputou-lhe o dever de ressarcir o erário no valor de R</w:t>
      </w:r>
      <w:r>
        <w:rPr>
          <w:rFonts w:ascii="Cambria Math" w:hAnsi="Cambria Math"/>
          <w:i/>
          <w:color w:val="1B365D"/>
          <w:sz w:val="24"/>
        </w:rPr>
        <w:t xml:space="preserve"> 400.000,00 e cominou-lhe multa punitiva de R</w:t>
      </w:r>
      <w:r>
        <w:rPr>
          <w:rFonts w:ascii="Arial" w:hAnsi="Arial"/>
          <w:b w:val="0"/>
          <w:i w:val="0"/>
          <w:color w:val="111827"/>
          <w:sz w:val="24"/>
        </w:rPr>
        <w:t xml:space="preserve"> 40.000,00. Regularmente notificado, o responsável não recolheu os valores devidos e não interpôs recursos regimentais.</w:t>
      </w:r>
    </w:p>
    <w:p>
      <w:pPr>
        <w:spacing w:line="360" w:lineRule="auto" w:before="0" w:after="80"/>
        <w:jc w:val="both"/>
      </w:pPr>
      <w:r>
        <w:rPr>
          <w:rFonts w:ascii="Arial" w:hAnsi="Arial"/>
          <w:b w:val="0"/>
          <w:i w:val="0"/>
          <w:color w:val="111827"/>
          <w:sz w:val="24"/>
        </w:rPr>
        <w:t>Diante do regramento inserto no artigo 71, § 3º da Constituição Federal de 1988 (aplicável aos Tribunais de Contas estaduais por força do art. 75):</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decisão condenatória do Tribunal de Contas possui eficácia de título executivo extrajudicial, sendo cobrada perante o Poder Judiciário mediante ação de execução fiscal promovida pela Procuradoria-Geral do Estado.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Tribunal de Contas possui competência jurisdicional plena para deflagrar, em sua própria Secretaria de Execuções, a expropriação forçada de bens do devedor.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Administração Pública estadual deverá propor Ação Ordinária de Cobrança perante a Vara da Fazenda Pública para demonstrar a liquidez e a certeza da obrigação em primeira instância.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eficácia da condenação depende de prévia ratificação e homologação por decreto do Governador do Estado para constituir a dívida 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débito imputado prescreve compulsoriamente no prazo de noventa dias contados do encerramento da sessão plenária de julgamento.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Conforme o art. 71, § 3º, da CF/88, as decisões dos Tribunais de Contas que resultem em imputação de débito ou aplicação de multa possuem eficácia de título executivo extrajudicial. Como a Corte de Contas não executa suas próprias decisões no Judiciário, o título é encaminhado à Procuradoria-Geral do Estado para cobrança judicial mediante processo de Execução Fiscal.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Os Tribunais de Contas não integram o Poder Judiciário e não possuem jurisdição executiva coercitiva de penhora e expropriação patrimonial.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Sendo a decisão um título executivo extrajudicial líquido, certo e exigível por força de mandamento constitucional, descabe o ajuizamento de ação ordinária de conhecimento prévio.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decisão do Tribunal de Contas é autônoma e autoexecutável no plano jurídico, não exigindo homologação de Governador de Estado.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pretensão executória de ressarcimento fundada em decisão de Tribunal de Contas prescreve em 5 anos (Tema 899 do STF), e não em 90 dias.</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3 (FCC - Adaptada / Analista Legislativo)</w:t>
      </w:r>
    </w:p>
    <w:p>
      <w:pPr>
        <w:spacing w:line="360" w:lineRule="auto" w:before="0" w:after="80"/>
        <w:jc w:val="both"/>
      </w:pPr>
      <w:r>
        <w:rPr>
          <w:rFonts w:ascii="Arial" w:hAnsi="Arial"/>
          <w:b w:val="0"/>
          <w:i w:val="0"/>
          <w:color w:val="111827"/>
          <w:sz w:val="24"/>
        </w:rPr>
        <w:t>Acerca do processo legislativo federal disciplinado na Constituição Federal de 1988, notadamente em relação às propostas de emenda à Constituição (PEC) e às medidas provisórias (MP), analise as afirmativas a seguir:</w:t>
      </w:r>
    </w:p>
    <w:p>
      <w:pPr>
        <w:spacing w:line="360" w:lineRule="auto" w:before="0" w:after="80"/>
        <w:jc w:val="both"/>
      </w:pPr>
      <w:r>
        <w:rPr>
          <w:rFonts w:ascii="Arial" w:hAnsi="Arial"/>
          <w:b w:val="0"/>
          <w:i w:val="0"/>
          <w:color w:val="111827"/>
          <w:sz w:val="24"/>
        </w:rPr>
        <w:t>I. A Constituição poderá ser emendada mediante proposta de um terço, no mínimo, dos membros da Câmara dos Deputados ou do Senado Federal, do Presidente da República ou de mais da metade das Assembleias Legislativas das unidades da Federação.</w:t>
      </w:r>
    </w:p>
    <w:p>
      <w:pPr>
        <w:spacing w:line="360" w:lineRule="auto" w:before="0" w:after="80"/>
        <w:jc w:val="both"/>
      </w:pPr>
      <w:r>
        <w:rPr>
          <w:rFonts w:ascii="Arial" w:hAnsi="Arial"/>
          <w:b w:val="0"/>
          <w:i w:val="0"/>
          <w:color w:val="111827"/>
          <w:sz w:val="24"/>
        </w:rPr>
        <w:t>II. Não será admitida Proposta de Emenda à Constituição proposta por iniciativa popular de cidadãos, ainda que subscrita por mais de um por cento do eleitorado nacional.</w:t>
      </w:r>
    </w:p>
    <w:p>
      <w:pPr>
        <w:spacing w:line="360" w:lineRule="auto" w:before="0" w:after="80"/>
        <w:jc w:val="both"/>
      </w:pPr>
      <w:r>
        <w:rPr>
          <w:rFonts w:ascii="Arial" w:hAnsi="Arial"/>
          <w:b w:val="0"/>
          <w:i w:val="0"/>
          <w:color w:val="111827"/>
          <w:sz w:val="24"/>
        </w:rPr>
        <w:t>III. É admitida a edição de medida provisória sobre matéria relativa a direito processual civil e direito eleitoral, desde que configurados os pressupostos formais de relevância e urgência.</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p>
          <w:p>
            <w:pPr>
              <w:spacing w:line="288" w:lineRule="auto" w:before="40" w:after="40"/>
            </w:pPr>
            <w:r>
              <w:rPr>
                <w:rFonts w:ascii="Arial" w:hAnsi="Arial"/>
                <w:b w:val="0"/>
                <w:i w:val="0"/>
                <w:color w:val="111827"/>
                <w:sz w:val="21"/>
              </w:rPr>
              <w:t xml:space="preserve">- </w:t>
            </w:r>
            <w:r>
              <w:rPr>
                <w:rFonts w:ascii="Arial" w:hAnsi="Arial"/>
                <w:b w:val="0"/>
                <w:i/>
                <w:color w:val="111827"/>
                <w:sz w:val="21"/>
              </w:rPr>
              <w:t>Item I (Verdadeiro):</w:t>
            </w:r>
            <w:r>
              <w:rPr>
                <w:rFonts w:ascii="Arial" w:hAnsi="Arial"/>
                <w:b w:val="0"/>
                <w:i w:val="0"/>
                <w:color w:val="111827"/>
                <w:sz w:val="21"/>
              </w:rPr>
              <w:t xml:space="preserve"> Reproduz fielmente os legitimados constitucionais para propor PEC previstos no art. 60, I a III, da CF/88.</w:t>
            </w:r>
          </w:p>
          <w:p>
            <w:pPr>
              <w:spacing w:line="288" w:lineRule="auto" w:before="40" w:after="40"/>
            </w:pPr>
            <w:r>
              <w:rPr>
                <w:rFonts w:ascii="Arial" w:hAnsi="Arial"/>
                <w:b w:val="0"/>
                <w:i w:val="0"/>
                <w:color w:val="111827"/>
                <w:sz w:val="21"/>
              </w:rPr>
              <w:t xml:space="preserve">- </w:t>
            </w:r>
            <w:r>
              <w:rPr>
                <w:rFonts w:ascii="Arial" w:hAnsi="Arial"/>
                <w:b w:val="0"/>
                <w:i/>
                <w:color w:val="111827"/>
                <w:sz w:val="21"/>
              </w:rPr>
              <w:t>Item II (Verdadeiro):</w:t>
            </w:r>
            <w:r>
              <w:rPr>
                <w:rFonts w:ascii="Arial" w:hAnsi="Arial"/>
                <w:b w:val="0"/>
                <w:i w:val="0"/>
                <w:color w:val="111827"/>
                <w:sz w:val="21"/>
              </w:rPr>
              <w:t xml:space="preserve"> No ordenamento jurídico brasileiro, a iniciativa popular (art. 61, § 2º) é restrita a projetos de lei ordinária e lei complementar, não se admitindo iniciativa popular para propor emenda à Constituição Federal.</w:t>
            </w:r>
          </w:p>
          <w:p>
            <w:pPr>
              <w:spacing w:line="288" w:lineRule="auto" w:before="40" w:after="40"/>
            </w:pPr>
            <w:r>
              <w:rPr>
                <w:rFonts w:ascii="Arial" w:hAnsi="Arial"/>
                <w:b w:val="0"/>
                <w:i w:val="0"/>
                <w:color w:val="111827"/>
                <w:sz w:val="21"/>
              </w:rPr>
              <w:t xml:space="preserve">- </w:t>
            </w:r>
            <w:r>
              <w:rPr>
                <w:rFonts w:ascii="Arial" w:hAnsi="Arial"/>
                <w:b w:val="0"/>
                <w:i/>
                <w:color w:val="111827"/>
                <w:sz w:val="21"/>
              </w:rPr>
              <w:t>Item III (Falso):</w:t>
            </w:r>
            <w:r>
              <w:rPr>
                <w:rFonts w:ascii="Arial" w:hAnsi="Arial"/>
                <w:b w:val="0"/>
                <w:i w:val="0"/>
                <w:color w:val="111827"/>
                <w:sz w:val="21"/>
              </w:rPr>
              <w:t xml:space="preserve"> O art. 62, § 1º, I, "a" e "b", veda terminantemente a edição de medidas provisórias sobre direito eleitoral e direito processual civil, mesmo com relevância e urgência.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item III é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item III é falso e o item II é verdadeiro.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item II também é verdadeiro.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item III é manifestamente falso.</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4 (FCC - Adaptada / Auditor de Controle Externo)</w:t>
      </w:r>
    </w:p>
    <w:p>
      <w:pPr>
        <w:spacing w:line="360" w:lineRule="auto" w:before="0" w:after="80"/>
        <w:jc w:val="both"/>
      </w:pPr>
      <w:r>
        <w:rPr>
          <w:rFonts w:ascii="Arial" w:hAnsi="Arial"/>
          <w:b w:val="0"/>
          <w:i w:val="0"/>
          <w:color w:val="111827"/>
          <w:sz w:val="24"/>
        </w:rPr>
        <w:t>Durante fiscalização de rotina em órgão da administração direta estadual, a equipe de auditoria do Tribunal de Contas constatou irregularidade formal insanável em contrato administrativo de prestação de serviços continuados de vigilância, bem como ilegalidade flagrante em ato administrativo unilateral de designação de servidor comissionado. Diante disso, o Tribunal assinou prazo de trinta dias para que o Secretário de Estado responsável adotasse as providências necessárias ao exato cumprimento da lei, o qual, contudo, permaneceu inerte.</w:t>
      </w:r>
    </w:p>
    <w:p>
      <w:pPr>
        <w:spacing w:line="360" w:lineRule="auto" w:before="0" w:after="80"/>
        <w:jc w:val="both"/>
      </w:pPr>
      <w:r>
        <w:rPr>
          <w:rFonts w:ascii="Arial" w:hAnsi="Arial"/>
          <w:b w:val="0"/>
          <w:i w:val="0"/>
          <w:color w:val="111827"/>
          <w:sz w:val="24"/>
        </w:rPr>
        <w:t>De acordo com o sistema de competências do controle externo estabelecido no artigo 71, incisos IX e X e §§ 1º e 2º da CF/88:</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Tribunal de Contas tem competência direta e imediata para decretar a anulação do contrato administrativo e afastar o Secretário de Estado de suas atribuições ministeriais.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próprio Tribunal de Contas sustará a execução do ato impugnado; já no caso do contrato, o ato de sustação será adotado diretamente pelo Poder Legislativo, que solicitará, de imediato, ao Poder Executivo as medidas cabíveis.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sustação do ato administrativo e do contrato administrativo compete privativamente ao Poder Judiciário mediante ajuizamento de ação civil pública pelo Ministério Público Estadual.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Se o Poder Executivo não sustar o contrato administrativo no prazo de quinze dias, o ato convalidar-se-á compulsoriamente por decurso de prazo.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Tribunal de Contas não pode adotar qualquer medida sobre atos já aperfeiçoados, cabendo-lhe apenas comunicar o fato à Ouvidoria Geral.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Tribunal de Contas não tem competência originária direta para anular ou sustar contrato administrativo, nem competência administrativa para destituir secretários de Estado.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Pelo art. 71, X, da CF/88, se não atendido o prazo de correção, o Tribunal de Contas sustará a execução do ato impugnado; todavia, no caso de contrato, o ato de sustação será adotado diretamente pelo Poder Legislativo (art. 71, § 1º). Apenas se o Poder Legislativo ou o Executivo não deliberarem em 90 dias é que a competência supletiva de sustação passa ao Tribunal de Contas (§ 2º).</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Trata-se de competência expressa de controle externo atribuída pela própria Constituição ao Legislativo e ao Tribunal de Contas.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prazo legal do § 2º do art. 71 é de 90 dias, após o qual o Tribunal de Contas decidirá a respeito da sustação, não havendo convalidação automática da ilicitude.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Tribunal de Contas possui poderes constitucionais sancionatórios e corretivos de alta relevância, e não mera atribuição informativa.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Adaptada / Procuradoria Legislativa)</w:t>
      </w:r>
    </w:p>
    <w:p>
      <w:pPr>
        <w:spacing w:line="360" w:lineRule="auto" w:before="0" w:after="80"/>
        <w:jc w:val="both"/>
      </w:pPr>
      <w:r>
        <w:rPr>
          <w:rFonts w:ascii="Arial" w:hAnsi="Arial"/>
          <w:b w:val="0"/>
          <w:i w:val="0"/>
          <w:color w:val="111827"/>
          <w:sz w:val="24"/>
        </w:rPr>
        <w:t>No que tange às competências privativas das Casas Legislativas no âmbito do Congresso Nacional e às imunidades parlamentares previstas no texto constitucional,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Compete privativamente à Câmara dos Deputados processar e julgar os Ministros do Supremo Tribunal Federal e o Procurador-Geral da República nos crimes de responsabilidade.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aprovação da escolha de Ministros do Tribunal de Contas da União indicados pelo Presidente da República compete privativamente ao Senado Federal, após arguição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Deputados e Senadores podem ser presos preventivamente a qualquer tempo desde a diplomação por determinação fundamentada de juiz de primeiro grau.</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imunidades de Deputados ou Senadores subsistem durante o estado de sítio, não podendo ser suspensas sob nenhuma circunstância pelo voto parlamentar.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Compete exclusivamente ao Congresso Nacional, com necessária sanção do Presidente da República, fixar a remuneração de seus próprios membros ao final de cada legislatura.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Processar e julgar Ministros do STF e o PGR por crimes de responsabilidade é competência privativa do </w:t>
            </w:r>
            <w:r>
              <w:rPr>
                <w:rFonts w:ascii="Arial" w:hAnsi="Arial"/>
                <w:b/>
                <w:i w:val="0"/>
                <w:color w:val="111827"/>
                <w:sz w:val="21"/>
              </w:rPr>
              <w:t>Senado Federal</w:t>
            </w:r>
            <w:r>
              <w:rPr>
                <w:rFonts w:ascii="Arial" w:hAnsi="Arial"/>
                <w:b w:val="0"/>
                <w:i w:val="0"/>
                <w:color w:val="111827"/>
                <w:sz w:val="21"/>
              </w:rPr>
              <w:t xml:space="preserve"> (art. 52, II, da CF/88).</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Conforme o art. 52, III, alínea "b", da CF/88, compete privativamente ao Senado Federal aprovar previamente, por voto secreto, após arguição pública, a escolha de Ministros do Tribunal de Contas da União indicados pelo Presidente da República.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Desde a expedição do diploma, os membros do Congresso Nacional não podem ser submetidos à prisão preventiva ordinária, admitindo-se a prisão unicamente em flagrante de crime inafiançável (art. 53, § 2º).</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Conforme o art. 53, § 8º, as imunidades persistem no estado de sítio, mas podem ser suspensas pelo voto de dois terços dos membros da Casa respectiva quanto a atos praticados fora do recinto do parlamento incompatíveis com a medida.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remuneração parlamentar é fixada pelo Congresso Nacional sem sanção do Executivo (art. 49, VII).</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05 - Poder Executivo, Poder Judiciário e Funções Essenciais à Justiça</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Direito Constitucional</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05_poder_executivo_poder_judiciario_e_funcoes_essenciais.md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Do Poder Executivo: eleição, posse, impedimento, vacância e sucessão presidencial;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Atribuições e prerrogativas do Presidente da República (Artigo 84 da CF/88): competências indelegáveis e competências privativas delegáveis (decretos autônomos, indulto e provimento de cargos vagos);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Responsabilidade do Presidente da República (Artigos 85 e 86 da CF/88):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Crimes comuns vs. crimes de responsabilidade (</w:t>
      </w:r>
      <w:r>
        <w:rPr>
          <w:rFonts w:ascii="Arial" w:hAnsi="Arial"/>
          <w:b w:val="0"/>
          <w:i/>
          <w:color w:val="111827"/>
          <w:sz w:val="22"/>
        </w:rPr>
        <w:t>impeachment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Juízo prévio de admissibilidade pela Câmara dos Deputados (quórum qualificado de 2/3);</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Competência de julgamento pelo STF e pelo Senado Federal (presidido pelo Presidente do STF);</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Imunidades presidenciais: imunidade prisional temporária e cláusula de irresponsabilidade relativa por atos estranhos ao mandato;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Do Poder Judiciário: disposições gerais, estatuto e garantias da magistratura (vitaliciedade, inamovibilidade e irredutibilidade) e vedações expressas (quarentena de saída);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Do Supremo Tribunal Federal (STF - Artigos 101 a 103-A da CF/88): composição (11 Ministros), nomeação, sabatina pelo Senado Federal, competências originárias e recursais, e o regime das Súmulas Vinculantes (Art. 103-A);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Do Conselho Nacional de Justiça (CNJ - Artigo 103-B da CF/88): organização, composição (15 membros) e limites de atuação (natureza estritamente administrativa, orçamentária e correcional, sem competência jurisdicional);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Do Superior Tribunal de Justiça (STJ - Artigos 104 e 105 da CF/88): composição (no mínimo 33 Ministros), uniformização da lei federal infraconstitucional e o filtro da relevância no Recurso Especial (EC nº 125/2022);</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Das Funções Essenciais à Justiça: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Ministério Público (Artigos 127 a 130-A da CF/88): princípios institucionais, autonomia, garantias, vedações e o Conselho Nacional do Ministério Público (CNMP);</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Advocacia Pública (Artigos 131 e 132 da CF/88): AGU e Procuradorias Estaduais (PGE-GO);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Advocacia Privada (Artigo 133 da CF/88): indispensabilidade e inviolabilidade profissional;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Defensoria Pública (Artigos 134 e 135 da CF/88): assistência jurídica aos hipossuficientes e autonomia institucional expressa.</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1B365D"/>
          <w:sz w:val="22"/>
        </w:rPr>
        <w:t xml:space="preserve">1. </w:t>
      </w:r>
      <w:r>
        <w:rPr>
          <w:rFonts w:ascii="Arial" w:hAnsi="Arial"/>
          <w:color w:val="2B6CB0"/>
          <w:sz w:val="22"/>
          <w:u w:val="single"/>
        </w:rPr>
        <w:t>Poder Executivo: Estrutura, Atribuições e Responsabilidade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1.1 </w:t>
      </w:r>
      <w:r>
        <w:rPr>
          <w:rFonts w:ascii="Arial" w:hAnsi="Arial"/>
          <w:color w:val="2B6CB0"/>
          <w:sz w:val="22"/>
          <w:u w:val="single"/>
        </w:rPr>
        <w:t>Dupla Vacância dos Cargos Presidenciais (Art. 81 da CF/88)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1.2 </w:t>
      </w:r>
      <w:r>
        <w:rPr>
          <w:rFonts w:ascii="Arial" w:hAnsi="Arial"/>
          <w:color w:val="2B6CB0"/>
          <w:sz w:val="22"/>
          <w:u w:val="single"/>
        </w:rPr>
        <w:t>Atribuições Delegáveis do Presidente da República (Art. 84, Parágrafo Único)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1.3 </w:t>
      </w:r>
      <w:r>
        <w:rPr>
          <w:rFonts w:ascii="Arial" w:hAnsi="Arial"/>
          <w:color w:val="2B6CB0"/>
          <w:sz w:val="22"/>
          <w:u w:val="single"/>
        </w:rPr>
        <w:t>Responsabilidade do Presidente da República e Imunidades (Arts. 85 e 86)</w:t>
      </w:r>
    </w:p>
    <w:p>
      <w:pPr>
        <w:spacing w:line="276" w:lineRule="auto" w:before="20" w:after="40"/>
        <w:ind w:left="425"/>
      </w:pPr>
      <w:r>
        <w:rPr>
          <w:rFonts w:ascii="Arial" w:hAnsi="Arial"/>
          <w:b/>
          <w:color w:val="1B365D"/>
          <w:sz w:val="22"/>
        </w:rPr>
        <w:t xml:space="preserve">2. </w:t>
      </w:r>
      <w:r>
        <w:rPr>
          <w:rFonts w:ascii="Arial" w:hAnsi="Arial"/>
          <w:color w:val="2B6CB0"/>
          <w:sz w:val="22"/>
          <w:u w:val="single"/>
        </w:rPr>
        <w:t>Poder Judiciário: Estrutura Orgânica, CNJ e Súmula Vinculante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2.1 </w:t>
      </w:r>
      <w:r>
        <w:rPr>
          <w:rFonts w:ascii="Arial" w:hAnsi="Arial"/>
          <w:color w:val="2B6CB0"/>
          <w:sz w:val="22"/>
          <w:u w:val="single"/>
        </w:rPr>
        <w:t>Garantias e Vedações dos Magistrados (Art. 95 da CF/88)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2.2 </w:t>
      </w:r>
      <w:r>
        <w:rPr>
          <w:rFonts w:ascii="Arial" w:hAnsi="Arial"/>
          <w:color w:val="2B6CB0"/>
          <w:sz w:val="22"/>
          <w:u w:val="single"/>
        </w:rPr>
        <w:t>Conselho Nacional de Justiça (CNJ - Art. 103-B)</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2.3 </w:t>
      </w:r>
      <w:r>
        <w:rPr>
          <w:rFonts w:ascii="Arial" w:hAnsi="Arial"/>
          <w:color w:val="2B6CB0"/>
          <w:sz w:val="22"/>
          <w:u w:val="single"/>
        </w:rPr>
        <w:t>Supremo Tribunal Federal e o Regime da Súmula Vinculante (Art. 103-A)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2.4 </w:t>
      </w:r>
      <w:r>
        <w:rPr>
          <w:rFonts w:ascii="Arial" w:hAnsi="Arial"/>
          <w:color w:val="2B6CB0"/>
          <w:sz w:val="22"/>
          <w:u w:val="single"/>
        </w:rPr>
        <w:t>Superior Tribunal de Justiça e o Filtro de Relevância (Arts. 104 e 105)</w:t>
      </w:r>
    </w:p>
    <w:p>
      <w:pPr>
        <w:spacing w:line="276" w:lineRule="auto" w:before="20" w:after="40"/>
        <w:ind w:left="425"/>
      </w:pPr>
      <w:r>
        <w:rPr>
          <w:rFonts w:ascii="Arial" w:hAnsi="Arial"/>
          <w:b/>
          <w:color w:val="1B365D"/>
          <w:sz w:val="22"/>
        </w:rPr>
        <w:t xml:space="preserve">3. </w:t>
      </w:r>
      <w:r>
        <w:rPr>
          <w:rFonts w:ascii="Arial" w:hAnsi="Arial"/>
          <w:color w:val="2B6CB0"/>
          <w:sz w:val="22"/>
          <w:u w:val="single"/>
        </w:rPr>
        <w:t>Funções Essenciais à Justiça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3.1 </w:t>
      </w:r>
      <w:r>
        <w:rPr>
          <w:rFonts w:ascii="Arial" w:hAnsi="Arial"/>
          <w:color w:val="2B6CB0"/>
          <w:sz w:val="22"/>
          <w:u w:val="single"/>
        </w:rPr>
        <w:t>Ministério Público e o CNMP (Arts. 127 a 130-A)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3.2 </w:t>
      </w:r>
      <w:r>
        <w:rPr>
          <w:rFonts w:ascii="Arial" w:hAnsi="Arial"/>
          <w:color w:val="2B6CB0"/>
          <w:sz w:val="22"/>
          <w:u w:val="single"/>
        </w:rPr>
        <w:t>Advocacia Pública (Arts. 131 e 132)</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3.3 </w:t>
      </w:r>
      <w:r>
        <w:rPr>
          <w:rFonts w:ascii="Arial" w:hAnsi="Arial"/>
          <w:color w:val="2B6CB0"/>
          <w:sz w:val="22"/>
          <w:u w:val="single"/>
        </w:rPr>
        <w:t>Defensoria Pública (Arts. 134 e 135)</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3.4 </w:t>
      </w:r>
      <w:r>
        <w:rPr>
          <w:rFonts w:ascii="Arial" w:hAnsi="Arial"/>
          <w:color w:val="2B6CB0"/>
          <w:sz w:val="22"/>
          <w:u w:val="single"/>
        </w:rPr>
        <w:t>Advocacia Privada (Art. 133)</w:t>
      </w:r>
    </w:p>
    <w:p>
      <w:pPr>
        <w:spacing w:line="276" w:lineRule="auto" w:before="20" w:after="40"/>
        <w:ind w:left="425"/>
      </w:pPr>
      <w:r>
        <w:rPr>
          <w:rFonts w:ascii="Arial" w:hAnsi="Arial"/>
          <w:b/>
          <w:color w:val="1B365D"/>
          <w:sz w:val="22"/>
        </w:rPr>
        <w:t xml:space="preserve">4. </w:t>
      </w:r>
      <w:r>
        <w:rPr>
          <w:rFonts w:ascii="Arial" w:hAnsi="Arial"/>
          <w:color w:val="2B6CB0"/>
          <w:sz w:val="22"/>
          <w:u w:val="single"/>
        </w:rPr>
        <w:t>Fontes Oficiais &amp; Jurisprudenciais Recomendadas</w:t>
      </w:r>
    </w:p>
    <w:p>
      <w:pPr>
        <w:spacing w:line="276" w:lineRule="auto" w:before="20" w:after="40"/>
        <w:ind w:left="425"/>
      </w:pPr>
      <w:r>
        <w:rPr>
          <w:rFonts w:ascii="Arial" w:hAnsi="Arial"/>
          <w:b/>
          <w:color w:val="1B365D"/>
          <w:sz w:val="22"/>
        </w:rPr>
        <w:t xml:space="preserve">5. </w:t>
      </w:r>
      <w:r>
        <w:rPr>
          <w:rFonts w:ascii="Arial" w:hAnsi="Arial"/>
          <w:color w:val="2B6CB0"/>
          <w:sz w:val="22"/>
          <w:u w:val="single"/>
        </w:rPr>
        <w:t>Questões Comentadas no Padrão FCC (Justificadas de A a E)</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Poder Executivo: Estrutura, Atribuições e Responsabilidade</w:t>
      </w:r>
    </w:p>
    <w:p>
      <w:pPr>
        <w:keepNext/>
        <w:spacing w:before="120" w:after="40"/>
      </w:pPr>
      <w:r>
        <w:rPr>
          <w:rFonts w:ascii="Arial" w:hAnsi="Arial"/>
          <w:b/>
          <w:i/>
          <w:color w:val="334155"/>
          <w:sz w:val="22"/>
        </w:rPr>
        <w:t>1.1 Dupla Vacância dos Cargos Presidenciais (Art. 81 da CF/88)</w:t>
      </w:r>
    </w:p>
    <w:p>
      <w:pPr>
        <w:spacing w:line="360" w:lineRule="auto" w:before="0" w:after="80"/>
        <w:jc w:val="both"/>
      </w:pPr>
      <w:r>
        <w:rPr>
          <w:rFonts w:ascii="Arial" w:hAnsi="Arial"/>
          <w:b w:val="0"/>
          <w:i w:val="0"/>
          <w:color w:val="111827"/>
          <w:sz w:val="24"/>
        </w:rPr>
        <w:t>Ocorrendo a vacância definitiva tanto do cargo de Presidente quanto de Vice-Presidente da República, aplicam-se regras distintas a depender do momento do mandato:</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Primeiros 2 anos do mandato:</w:t>
      </w:r>
      <w:r>
        <w:rPr>
          <w:rFonts w:ascii="Arial" w:hAnsi="Arial"/>
          <w:b w:val="0"/>
          <w:i w:val="0"/>
          <w:color w:val="111827"/>
          <w:sz w:val="22"/>
        </w:rPr>
        <w:t xml:space="preserve"> Ocorrendo a vacância definitiva de ambos os cargos na primeira metade da legislatura, far-se-á eleição </w:t>
      </w:r>
      <w:r>
        <w:rPr>
          <w:rFonts w:ascii="Arial" w:hAnsi="Arial"/>
          <w:b/>
          <w:i w:val="0"/>
          <w:color w:val="111827"/>
          <w:sz w:val="22"/>
        </w:rPr>
        <w:t>direta</w:t>
      </w:r>
      <w:r>
        <w:rPr>
          <w:rFonts w:ascii="Arial" w:hAnsi="Arial"/>
          <w:b w:val="0"/>
          <w:i w:val="0"/>
          <w:color w:val="111827"/>
          <w:sz w:val="22"/>
        </w:rPr>
        <w:t xml:space="preserve"> noventa dias depois de aberta a última vaga.</w:t>
      </w:r>
    </w:p>
    <w:p>
      <w:pPr>
        <w:spacing w:line="276" w:lineRule="auto" w:before="20" w:after="40"/>
        <w:ind w:left="425"/>
      </w:pPr>
      <w:r>
        <w:rPr>
          <w:rFonts w:ascii="Arial" w:hAnsi="Arial"/>
          <w:b/>
          <w:color w:val="2B6CB0"/>
          <w:sz w:val="22"/>
        </w:rPr>
        <w:t xml:space="preserve">• </w:t>
      </w:r>
      <w:r>
        <w:rPr>
          <w:rFonts w:ascii="Arial" w:hAnsi="Arial"/>
          <w:b/>
          <w:i w:val="0"/>
          <w:color w:val="111827"/>
          <w:sz w:val="22"/>
        </w:rPr>
        <w:t>Últimos 2 anos do mandato:</w:t>
      </w:r>
      <w:r>
        <w:rPr>
          <w:rFonts w:ascii="Arial" w:hAnsi="Arial"/>
          <w:b w:val="0"/>
          <w:i w:val="0"/>
          <w:color w:val="111827"/>
          <w:sz w:val="22"/>
        </w:rPr>
        <w:t xml:space="preserve"> Se a dupla vacância definitiva ocorrer na segunda metade da legislatura (3º ou 4º ano do mandato), a eleição para ambos os cargos será feita </w:t>
      </w:r>
      <w:r>
        <w:rPr>
          <w:rFonts w:ascii="Arial" w:hAnsi="Arial"/>
          <w:b/>
          <w:i w:val="0"/>
          <w:color w:val="111827"/>
          <w:sz w:val="22"/>
        </w:rPr>
        <w:t>indireta</w:t>
      </w:r>
      <w:r>
        <w:rPr>
          <w:rFonts w:ascii="Arial" w:hAnsi="Arial"/>
          <w:b w:val="0"/>
          <w:i w:val="0"/>
          <w:color w:val="111827"/>
          <w:sz w:val="22"/>
        </w:rPr>
        <w:t xml:space="preserve">, trinta dias depois da última vaga, pelo </w:t>
      </w:r>
      <w:r>
        <w:rPr>
          <w:rFonts w:ascii="Arial" w:hAnsi="Arial"/>
          <w:b/>
          <w:i w:val="0"/>
          <w:color w:val="111827"/>
          <w:sz w:val="22"/>
        </w:rPr>
        <w:t>Congresso Nacional</w:t>
      </w:r>
      <w:r>
        <w:rPr>
          <w:rFonts w:ascii="Arial" w:hAnsi="Arial"/>
          <w:b w:val="0"/>
          <w:i w:val="0"/>
          <w:color w:val="111827"/>
          <w:sz w:val="22"/>
        </w:rPr>
        <w:t>, na forma da lei.</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Em qualquer das hipóteses de eleição extraordinária, os eleitos deverão completar o período remanescente de seus antecessores (</w:t>
      </w:r>
      <w:r>
        <w:rPr>
          <w:rFonts w:ascii="Arial" w:hAnsi="Arial"/>
          <w:b w:val="0"/>
          <w:i/>
          <w:color w:val="111827"/>
          <w:sz w:val="22"/>
        </w:rPr>
        <w:t>mandato-tampão</w:t>
      </w:r>
      <w:r>
        <w:rPr>
          <w:rFonts w:ascii="Arial" w:hAnsi="Arial"/>
          <w:b w:val="0"/>
          <w:i w:val="0"/>
          <w:color w:val="111827"/>
          <w:sz w:val="22"/>
        </w:rPr>
        <w:t xml:space="preserve"> - art. 81, § 2º).</w:t>
      </w:r>
    </w:p>
    <w:p>
      <w:pPr>
        <w:keepNext/>
        <w:spacing w:before="120" w:after="40"/>
      </w:pPr>
      <w:r>
        <w:rPr>
          <w:rFonts w:ascii="Arial" w:hAnsi="Arial"/>
          <w:b/>
          <w:i/>
          <w:color w:val="334155"/>
          <w:sz w:val="22"/>
        </w:rPr>
        <w:t>1.2 Atribuições Delegáveis do Presidente da República (Art. 84, Parágrafo Único)</w:t>
      </w:r>
    </w:p>
    <w:p>
      <w:pPr>
        <w:spacing w:line="360" w:lineRule="auto" w:before="0" w:after="80"/>
        <w:jc w:val="both"/>
      </w:pPr>
      <w:r>
        <w:rPr>
          <w:rFonts w:ascii="Arial" w:hAnsi="Arial"/>
          <w:b w:val="0"/>
          <w:i w:val="0"/>
          <w:color w:val="111827"/>
          <w:sz w:val="24"/>
        </w:rPr>
        <w:t xml:space="preserve">O art. 84 fixa as competências privativas do Presidente da República. Em regra, são privativas e indelegáveis. Todavia, a Constituição autoriza a </w:t>
      </w:r>
      <w:r>
        <w:rPr>
          <w:rFonts w:ascii="Arial" w:hAnsi="Arial"/>
          <w:b/>
          <w:i w:val="0"/>
          <w:color w:val="111827"/>
          <w:sz w:val="24"/>
        </w:rPr>
        <w:t>delegação de apenas TRÊS matérias específicas</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Art. 84, VI:</w:t>
      </w:r>
      <w:r>
        <w:rPr>
          <w:rFonts w:ascii="Arial" w:hAnsi="Arial"/>
          <w:b w:val="0"/>
          <w:i w:val="0"/>
          <w:color w:val="111827"/>
          <w:sz w:val="22"/>
        </w:rPr>
        <w:t xml:space="preserve"> Dispor, mediante </w:t>
      </w:r>
      <w:r>
        <w:rPr>
          <w:rFonts w:ascii="Arial" w:hAnsi="Arial"/>
          <w:b/>
          <w:i w:val="0"/>
          <w:color w:val="111827"/>
          <w:sz w:val="22"/>
        </w:rPr>
        <w:t>decreto autônomo</w:t>
      </w:r>
      <w:r>
        <w:rPr>
          <w:rFonts w:ascii="Arial" w:hAnsi="Arial"/>
          <w:b w:val="0"/>
          <w:i w:val="0"/>
          <w:color w:val="111827"/>
          <w:sz w:val="22"/>
        </w:rPr>
        <w:t>, sobre:</w:t>
      </w:r>
    </w:p>
    <w:p>
      <w:pPr>
        <w:spacing w:line="276" w:lineRule="auto" w:before="20" w:after="40"/>
        <w:ind w:left="992"/>
      </w:pPr>
      <w:r>
        <w:rPr>
          <w:rFonts w:ascii="Arial" w:hAnsi="Arial"/>
          <w:b/>
          <w:color w:val="2B6CB0"/>
          <w:sz w:val="22"/>
        </w:rPr>
        <w:t xml:space="preserve">• </w:t>
      </w:r>
      <w:r>
        <w:rPr>
          <w:rFonts w:ascii="Arial" w:hAnsi="Arial"/>
          <w:b w:val="0"/>
          <w:i/>
          <w:color w:val="111827"/>
          <w:sz w:val="22"/>
        </w:rPr>
        <w:t>a)</w:t>
      </w:r>
      <w:r>
        <w:rPr>
          <w:rFonts w:ascii="Arial" w:hAnsi="Arial"/>
          <w:b w:val="0"/>
          <w:i w:val="0"/>
          <w:color w:val="111827"/>
          <w:sz w:val="22"/>
        </w:rPr>
        <w:t xml:space="preserve"> Organização e funcionamento da administração federal, quando não implicar aumento de despesa nem criação ou extinção de órgãos públicos;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b)</w:t>
      </w:r>
      <w:r>
        <w:rPr>
          <w:rFonts w:ascii="Arial" w:hAnsi="Arial"/>
          <w:b w:val="0"/>
          <w:i w:val="0"/>
          <w:color w:val="111827"/>
          <w:sz w:val="22"/>
        </w:rPr>
        <w:t xml:space="preserve"> Extinção de funções ou cargos públicos, quando vagos;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Art. 84, XII:</w:t>
      </w:r>
      <w:r>
        <w:rPr>
          <w:rFonts w:ascii="Arial" w:hAnsi="Arial"/>
          <w:b w:val="0"/>
          <w:i w:val="0"/>
          <w:color w:val="111827"/>
          <w:sz w:val="22"/>
        </w:rPr>
        <w:t xml:space="preserve"> Conceder </w:t>
      </w:r>
      <w:r>
        <w:rPr>
          <w:rFonts w:ascii="Arial" w:hAnsi="Arial"/>
          <w:b/>
          <w:i w:val="0"/>
          <w:color w:val="111827"/>
          <w:sz w:val="22"/>
        </w:rPr>
        <w:t>indulto e comutar penas</w:t>
      </w:r>
      <w:r>
        <w:rPr>
          <w:rFonts w:ascii="Arial" w:hAnsi="Arial"/>
          <w:b w:val="0"/>
          <w:i w:val="0"/>
          <w:color w:val="111827"/>
          <w:sz w:val="22"/>
        </w:rPr>
        <w:t>, com audiência, se necessário, dos órgãos instituídos em lei;</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Art. 84, XXV, primeira parte:</w:t>
      </w:r>
      <w:r>
        <w:rPr>
          <w:rFonts w:ascii="Arial" w:hAnsi="Arial"/>
          <w:b w:val="0"/>
          <w:i w:val="0"/>
          <w:color w:val="111827"/>
          <w:sz w:val="22"/>
        </w:rPr>
        <w:t xml:space="preserve"> </w:t>
      </w:r>
      <w:r>
        <w:rPr>
          <w:rFonts w:ascii="Arial" w:hAnsi="Arial"/>
          <w:b/>
          <w:i w:val="0"/>
          <w:color w:val="111827"/>
          <w:sz w:val="22"/>
        </w:rPr>
        <w:t>Prover</w:t>
      </w:r>
      <w:r>
        <w:rPr>
          <w:rFonts w:ascii="Arial" w:hAnsi="Arial"/>
          <w:b w:val="0"/>
          <w:i w:val="0"/>
          <w:color w:val="111827"/>
          <w:sz w:val="22"/>
        </w:rPr>
        <w:t xml:space="preserve"> cargos públicos federais, na forma da lei.</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Extinção de Órgãos Públicos:</w:t>
            </w:r>
            <w:r>
              <w:rPr>
                <w:rFonts w:ascii="Arial" w:hAnsi="Arial"/>
                <w:b w:val="0"/>
                <w:i w:val="0"/>
                <w:color w:val="111827"/>
                <w:sz w:val="21"/>
              </w:rPr>
              <w:t xml:space="preserve"> O Presidente NÃO pode criar nem extinguir Ministérios ou órgãos públicos por decreto! A criação e extinção de órgãos públicos exige expressamente </w:t>
            </w:r>
            <w:r>
              <w:rPr>
                <w:rFonts w:ascii="Arial" w:hAnsi="Arial"/>
                <w:b/>
                <w:i w:val="0"/>
                <w:color w:val="111827"/>
                <w:sz w:val="21"/>
              </w:rPr>
              <w:t>lei formal ordinária</w:t>
            </w:r>
            <w:r>
              <w:rPr>
                <w:rFonts w:ascii="Arial" w:hAnsi="Arial"/>
                <w:b w:val="0"/>
                <w:i w:val="0"/>
                <w:color w:val="111827"/>
                <w:sz w:val="21"/>
              </w:rPr>
              <w:t xml:space="preserve"> (art. 88 da CF/88). O decreto autônomo serve exclusivamente para organizar órgãos existentes sem gerar custos ou extinguir cargos vagos.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Extinção de Cargos Públicos Ocupados:</w:t>
            </w:r>
            <w:r>
              <w:rPr>
                <w:rFonts w:ascii="Arial" w:hAnsi="Arial"/>
                <w:b w:val="0"/>
                <w:i w:val="0"/>
                <w:color w:val="111827"/>
                <w:sz w:val="21"/>
              </w:rPr>
              <w:t xml:space="preserve"> Depende obrigatoriamente de lei formal. Por decreto autônomo, o Chefe do Executivo só pode extinguir cargos e funções quando estiverem </w:t>
            </w:r>
            <w:r>
              <w:rPr>
                <w:rFonts w:ascii="Arial" w:hAnsi="Arial"/>
                <w:b/>
                <w:i w:val="0"/>
                <w:color w:val="111827"/>
                <w:sz w:val="21"/>
              </w:rPr>
              <w:t>vagos</w:t>
            </w:r>
            <w:r>
              <w:rPr>
                <w:rFonts w:ascii="Arial" w:hAnsi="Arial"/>
                <w:b w:val="0"/>
                <w:i w:val="0"/>
                <w:color w:val="111827"/>
                <w:sz w:val="21"/>
              </w:rPr>
              <w:t>!</w:t>
            </w:r>
          </w:p>
        </w:tc>
      </w:tr>
    </w:tbl>
    <w:p>
      <w:pPr>
        <w:spacing w:before="0" w:after="120"/>
      </w:pPr>
    </w:p>
    <w:p>
      <w:pPr>
        <w:keepNext/>
        <w:spacing w:before="120" w:after="40"/>
      </w:pPr>
      <w:r>
        <w:rPr>
          <w:rFonts w:ascii="Arial" w:hAnsi="Arial"/>
          <w:b/>
          <w:i/>
          <w:color w:val="334155"/>
          <w:sz w:val="22"/>
        </w:rPr>
        <w:t>1.3 Responsabilidade do Presidente da República e Imunidades (Arts. 85 e 86)</w:t>
      </w:r>
    </w:p>
    <w:p>
      <w:pPr>
        <w:spacing w:line="360" w:lineRule="auto" w:before="0" w:after="80"/>
        <w:jc w:val="both"/>
      </w:pPr>
      <w:r>
        <w:rPr>
          <w:rFonts w:ascii="Arial" w:hAnsi="Arial"/>
          <w:b w:val="0"/>
          <w:i w:val="0"/>
          <w:color w:val="111827"/>
          <w:sz w:val="24"/>
        </w:rPr>
        <w:t>O Presidente da República responde perante o STF por crimes comuns e perante o Senado Federal por crimes de responsabilidade (</w:t>
      </w:r>
      <w:r>
        <w:rPr>
          <w:rFonts w:ascii="Arial" w:hAnsi="Arial"/>
          <w:b w:val="0"/>
          <w:i/>
          <w:color w:val="111827"/>
          <w:sz w:val="24"/>
        </w:rPr>
        <w:t>impeachment</w:t>
      </w:r>
      <w:r>
        <w:rPr>
          <w:rFonts w:ascii="Arial" w:hAnsi="Arial"/>
          <w:b w:val="0"/>
          <w:i w:val="0"/>
          <w:color w:val="111827"/>
          <w:sz w:val="24"/>
        </w:rPr>
        <w:t>).</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Aspecto Procedimental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Crime Comum (Penal)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Crime de Responsabilidade (</w:t>
            </w:r>
            <w:r>
              <w:rPr>
                <w:rFonts w:ascii="Arial" w:hAnsi="Arial"/>
                <w:b/>
                <w:i/>
                <w:color w:val="FFFFFF"/>
                <w:sz w:val="20"/>
              </w:rPr>
              <w:t>Impeachment</w:t>
            </w:r>
            <w:r>
              <w:rPr>
                <w:rFonts w:ascii="Arial" w:hAnsi="Arial"/>
                <w:b/>
                <w:i w:val="0"/>
                <w:color w:val="FFFFFF"/>
                <w:sz w:val="20"/>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Juízo de Admissibilidade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Câmara dos Deputados</w:t>
            </w:r>
            <w:r>
              <w:rPr>
                <w:rFonts w:ascii="Arial" w:hAnsi="Arial"/>
                <w:b w:val="0"/>
                <w:i w:val="0"/>
                <w:color w:val="111827"/>
                <w:sz w:val="19"/>
              </w:rPr>
              <w:t xml:space="preserve"> (quórum de 2/3 dos membros)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Câmara dos Deputados</w:t>
            </w:r>
            <w:r>
              <w:rPr>
                <w:rFonts w:ascii="Arial" w:hAnsi="Arial"/>
                <w:b w:val="0"/>
                <w:i w:val="0"/>
                <w:color w:val="111827"/>
                <w:sz w:val="19"/>
              </w:rPr>
              <w:t xml:space="preserve"> (quórum de 2/3 dos membros)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Órgão Julgador Competente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Supremo Tribunal Federal (STF)</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Senado Federal</w:t>
            </w:r>
            <w:r>
              <w:rPr>
                <w:rFonts w:ascii="Arial" w:hAnsi="Arial"/>
                <w:b w:val="0"/>
                <w:i w:val="0"/>
                <w:color w:val="111827"/>
                <w:sz w:val="19"/>
              </w:rPr>
              <w:t xml:space="preserve"> (sob presidência do Presidente do STF)</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Instauração do Processo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Recebimento da denúncia ou queixa pelo STF</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Deliberação do Plenário do Senado Federal por maioria simples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Afastamento Preventivo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Fica suspenso de suas funções por até 180 dias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Fica suspenso de suas funções por até 180 dias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Sanção Constitucional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Penas privativas de liberdade / multas criminais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Perda do cargo</w:t>
            </w:r>
            <w:r>
              <w:rPr>
                <w:rFonts w:ascii="Arial" w:hAnsi="Arial"/>
                <w:b w:val="0"/>
                <w:i w:val="0"/>
                <w:color w:val="111827"/>
                <w:sz w:val="19"/>
              </w:rPr>
              <w:t xml:space="preserve"> + </w:t>
            </w:r>
            <w:r>
              <w:rPr>
                <w:rFonts w:ascii="Arial" w:hAnsi="Arial"/>
                <w:b/>
                <w:i w:val="0"/>
                <w:color w:val="111827"/>
                <w:sz w:val="19"/>
              </w:rPr>
              <w:t>inabilitação por 8 anos</w:t>
            </w:r>
            <w:r>
              <w:rPr>
                <w:rFonts w:ascii="Arial" w:hAnsi="Arial"/>
                <w:b w:val="0"/>
                <w:i w:val="0"/>
                <w:color w:val="111827"/>
                <w:sz w:val="19"/>
              </w:rPr>
              <w:t xml:space="preserve"> para qualquer função pública (quórum de 2/3 do Senado)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Imunidade Prisional (Art. 86, § 3º)</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pode ser preso</w:t>
            </w:r>
            <w:r>
              <w:rPr>
                <w:rFonts w:ascii="Arial" w:hAnsi="Arial"/>
                <w:b w:val="0"/>
                <w:i w:val="0"/>
                <w:color w:val="111827"/>
                <w:sz w:val="19"/>
              </w:rPr>
              <w:t>, na vigência do mandato, senão após sentença penal condenatória transitada em julgado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Inaplicável medida penal coercitiva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Irresponsabilidade Relativa (Art. 86, § 4º)</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 pode ser responsabilizado por atos estranhos ao exercício de suas funções</w:t>
            </w:r>
            <w:r>
              <w:rPr>
                <w:rFonts w:ascii="Arial" w:hAnsi="Arial"/>
                <w:b w:val="0"/>
                <w:i w:val="0"/>
                <w:color w:val="111827"/>
                <w:sz w:val="19"/>
              </w:rPr>
              <w:t xml:space="preserve"> na vigência do mandato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Aplicável a atos conexos ao exercício funcional</w:t>
            </w:r>
          </w:p>
        </w:tc>
      </w:tr>
    </w:tbl>
    <w:p>
      <w:pPr>
        <w:spacing w:after="120"/>
      </w:pPr>
    </w:p>
    <w:p>
      <w:pPr>
        <w:keepNext/>
        <w:spacing w:before="200" w:after="80"/>
      </w:pPr>
      <w:r>
        <w:rPr>
          <w:rFonts w:ascii="Arial" w:hAnsi="Arial"/>
          <w:b/>
          <w:i w:val="0"/>
          <w:color w:val="2B6CB0"/>
          <w:sz w:val="24"/>
        </w:rPr>
        <w:t>2. Poder Judiciário: Estrutura Orgânica, CNJ e Súmula Vinculante</w:t>
      </w:r>
    </w:p>
    <w:p>
      <w:pPr>
        <w:keepNext/>
        <w:spacing w:before="120" w:after="40"/>
      </w:pPr>
      <w:r>
        <w:rPr>
          <w:rFonts w:ascii="Arial" w:hAnsi="Arial"/>
          <w:b/>
          <w:i/>
          <w:color w:val="334155"/>
          <w:sz w:val="22"/>
        </w:rPr>
        <w:t>2.1 Garantias e Vedações dos Magistrados (Art. 95 da CF/88)</w:t>
      </w:r>
    </w:p>
    <w:p>
      <w:pPr>
        <w:spacing w:line="276" w:lineRule="auto" w:before="20" w:after="40"/>
        <w:ind w:left="425"/>
      </w:pPr>
      <w:r>
        <w:rPr>
          <w:rFonts w:ascii="Arial" w:hAnsi="Arial"/>
          <w:b/>
          <w:color w:val="2B6CB0"/>
          <w:sz w:val="22"/>
        </w:rPr>
        <w:t xml:space="preserve">• </w:t>
      </w:r>
      <w:r>
        <w:rPr>
          <w:rFonts w:ascii="Arial" w:hAnsi="Arial"/>
          <w:b/>
          <w:i w:val="0"/>
          <w:color w:val="111827"/>
          <w:sz w:val="22"/>
        </w:rPr>
        <w:t>Garantias Constitucionais: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Vitaliciedade:</w:t>
      </w:r>
      <w:r>
        <w:rPr>
          <w:rFonts w:ascii="Arial" w:hAnsi="Arial"/>
          <w:b w:val="0"/>
          <w:i w:val="0"/>
          <w:color w:val="111827"/>
          <w:sz w:val="22"/>
        </w:rPr>
        <w:t xml:space="preserve"> Em primeiro grau, só é adquirida após </w:t>
      </w:r>
      <w:r>
        <w:rPr>
          <w:rFonts w:ascii="Arial" w:hAnsi="Arial"/>
          <w:b/>
          <w:i w:val="0"/>
          <w:color w:val="111827"/>
          <w:sz w:val="22"/>
        </w:rPr>
        <w:t>2 (dois) anos de efetivo exercício</w:t>
      </w:r>
      <w:r>
        <w:rPr>
          <w:rFonts w:ascii="Arial" w:hAnsi="Arial"/>
          <w:b w:val="0"/>
          <w:i w:val="0"/>
          <w:color w:val="111827"/>
          <w:sz w:val="22"/>
        </w:rPr>
        <w:t xml:space="preserve"> (no período inicial de 2 anos, a perda do cargo dá-se por deliberação do tribunal respectivo; após os 2 anos, exige-se sentença judicial transitada em julgado).</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Inamovibilidade:</w:t>
      </w:r>
      <w:r>
        <w:rPr>
          <w:rFonts w:ascii="Arial" w:hAnsi="Arial"/>
          <w:b w:val="0"/>
          <w:i w:val="0"/>
          <w:color w:val="111827"/>
          <w:sz w:val="22"/>
        </w:rPr>
        <w:t xml:space="preserve"> O juiz não pode ser removido compulsoriamente, salvo por motivo de interesse público, fundamentado em decisão tomada pela maioria absoluta do tribunal ou do Conselho Nacional de Justiça (CNJ).</w:t>
      </w:r>
    </w:p>
    <w:p>
      <w:pPr>
        <w:spacing w:line="276" w:lineRule="auto" w:before="20" w:after="40"/>
        <w:ind w:left="992"/>
      </w:pPr>
      <w:r>
        <w:rPr>
          <w:rFonts w:ascii="Arial" w:hAnsi="Arial"/>
          <w:b/>
          <w:color w:val="2B6CB0"/>
          <w:sz w:val="22"/>
        </w:rPr>
        <w:t xml:space="preserve">• </w:t>
      </w:r>
      <w:r>
        <w:rPr>
          <w:rFonts w:ascii="Arial" w:hAnsi="Arial"/>
          <w:b w:val="0"/>
          <w:i/>
          <w:color w:val="111827"/>
          <w:sz w:val="22"/>
        </w:rPr>
        <w:t>Irredutibilidade de Subsídio:</w:t>
      </w:r>
      <w:r>
        <w:rPr>
          <w:rFonts w:ascii="Arial" w:hAnsi="Arial"/>
          <w:b w:val="0"/>
          <w:i w:val="0"/>
          <w:color w:val="111827"/>
          <w:sz w:val="22"/>
        </w:rPr>
        <w:t xml:space="preserve"> Remuneração protegida contra reduções nominais arbitrárias, sujeita ao teto constitucional e aos tributos gerais.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Vedações Constitucionais: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Exercer, ainda que em disponibilidade, outro cargo ou função, salvo </w:t>
      </w:r>
      <w:r>
        <w:rPr>
          <w:rFonts w:ascii="Arial" w:hAnsi="Arial"/>
          <w:b/>
          <w:i w:val="0"/>
          <w:color w:val="111827"/>
          <w:sz w:val="22"/>
        </w:rPr>
        <w:t>uma de magistério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Receber, a qualquer título ou sob qualquer pretexto, custas ou participação em processo;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Dedicar-se a </w:t>
      </w:r>
      <w:r>
        <w:rPr>
          <w:rFonts w:ascii="Arial" w:hAnsi="Arial"/>
          <w:b/>
          <w:i w:val="0"/>
          <w:color w:val="111827"/>
          <w:sz w:val="22"/>
        </w:rPr>
        <w:t>atividade político-partidária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Receber auxílios ou contribuições de pessoas físicas ou entidades públicas/privadas;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Exercer a advocacia no juízo ou tribunal do qual se afastou antes de decorridos </w:t>
      </w:r>
      <w:r>
        <w:rPr>
          <w:rFonts w:ascii="Arial" w:hAnsi="Arial"/>
          <w:b/>
          <w:i w:val="0"/>
          <w:color w:val="111827"/>
          <w:sz w:val="22"/>
        </w:rPr>
        <w:t>3 (três) anos</w:t>
      </w:r>
      <w:r>
        <w:rPr>
          <w:rFonts w:ascii="Arial" w:hAnsi="Arial"/>
          <w:b w:val="0"/>
          <w:i w:val="0"/>
          <w:color w:val="111827"/>
          <w:sz w:val="22"/>
        </w:rPr>
        <w:t xml:space="preserve"> do afastamento do cargo por aposentadoria ou exoneração (</w:t>
      </w:r>
      <w:r>
        <w:rPr>
          <w:rFonts w:ascii="Arial" w:hAnsi="Arial"/>
          <w:b w:val="0"/>
          <w:i/>
          <w:color w:val="111827"/>
          <w:sz w:val="22"/>
        </w:rPr>
        <w:t>quarentena de saída</w:t>
      </w:r>
      <w:r>
        <w:rPr>
          <w:rFonts w:ascii="Arial" w:hAnsi="Arial"/>
          <w:b w:val="0"/>
          <w:i w:val="0"/>
          <w:color w:val="111827"/>
          <w:sz w:val="22"/>
        </w:rPr>
        <w:t xml:space="preserve"> - Art. 95, parágrafo único, V).</w:t>
      </w:r>
    </w:p>
    <w:p>
      <w:pPr>
        <w:keepNext/>
        <w:spacing w:before="120" w:after="40"/>
      </w:pPr>
      <w:r>
        <w:rPr>
          <w:rFonts w:ascii="Arial" w:hAnsi="Arial"/>
          <w:b/>
          <w:i/>
          <w:color w:val="334155"/>
          <w:sz w:val="22"/>
        </w:rPr>
        <w:t>2.2 Conselho Nacional de Justiça (CNJ - Art. 103-B)</w:t>
      </w:r>
    </w:p>
    <w:p>
      <w:pPr>
        <w:spacing w:line="360" w:lineRule="auto" w:before="0" w:after="80"/>
        <w:jc w:val="both"/>
      </w:pPr>
      <w:r>
        <w:rPr>
          <w:rFonts w:ascii="Arial" w:hAnsi="Arial"/>
          <w:b w:val="0"/>
          <w:i w:val="0"/>
          <w:color w:val="111827"/>
          <w:sz w:val="24"/>
        </w:rPr>
        <w:t xml:space="preserve">O CNJ compõe-se de </w:t>
      </w:r>
      <w:r>
        <w:rPr>
          <w:rFonts w:ascii="Arial" w:hAnsi="Arial"/>
          <w:b/>
          <w:i w:val="0"/>
          <w:color w:val="111827"/>
          <w:sz w:val="24"/>
        </w:rPr>
        <w:t>15 membros</w:t>
      </w:r>
      <w:r>
        <w:rPr>
          <w:rFonts w:ascii="Arial" w:hAnsi="Arial"/>
          <w:b w:val="0"/>
          <w:i w:val="0"/>
          <w:color w:val="111827"/>
          <w:sz w:val="24"/>
        </w:rPr>
        <w:t xml:space="preserve">, com mandato de </w:t>
      </w:r>
      <w:r>
        <w:rPr>
          <w:rFonts w:ascii="Arial" w:hAnsi="Arial"/>
          <w:b/>
          <w:i w:val="0"/>
          <w:color w:val="111827"/>
          <w:sz w:val="24"/>
        </w:rPr>
        <w:t>2 anos</w:t>
      </w:r>
      <w:r>
        <w:rPr>
          <w:rFonts w:ascii="Arial" w:hAnsi="Arial"/>
          <w:b w:val="0"/>
          <w:i w:val="0"/>
          <w:color w:val="111827"/>
          <w:sz w:val="24"/>
        </w:rPr>
        <w:t xml:space="preserve">, admitida </w:t>
      </w:r>
      <w:r>
        <w:rPr>
          <w:rFonts w:ascii="Arial" w:hAnsi="Arial"/>
          <w:b/>
          <w:i w:val="0"/>
          <w:color w:val="111827"/>
          <w:sz w:val="24"/>
        </w:rPr>
        <w:t>uma única recondução</w:t>
      </w:r>
      <w:r>
        <w:rPr>
          <w:rFonts w:ascii="Arial" w:hAnsi="Arial"/>
          <w:b w:val="0"/>
          <w:i w:val="0"/>
          <w:color w:val="111827"/>
          <w:sz w:val="24"/>
        </w:rPr>
        <w:t>, presidido pelo Presidente do Supremo Tribunal Federal.</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O CNJ </w:t>
            </w:r>
            <w:r>
              <w:rPr>
                <w:rFonts w:ascii="Arial" w:hAnsi="Arial"/>
                <w:b/>
                <w:i w:val="0"/>
                <w:color w:val="111827"/>
                <w:sz w:val="21"/>
              </w:rPr>
              <w:t>NÃO tem competência jurisdicional</w:t>
            </w:r>
            <w:r>
              <w:rPr>
                <w:rFonts w:ascii="Arial" w:hAnsi="Arial"/>
                <w:b w:val="0"/>
                <w:i w:val="0"/>
                <w:color w:val="111827"/>
                <w:sz w:val="21"/>
              </w:rPr>
              <w:t>! O CNJ não pode anular sentença de juiz, não pode apreciar recursos contra decisões judiciais e não pode revogar liminares concedidas em processos judiciais. Qualquer questão da FCC que afirme que o CNJ "reformou a sentença de primeiro grau por contrariar a lei" está redondamente incorreta! O controle jurisdicional pertence exclusivamente às instâncias recursais (TJ, TRF, STJ, STF).</w:t>
            </w:r>
          </w:p>
        </w:tc>
      </w:tr>
    </w:tbl>
    <w:p>
      <w:pPr>
        <w:spacing w:before="0" w:after="120"/>
      </w:pPr>
    </w:p>
    <w:p>
      <w:pPr>
        <w:keepNext/>
        <w:spacing w:before="120" w:after="40"/>
      </w:pPr>
      <w:r>
        <w:rPr>
          <w:rFonts w:ascii="Arial" w:hAnsi="Arial"/>
          <w:b/>
          <w:i/>
          <w:color w:val="334155"/>
          <w:sz w:val="22"/>
        </w:rPr>
        <w:t>2.3 Supremo Tribunal Federal e o Regime da Súmula Vinculante (Art. 103-A)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Composição do STF:</w:t>
      </w:r>
      <w:r>
        <w:rPr>
          <w:rFonts w:ascii="Arial" w:hAnsi="Arial"/>
          <w:b w:val="0"/>
          <w:i w:val="0"/>
          <w:color w:val="111827"/>
          <w:sz w:val="22"/>
        </w:rPr>
        <w:t xml:space="preserve"> 11 Ministros, escolhidos dentre cidadãos com mais de 35 e menos de 70 anos de idade, de notável saber jurídico e reputação ilibada, nomeados pelo Presidente da República após aprovação pela maioria absoluta do Senado Federal.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Aprovação e Cancelamento de Súmula Vinculante:</w:t>
      </w:r>
      <w:r>
        <w:rPr>
          <w:rFonts w:ascii="Arial" w:hAnsi="Arial"/>
          <w:b w:val="0"/>
          <w:i w:val="0"/>
          <w:color w:val="111827"/>
          <w:sz w:val="22"/>
        </w:rPr>
        <w:t xml:space="preserve"> O STF pode, de ofício ou por provocação, mediante decisão de </w:t>
      </w:r>
      <w:r>
        <w:rPr>
          <w:rFonts w:ascii="Arial" w:hAnsi="Arial"/>
          <w:b/>
          <w:i w:val="0"/>
          <w:color w:val="111827"/>
          <w:sz w:val="22"/>
        </w:rPr>
        <w:t>dois terços (2/3) dos seus membros (8 votos)</w:t>
      </w:r>
      <w:r>
        <w:rPr>
          <w:rFonts w:ascii="Arial" w:hAnsi="Arial"/>
          <w:b w:val="0"/>
          <w:i w:val="0"/>
          <w:color w:val="111827"/>
          <w:sz w:val="22"/>
        </w:rPr>
        <w:t>, aprovar, revisar ou cancelar enunciado de súmula vinculante, após reiteradas decisões sobre matéria constitucional.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Eficácia Vinculante:</w:t>
      </w:r>
      <w:r>
        <w:rPr>
          <w:rFonts w:ascii="Arial" w:hAnsi="Arial"/>
          <w:b w:val="0"/>
          <w:i w:val="0"/>
          <w:color w:val="111827"/>
          <w:sz w:val="22"/>
        </w:rPr>
        <w:t xml:space="preserve"> Vincula todos os demais órgãos do Poder Judiciário e a </w:t>
      </w:r>
      <w:r>
        <w:rPr>
          <w:rFonts w:ascii="Arial" w:hAnsi="Arial"/>
          <w:b/>
          <w:i w:val="0"/>
          <w:color w:val="111827"/>
          <w:sz w:val="22"/>
        </w:rPr>
        <w:t>Administração Pública direta e indireta, nas esferas federal, estadual e municipal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Limitações do Efeito Vinculante: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próprio STF não é vinculado (pode cancelar ou alterar suas súmulas).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w:t>
      </w:r>
      <w:r>
        <w:rPr>
          <w:rFonts w:ascii="Arial" w:hAnsi="Arial"/>
          <w:b/>
          <w:i w:val="0"/>
          <w:color w:val="111827"/>
          <w:sz w:val="22"/>
        </w:rPr>
        <w:t>Poder Legislativo em sua atividade legiferante típica NÃO é vinculado</w:t>
      </w:r>
      <w:r>
        <w:rPr>
          <w:rFonts w:ascii="Arial" w:hAnsi="Arial"/>
          <w:b w:val="0"/>
          <w:i w:val="0"/>
          <w:color w:val="111827"/>
          <w:sz w:val="22"/>
        </w:rPr>
        <w:t>! O Congresso Nacional pode aprovar lei com conteúdo diametralmente oposto ao estabelecido em súmula vinculante (</w:t>
      </w:r>
      <w:r>
        <w:rPr>
          <w:rFonts w:ascii="Arial" w:hAnsi="Arial"/>
          <w:b w:val="0"/>
          <w:i/>
          <w:color w:val="111827"/>
          <w:sz w:val="22"/>
        </w:rPr>
        <w:t>legiferação reativa</w:t>
      </w:r>
      <w:r>
        <w:rPr>
          <w:rFonts w:ascii="Arial" w:hAnsi="Arial"/>
          <w:b w:val="0"/>
          <w:i w:val="0"/>
          <w:color w:val="111827"/>
          <w:sz w:val="22"/>
        </w:rPr>
        <w:t>), sem que isso configure desobediência.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Instrumento Processual de Defesa:</w:t>
      </w:r>
      <w:r>
        <w:rPr>
          <w:rFonts w:ascii="Arial" w:hAnsi="Arial"/>
          <w:b w:val="0"/>
          <w:i w:val="0"/>
          <w:color w:val="111827"/>
          <w:sz w:val="22"/>
        </w:rPr>
        <w:t xml:space="preserve"> Contra ato administrativo ou decisão judicial que contrariar a súmula vinculante ou aplicá-la indevidamente, cabe </w:t>
      </w:r>
      <w:r>
        <w:rPr>
          <w:rFonts w:ascii="Arial" w:hAnsi="Arial"/>
          <w:b/>
          <w:i w:val="0"/>
          <w:color w:val="111827"/>
          <w:sz w:val="22"/>
        </w:rPr>
        <w:t>Reclamação Constitucional</w:t>
      </w:r>
      <w:r>
        <w:rPr>
          <w:rFonts w:ascii="Arial" w:hAnsi="Arial"/>
          <w:b w:val="0"/>
          <w:i w:val="0"/>
          <w:color w:val="111827"/>
          <w:sz w:val="22"/>
        </w:rPr>
        <w:t xml:space="preserve"> diretamente ao STF (Art. 103-A, § 3º).</w:t>
      </w:r>
    </w:p>
    <w:p>
      <w:pPr>
        <w:keepNext/>
        <w:spacing w:before="120" w:after="40"/>
      </w:pPr>
      <w:r>
        <w:rPr>
          <w:rFonts w:ascii="Arial" w:hAnsi="Arial"/>
          <w:b/>
          <w:i/>
          <w:color w:val="334155"/>
          <w:sz w:val="22"/>
        </w:rPr>
        <w:t>2.4 Superior Tribunal de Justiça e o Filtro de Relevância (Arts. 104 e 105)</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Composição do STJ:</w:t>
      </w:r>
      <w:r>
        <w:rPr>
          <w:rFonts w:ascii="Arial" w:hAnsi="Arial"/>
          <w:b w:val="0"/>
          <w:i w:val="0"/>
          <w:color w:val="111827"/>
          <w:sz w:val="22"/>
        </w:rPr>
        <w:t xml:space="preserve"> No mínimo 33 Ministros, nomeados pelo Presidente da República após aprovação por maioria absoluta do Senado Federal, entre brasileiros com mais de 35 e menos de 70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Papel Constitucional:</w:t>
      </w:r>
      <w:r>
        <w:rPr>
          <w:rFonts w:ascii="Arial" w:hAnsi="Arial"/>
          <w:b w:val="0"/>
          <w:i w:val="0"/>
          <w:color w:val="111827"/>
          <w:sz w:val="22"/>
        </w:rPr>
        <w:t xml:space="preserve"> Guardião da integridade da legislação federal infraconstitucional e uniformizador da interpretação das leis federais.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Filtro de Relevância no Recurso Especial (EC nº 125/2022):</w:t>
      </w:r>
      <w:r>
        <w:rPr>
          <w:rFonts w:ascii="Arial" w:hAnsi="Arial"/>
          <w:b w:val="0"/>
          <w:i w:val="0"/>
          <w:color w:val="111827"/>
          <w:sz w:val="22"/>
        </w:rPr>
        <w:t xml:space="preserve"> No Recurso Especial (REsp), o recorrente deve demonstrar a relevância das questões de direito federal infraconstitucional discutidas no caso, para que o Tribunal examine a admissão do recurso, somente podendo ser recusado pela manifestação de dois terços dos membros do órgão competente para o julgamento.</w:t>
      </w:r>
    </w:p>
    <w:p>
      <w:pPr>
        <w:keepNext/>
        <w:spacing w:before="200" w:after="80"/>
      </w:pPr>
      <w:r>
        <w:rPr>
          <w:rFonts w:ascii="Arial" w:hAnsi="Arial"/>
          <w:b/>
          <w:i w:val="0"/>
          <w:color w:val="2B6CB0"/>
          <w:sz w:val="24"/>
        </w:rPr>
        <w:t>3. Funções Essenciais à Justiça</w:t>
      </w:r>
    </w:p>
    <w:p>
      <w:pPr>
        <w:spacing w:after="120"/>
      </w:pPr>
    </w:p>
    <w:p>
      <w:pPr>
        <w:keepNext/>
        <w:spacing w:before="120" w:after="40"/>
      </w:pPr>
      <w:r>
        <w:rPr>
          <w:rFonts w:ascii="Arial" w:hAnsi="Arial"/>
          <w:b/>
          <w:i/>
          <w:color w:val="334155"/>
          <w:sz w:val="22"/>
        </w:rPr>
        <w:t>3.1 Ministério Público e o CNMP (Arts. 127 a 130-A)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Princípios Institucionais:</w:t>
      </w:r>
      <w:r>
        <w:rPr>
          <w:rFonts w:ascii="Arial" w:hAnsi="Arial"/>
          <w:b w:val="0"/>
          <w:i w:val="0"/>
          <w:color w:val="111827"/>
          <w:sz w:val="22"/>
        </w:rPr>
        <w:t xml:space="preserve"> Unidade, indivisibilidade e independência funcional.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Autonomia Constitucional:</w:t>
      </w:r>
      <w:r>
        <w:rPr>
          <w:rFonts w:ascii="Arial" w:hAnsi="Arial"/>
          <w:b w:val="0"/>
          <w:i w:val="0"/>
          <w:color w:val="111827"/>
          <w:sz w:val="22"/>
        </w:rPr>
        <w:t xml:space="preserve"> O Ministério Público é dotado de autonomia funcional, administrativa e iniciativa de sua proposta orçamentária dentro dos limites da LDO.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Chefia Institucional: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Ministério Público da União (PGR):</w:t>
      </w:r>
      <w:r>
        <w:rPr>
          <w:rFonts w:ascii="Arial" w:hAnsi="Arial"/>
          <w:b w:val="0"/>
          <w:i w:val="0"/>
          <w:color w:val="111827"/>
          <w:sz w:val="22"/>
        </w:rPr>
        <w:t xml:space="preserve"> Escolhido pelo Presidente da República dentre integrantes da carreira maiores de 35 anos, após aprovação por </w:t>
      </w:r>
      <w:r>
        <w:rPr>
          <w:rFonts w:ascii="Arial" w:hAnsi="Arial"/>
          <w:b/>
          <w:i w:val="0"/>
          <w:color w:val="111827"/>
          <w:sz w:val="22"/>
        </w:rPr>
        <w:t>maioria absoluta do Senado Federal</w:t>
      </w:r>
      <w:r>
        <w:rPr>
          <w:rFonts w:ascii="Arial" w:hAnsi="Arial"/>
          <w:b w:val="0"/>
          <w:i w:val="0"/>
          <w:color w:val="111827"/>
          <w:sz w:val="22"/>
        </w:rPr>
        <w:t>, para mandato de 2 anos, permitidas reconduções.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Ministério Público dos Estados (PGJ):</w:t>
      </w:r>
      <w:r>
        <w:rPr>
          <w:rFonts w:ascii="Arial" w:hAnsi="Arial"/>
          <w:b w:val="0"/>
          <w:i w:val="0"/>
          <w:color w:val="111827"/>
          <w:sz w:val="22"/>
        </w:rPr>
        <w:t xml:space="preserve"> Escolhido pelo Governador a partir de lista tríplice formada pelos integrantes da carreira, para mandato de 2 anos, permitida uma única recondução consecutiva.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Conselho Nacional do Ministério Público (CNMP - Art. 130-A):</w:t>
      </w:r>
      <w:r>
        <w:rPr>
          <w:rFonts w:ascii="Arial" w:hAnsi="Arial"/>
          <w:b w:val="0"/>
          <w:i w:val="0"/>
          <w:color w:val="111827"/>
          <w:sz w:val="22"/>
        </w:rPr>
        <w:t xml:space="preserve"> Órgão de controle administrativo, financeiro e disciplinar do Ministério Público, composto por </w:t>
      </w:r>
      <w:r>
        <w:rPr>
          <w:rFonts w:ascii="Arial" w:hAnsi="Arial"/>
          <w:b/>
          <w:i w:val="0"/>
          <w:color w:val="111827"/>
          <w:sz w:val="22"/>
        </w:rPr>
        <w:t>14 membros</w:t>
      </w:r>
      <w:r>
        <w:rPr>
          <w:rFonts w:ascii="Arial" w:hAnsi="Arial"/>
          <w:b w:val="0"/>
          <w:i w:val="0"/>
          <w:color w:val="111827"/>
          <w:sz w:val="22"/>
        </w:rPr>
        <w:t xml:space="preserve"> e presidido pelo Procurador-Geral da República.</w:t>
      </w:r>
    </w:p>
    <w:p>
      <w:pPr>
        <w:keepNext/>
        <w:spacing w:before="120" w:after="40"/>
      </w:pPr>
      <w:r>
        <w:rPr>
          <w:rFonts w:ascii="Arial" w:hAnsi="Arial"/>
          <w:b/>
          <w:i/>
          <w:color w:val="334155"/>
          <w:sz w:val="22"/>
        </w:rPr>
        <w:t>3.2 Advocacia Pública (Arts. 131 e 132)</w:t>
      </w:r>
    </w:p>
    <w:p>
      <w:pPr>
        <w:spacing w:line="360" w:lineRule="auto" w:before="0" w:after="80"/>
        <w:jc w:val="both"/>
      </w:pPr>
      <w:r>
        <w:rPr>
          <w:rFonts w:ascii="Arial" w:hAnsi="Arial"/>
          <w:b w:val="0"/>
          <w:i w:val="0"/>
          <w:color w:val="111827"/>
          <w:sz w:val="24"/>
        </w:rPr>
        <w:t xml:space="preserve">Incumbe privativamente aos Procuradores do Estado (PGE-GO) e do DF a representação judicial e a consultoria jurídica das respectivas unidades federadas. O ingresso depende de concurso público de provas e títulos, com a </w:t>
      </w:r>
      <w:r>
        <w:rPr>
          <w:rFonts w:ascii="Arial" w:hAnsi="Arial"/>
          <w:b/>
          <w:i w:val="0"/>
          <w:color w:val="111827"/>
          <w:sz w:val="24"/>
        </w:rPr>
        <w:t>participação obrigatória da Ordem dos Advogados do Brasil em todas as suas fases</w:t>
      </w:r>
      <w:r>
        <w:rPr>
          <w:rFonts w:ascii="Arial" w:hAnsi="Arial"/>
          <w:b w:val="0"/>
          <w:i w:val="0"/>
          <w:color w:val="111827"/>
          <w:sz w:val="24"/>
        </w:rPr>
        <w:t>.</w:t>
      </w:r>
    </w:p>
    <w:p>
      <w:pPr>
        <w:keepNext/>
        <w:spacing w:before="120" w:after="40"/>
      </w:pPr>
      <w:r>
        <w:rPr>
          <w:rFonts w:ascii="Arial" w:hAnsi="Arial"/>
          <w:b/>
          <w:i/>
          <w:color w:val="334155"/>
          <w:sz w:val="22"/>
        </w:rPr>
        <w:t>3.3 Defensoria Pública (Arts. 134 e 135)</w:t>
      </w:r>
    </w:p>
    <w:p>
      <w:pPr>
        <w:spacing w:line="360" w:lineRule="auto" w:before="0" w:after="80"/>
        <w:jc w:val="both"/>
      </w:pPr>
      <w:r>
        <w:rPr>
          <w:rFonts w:ascii="Arial" w:hAnsi="Arial"/>
          <w:b w:val="0"/>
          <w:i w:val="0"/>
          <w:color w:val="111827"/>
          <w:sz w:val="24"/>
        </w:rPr>
        <w:t xml:space="preserve">Instituição essencial incumbida da promoção dos direitos humanos e da orientação jurídica e defesa integral e gratuita dos necessitados. Possui </w:t>
      </w:r>
      <w:r>
        <w:rPr>
          <w:rFonts w:ascii="Arial" w:hAnsi="Arial"/>
          <w:b/>
          <w:i w:val="0"/>
          <w:color w:val="111827"/>
          <w:sz w:val="24"/>
        </w:rPr>
        <w:t>autonomia funcional, administrativa e orçamentária expressa</w:t>
      </w:r>
      <w:r>
        <w:rPr>
          <w:rFonts w:ascii="Arial" w:hAnsi="Arial"/>
          <w:b w:val="0"/>
          <w:i w:val="0"/>
          <w:color w:val="111827"/>
          <w:sz w:val="24"/>
        </w:rPr>
        <w:t>, não se subordinando a nenhuma Secretaria de Estado ou Ministério.</w:t>
      </w:r>
    </w:p>
    <w:p>
      <w:pPr>
        <w:keepNext/>
        <w:spacing w:before="120" w:after="40"/>
      </w:pPr>
      <w:r>
        <w:rPr>
          <w:rFonts w:ascii="Arial" w:hAnsi="Arial"/>
          <w:b/>
          <w:i/>
          <w:color w:val="334155"/>
          <w:sz w:val="22"/>
        </w:rPr>
        <w:t>3.4 Advocacia Privada (Art. 133)</w:t>
      </w:r>
    </w:p>
    <w:p>
      <w:pPr>
        <w:spacing w:line="360" w:lineRule="auto" w:before="0" w:after="80"/>
        <w:jc w:val="both"/>
      </w:pPr>
      <w:r>
        <w:rPr>
          <w:rFonts w:ascii="Arial" w:hAnsi="Arial"/>
          <w:b w:val="0"/>
          <w:i w:val="0"/>
          <w:color w:val="111827"/>
          <w:sz w:val="24"/>
        </w:rPr>
        <w:t>O advogado é indispensável à administração da justiça, sendo inviolável por seus atos e manifestações no exercício da profissão, nos limites da lei.</w:t>
      </w:r>
    </w:p>
    <w:p>
      <w:pPr>
        <w:keepNext/>
        <w:spacing w:before="280" w:after="120"/>
      </w:pPr>
      <w:r>
        <w:rPr>
          <w:rFonts w:ascii="Arial" w:hAnsi="Arial"/>
          <w:b/>
          <w:i w:val="0"/>
          <w:color w:val="2C5282"/>
          <w:sz w:val="28"/>
        </w:rPr>
        <w:t>🌐 Fontes Oficiais &amp; Jurisprudenciais Recomendadas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Federal de 1988 - Título IV (Da Organização dos Poderes)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Dispositivos completos sobre Poder Executivo, Poder Judiciário e Funções Essenciais à Justiça.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11.417/2006 (Lei da Súmula Vinculante)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Disciplina o procedimento de edição, cancelamento e revisão de súmulas vinculantes perante o STF.</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ADI 3.367 (Constitucionalidade da Criação do CNJ)</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Acórdão que consolidou a natureza estritamente administrativa e disciplinar do Conselho Nacional de Justiça.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Complementar Estadual nº 58/2006 (Lei Orgânica da Procuradoria-Geral do Estado de Goiás)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Estatuto legal e atribuições institucionais da PGE-GO.</w:t>
      </w:r>
    </w:p>
    <w:p>
      <w:pPr>
        <w:keepNext/>
        <w:spacing w:before="280" w:after="120"/>
      </w:pPr>
      <w:r>
        <w:rPr>
          <w:rFonts w:ascii="Arial" w:hAnsi="Arial"/>
          <w:b/>
          <w:i w:val="0"/>
          <w:color w:val="2C5282"/>
          <w:sz w:val="28"/>
        </w:rPr>
        <w:t>📝 Questões Comentadas no Padrão FCC (Justificadas de A a E)</w:t>
      </w:r>
    </w:p>
    <w:p>
      <w:pPr>
        <w:keepNext/>
        <w:spacing w:before="200" w:after="80"/>
      </w:pPr>
      <w:r>
        <w:rPr>
          <w:rFonts w:ascii="Arial" w:hAnsi="Arial"/>
          <w:b/>
          <w:i w:val="0"/>
          <w:color w:val="2B6CB0"/>
          <w:sz w:val="24"/>
        </w:rPr>
        <w:t>Questão 1 (FCC - Adaptada / Analista Judiciário - TRT)</w:t>
      </w:r>
    </w:p>
    <w:p>
      <w:pPr>
        <w:spacing w:line="360" w:lineRule="auto" w:before="0" w:after="80"/>
        <w:jc w:val="both"/>
      </w:pPr>
      <w:r>
        <w:rPr>
          <w:rFonts w:ascii="Arial" w:hAnsi="Arial"/>
          <w:b w:val="0"/>
          <w:i w:val="0"/>
          <w:color w:val="111827"/>
          <w:sz w:val="24"/>
        </w:rPr>
        <w:t>A respeito das atribuições constitucionais do Presidente da República e da possibilidade de delegação de competências, consoante o disposto expressamente na Constituição Federal de 1988:</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Presidente da República pode delegar a competência para a criação ou extinção de Ministérios e órgãos da administração pública ao Ministro de Estado da respectiva pasta.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É delegável ao Procurador-Geral da República e ao Advogado-Geral da União a atribuição privativa de conceder indulto e comutar 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decretação de intervenção federal e a celebração de tratados de paz com nações estrangeiras podem ser delegadas ao Ministro de Estado da Justiça e Segurança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provimento e a extinção de cargos públicos federais ocupados podem ser livremente delegados ao Advogado-Geral da União mediante portaria ministerial.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 atribuições privativas do Presidente da República são personalíssimas e indelegáveis sob qualquer hipótese, em observância estrita ao princípio da separação dos poderes.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criação e a extinção de Ministérios e órgãos públicos dependem obrigatoriamente de lei formal (art. 88 da CF/88), sendo matéria indelegável.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De acordo com o art. 84, parágrafo único, da CF/88, o Presidente da República poderá delegar as atribuições mencionadas nos incisos VI (decreto autônomo), XII (conceder indulto e comutar penas) e XXV, primeira parte (prover cargos públicos federais vagos), aos Ministros de Estado, ao </w:t>
            </w:r>
            <w:r>
              <w:rPr>
                <w:rFonts w:ascii="Arial" w:hAnsi="Arial"/>
                <w:b/>
                <w:i w:val="0"/>
                <w:color w:val="111827"/>
                <w:sz w:val="21"/>
              </w:rPr>
              <w:t>Procurador-Geral da República</w:t>
            </w:r>
            <w:r>
              <w:rPr>
                <w:rFonts w:ascii="Arial" w:hAnsi="Arial"/>
                <w:b w:val="0"/>
                <w:i w:val="0"/>
                <w:color w:val="111827"/>
                <w:sz w:val="21"/>
              </w:rPr>
              <w:t xml:space="preserve"> ou ao </w:t>
            </w:r>
            <w:r>
              <w:rPr>
                <w:rFonts w:ascii="Arial" w:hAnsi="Arial"/>
                <w:b/>
                <w:i w:val="0"/>
                <w:color w:val="111827"/>
                <w:sz w:val="21"/>
              </w:rPr>
              <w:t>Advogado-Geral da União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Decretar e executar intervenção federal (art. 84, X) e celebrar a paz (art. 84, XX) são competências indelegáveis e exclusivas do Presidente da República.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delegação do inciso XXV é expressamente restrita ao </w:t>
            </w:r>
            <w:r>
              <w:rPr>
                <w:rFonts w:ascii="Arial" w:hAnsi="Arial"/>
                <w:b/>
                <w:i w:val="0"/>
                <w:color w:val="111827"/>
                <w:sz w:val="21"/>
              </w:rPr>
              <w:t>provimento</w:t>
            </w:r>
            <w:r>
              <w:rPr>
                <w:rFonts w:ascii="Arial" w:hAnsi="Arial"/>
                <w:b w:val="0"/>
                <w:i w:val="0"/>
                <w:color w:val="111827"/>
                <w:sz w:val="21"/>
              </w:rPr>
              <w:t xml:space="preserve"> de cargos públicos (primeira parte). A extinção de cargos ocupados depende de lei ordinária e jamais pode ser delegada.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parágrafo único do art. 84 admite a delegação taxativa de três incisos aos destinatários indicados na própria Carta Magna.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Técnico Judiciário - Área Administrativa)</w:t>
      </w:r>
    </w:p>
    <w:p>
      <w:pPr>
        <w:spacing w:line="360" w:lineRule="auto" w:before="0" w:after="80"/>
        <w:jc w:val="both"/>
      </w:pPr>
      <w:r>
        <w:rPr>
          <w:rFonts w:ascii="Arial" w:hAnsi="Arial"/>
          <w:b w:val="0"/>
          <w:i w:val="0"/>
          <w:color w:val="111827"/>
          <w:sz w:val="24"/>
        </w:rPr>
        <w:t>Sobre a estrutura e as atribuições do Conselho Nacional de Justiça (CNJ), com esteio nas normas da Constituição Federal de 1988 e na jurisprudência vinculante do Supremo Tribunal Federal,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É órgão de cúpula recursal do Poder Judiciário, possuindo competência para reformar decisões de mérito proferidas por Tribunais de Justiça que contrariem a jurisprudência pacífica.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É composto por quinze membros, com mandato de dois anos, admitida uma recondução, e presidido pelo Ministro Presidente do Supremo Tribunal Federal.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Detém competência privativa para propor projetos de lei orçamentária e emendas à Constituição que tratem do estatuto da magistratura nacional.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Seus atos e decisões em sede de fiscalização administrativa e disciplinar são imunes ao controle jurisdicional do Supremo Tribunal Federal.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É composto exclusivamente por magistrados togados de carreira, sendo vedada a nomeação de advogados e membros do Ministério Público em seu colegiado.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CNJ não exerce qualquer atividade jurisdicional ou recursal típica, não possuindo poder para cassar ou reformar decisões judiciais de mérito (art. 103-B, § 4º).</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Reproduz a literalidade do art. 103-B da CF/88: o Conselho Nacional de Justiça compõe-se de 15 membros com mandato de dois anos, admitida uma única recondução, sob a presidência do Presidente do STF.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CNJ não possui iniciativa privativa para deflagrar Propostas de Emenda à Constituição (art. 60) nem leis que disciplinem o estatuto da magistratura (atribuição do STF - art. 93).</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Compete ao STF processar e julgar, originariamente, as ações contra o CNJ (art. 102, I, "r", da CF/88).</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CNJ possui composição heterogênea que inclui 2 membros do Ministério Público, 2 advogados indicados pelo Conselho Federal da OAB e 2 cidadãos indicados pelo Congresso Nacional (art. 103-B).</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Analista de Gestão Pública)</w:t>
      </w:r>
    </w:p>
    <w:p>
      <w:pPr>
        <w:spacing w:line="360" w:lineRule="auto" w:before="0" w:after="80"/>
        <w:jc w:val="both"/>
      </w:pPr>
      <w:r>
        <w:rPr>
          <w:rFonts w:ascii="Arial" w:hAnsi="Arial"/>
          <w:b w:val="0"/>
          <w:i w:val="0"/>
          <w:color w:val="111827"/>
          <w:sz w:val="24"/>
        </w:rPr>
        <w:t>O Supremo Tribunal Federal aprovou enunciado de Súmula Vinculante versando sobre critérios de nomeação para cargos em comissão na Administração Pública. Meses após a publicação do verbete sumular no Diário Oficial, a Assembleia Legislativa de determinado Estado aprovou lei ordinária cujo texto contraria expressamente o entendimento consolidado na referida Súmula Vinculante.</w:t>
      </w:r>
    </w:p>
    <w:p>
      <w:pPr>
        <w:spacing w:line="360" w:lineRule="auto" w:before="0" w:after="80"/>
        <w:jc w:val="both"/>
      </w:pPr>
      <w:r>
        <w:rPr>
          <w:rFonts w:ascii="Arial" w:hAnsi="Arial"/>
          <w:b w:val="0"/>
          <w:i w:val="0"/>
          <w:color w:val="111827"/>
          <w:sz w:val="24"/>
        </w:rPr>
        <w:t>À luz do artigo 103-A da Constituição Federal de 1988 e da doutrina constitucional brasileira: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lei estadual é nula de pleno direito no próprio ato de votação legislativa, tendo em vista que a Súmula Vinculante vincula diretamente o Poder Legislativo no exercício de sua atividade típica de elaboração das leis.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Governador do Estado e os órgãos da Administração Pública estadual ficam vinculados à Súmula Vinculante, mas o Poder Legislativo, em sua função legiferante típica, não se submete ao efeito vinculante do enunciado.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STF deverá determinar a dissolução compulsória da Mesa Diretora da Assembleia Legislativa por crime de desobediência a provimento sumular.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Qualquer Deputado Estadual pode ajuizar Reclamação Constitucional para anular os debates legislativos em plenário com fundamento no efeito vinculante da súmula.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Súmula Vinculante produz efeitos apenas no âmbito dos órgãos do Poder Judiciário, não gerando obrigações para a administração direta dos Estados.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Súmula Vinculante não atinge o Poder Legislativo em sua função legislativa típica (</w:t>
            </w:r>
            <w:r>
              <w:rPr>
                <w:rFonts w:ascii="Arial" w:hAnsi="Arial"/>
                <w:b w:val="0"/>
                <w:i/>
                <w:color w:val="111827"/>
                <w:sz w:val="21"/>
              </w:rPr>
              <w:t>efeito não fossilizante</w:t>
            </w:r>
            <w:r>
              <w:rPr>
                <w:rFonts w:ascii="Arial" w:hAnsi="Arial"/>
                <w:b w:val="0"/>
                <w:i w:val="0"/>
                <w:color w:val="111827"/>
                <w:sz w:val="21"/>
              </w:rPr>
              <w:t xml:space="preserve"> do ordenamento). O parlamento é livre para inovar legislativamente mesmo contra súmulas vinculantes.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art. 103-A da CF/88 estabelece que a Súmula Vinculante terá efeito vinculante em relação aos demais órgãos do Poder Judiciário e à </w:t>
            </w:r>
            <w:r>
              <w:rPr>
                <w:rFonts w:ascii="Arial" w:hAnsi="Arial"/>
                <w:b/>
                <w:i w:val="0"/>
                <w:color w:val="111827"/>
                <w:sz w:val="21"/>
              </w:rPr>
              <w:t>Administração Pública direta e indireta, nas esferas federal, estadual e municipal</w:t>
            </w:r>
            <w:r>
              <w:rPr>
                <w:rFonts w:ascii="Arial" w:hAnsi="Arial"/>
                <w:b w:val="0"/>
                <w:i w:val="0"/>
                <w:color w:val="111827"/>
                <w:sz w:val="21"/>
              </w:rPr>
              <w:t>. Ela não vincula o Legislativo em sua atividade típica de legislar nem vincula o próprio STF.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Não há previsão constitucional de dissolução de mesa legislativa pelo STF por atividade legiferante.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Não cabe Reclamação Constitucional contra processo legislativo em trâmite sob alegação de contrariedade a Súmula Vinculante (jurisprudência pacífica do STF).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art. 103-A obriga expressamente toda a Administração Pública de todos os entes federados (União, Estados, DF e Municípios).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Oficial de Defensoria Pública)</w:t>
      </w:r>
    </w:p>
    <w:p>
      <w:pPr>
        <w:spacing w:line="360" w:lineRule="auto" w:before="0" w:after="80"/>
        <w:jc w:val="both"/>
      </w:pPr>
      <w:r>
        <w:rPr>
          <w:rFonts w:ascii="Arial" w:hAnsi="Arial"/>
          <w:b w:val="0"/>
          <w:i w:val="0"/>
          <w:color w:val="111827"/>
          <w:sz w:val="24"/>
        </w:rPr>
        <w:t>Acerca do regime constitucional conferido às Funções Essenciais à Justiça na Constituição Federal de 1988, analise as proposições a seguir:</w:t>
      </w:r>
    </w:p>
    <w:p>
      <w:pPr>
        <w:spacing w:line="360" w:lineRule="auto" w:before="0" w:after="80"/>
        <w:jc w:val="both"/>
      </w:pPr>
      <w:r>
        <w:rPr>
          <w:rFonts w:ascii="Arial" w:hAnsi="Arial"/>
          <w:b w:val="0"/>
          <w:i w:val="0"/>
          <w:color w:val="111827"/>
          <w:sz w:val="24"/>
        </w:rPr>
        <w:t>I. São princípios institucionais do Ministério Público a unidade, a indivisibilidade e a independência funcional.</w:t>
      </w:r>
    </w:p>
    <w:p>
      <w:pPr>
        <w:spacing w:line="360" w:lineRule="auto" w:before="0" w:after="80"/>
        <w:jc w:val="both"/>
      </w:pPr>
      <w:r>
        <w:rPr>
          <w:rFonts w:ascii="Arial" w:hAnsi="Arial"/>
          <w:b w:val="0"/>
          <w:i w:val="0"/>
          <w:color w:val="111827"/>
          <w:sz w:val="24"/>
        </w:rPr>
        <w:t>II. À Defensoria Pública é assegurada a autonomia funcional e administrativa e a iniciativa de sua proposta orçamentária dentro dos limites estabelecidos na lei de diretrizes orçamentárias.</w:t>
      </w:r>
    </w:p>
    <w:p>
      <w:pPr>
        <w:spacing w:line="360" w:lineRule="auto" w:before="0" w:after="80"/>
        <w:jc w:val="both"/>
      </w:pPr>
      <w:r>
        <w:rPr>
          <w:rFonts w:ascii="Arial" w:hAnsi="Arial"/>
          <w:b w:val="0"/>
          <w:i w:val="0"/>
          <w:color w:val="111827"/>
          <w:sz w:val="24"/>
        </w:rPr>
        <w:t>III. O ingresso nas carreiras da Advocacia Pública dos Estados depende de concurso público de provas e títulos, com a participação facultativa da Ordem dos Advogados do Brasil em sua comissão examinadora.</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p>
          <w:p>
            <w:pPr>
              <w:spacing w:line="288" w:lineRule="auto" w:before="40" w:after="40"/>
            </w:pPr>
            <w:r>
              <w:rPr>
                <w:rFonts w:ascii="Arial" w:hAnsi="Arial"/>
                <w:b w:val="0"/>
                <w:i w:val="0"/>
                <w:color w:val="111827"/>
                <w:sz w:val="21"/>
              </w:rPr>
              <w:t xml:space="preserve">- </w:t>
            </w:r>
            <w:r>
              <w:rPr>
                <w:rFonts w:ascii="Arial" w:hAnsi="Arial"/>
                <w:b w:val="0"/>
                <w:i/>
                <w:color w:val="111827"/>
                <w:sz w:val="21"/>
              </w:rPr>
              <w:t>Item I (Verdadeiro):</w:t>
            </w:r>
            <w:r>
              <w:rPr>
                <w:rFonts w:ascii="Arial" w:hAnsi="Arial"/>
                <w:b w:val="0"/>
                <w:i w:val="0"/>
                <w:color w:val="111827"/>
                <w:sz w:val="21"/>
              </w:rPr>
              <w:t xml:space="preserve"> O art. 127, § 1º, da CF/88 prescreve: </w:t>
            </w:r>
            <w:r>
              <w:rPr>
                <w:rFonts w:ascii="Arial" w:hAnsi="Arial"/>
                <w:b w:val="0"/>
                <w:i/>
                <w:color w:val="111827"/>
                <w:sz w:val="21"/>
              </w:rPr>
              <w:t>"São princípios institucionais do Ministério Público a unidade, a indivisibilidade e a independência funcional."</w:t>
            </w:r>
          </w:p>
          <w:p>
            <w:pPr>
              <w:spacing w:line="288" w:lineRule="auto" w:before="40" w:after="40"/>
            </w:pPr>
            <w:r>
              <w:rPr>
                <w:rFonts w:ascii="Arial" w:hAnsi="Arial"/>
                <w:b w:val="0"/>
                <w:i w:val="0"/>
                <w:color w:val="111827"/>
                <w:sz w:val="21"/>
              </w:rPr>
              <w:t xml:space="preserve">- </w:t>
            </w:r>
            <w:r>
              <w:rPr>
                <w:rFonts w:ascii="Arial" w:hAnsi="Arial"/>
                <w:b w:val="0"/>
                <w:i/>
                <w:color w:val="111827"/>
                <w:sz w:val="21"/>
              </w:rPr>
              <w:t>Item II (Verdadeiro):</w:t>
            </w:r>
            <w:r>
              <w:rPr>
                <w:rFonts w:ascii="Arial" w:hAnsi="Arial"/>
                <w:b w:val="0"/>
                <w:i w:val="0"/>
                <w:color w:val="111827"/>
                <w:sz w:val="21"/>
              </w:rPr>
              <w:t xml:space="preserve"> A autonomia funcional, administrativa e orçamentária da Defensoria Pública está expressamente prevista nos §§ 2º e 3º do art. 134 da CF/88.</w:t>
            </w:r>
          </w:p>
          <w:p>
            <w:pPr>
              <w:spacing w:line="288" w:lineRule="auto" w:before="40" w:after="40"/>
            </w:pPr>
            <w:r>
              <w:rPr>
                <w:rFonts w:ascii="Arial" w:hAnsi="Arial"/>
                <w:b w:val="0"/>
                <w:i w:val="0"/>
                <w:color w:val="111827"/>
                <w:sz w:val="21"/>
              </w:rPr>
              <w:t xml:space="preserve">- </w:t>
            </w:r>
            <w:r>
              <w:rPr>
                <w:rFonts w:ascii="Arial" w:hAnsi="Arial"/>
                <w:b w:val="0"/>
                <w:i/>
                <w:color w:val="111827"/>
                <w:sz w:val="21"/>
              </w:rPr>
              <w:t>Item III (Falso):</w:t>
            </w:r>
            <w:r>
              <w:rPr>
                <w:rFonts w:ascii="Arial" w:hAnsi="Arial"/>
                <w:b w:val="0"/>
                <w:i w:val="0"/>
                <w:color w:val="111827"/>
                <w:sz w:val="21"/>
              </w:rPr>
              <w:t xml:space="preserve"> Conforme o art. 132 da CF/88, o ingresso na carreira de Procurador do Estado dá-se mediante concurso público de provas e títulos, </w:t>
            </w:r>
            <w:r>
              <w:rPr>
                <w:rFonts w:ascii="Arial" w:hAnsi="Arial"/>
                <w:b/>
                <w:i w:val="0"/>
                <w:color w:val="111827"/>
                <w:sz w:val="21"/>
              </w:rPr>
              <w:t>com a participação obrigatória</w:t>
            </w:r>
            <w:r>
              <w:rPr>
                <w:rFonts w:ascii="Arial" w:hAnsi="Arial"/>
                <w:b w:val="0"/>
                <w:i w:val="0"/>
                <w:color w:val="111827"/>
                <w:sz w:val="21"/>
              </w:rPr>
              <w:t xml:space="preserve"> (e não facultativa) da Ordem dos Advogados do Brasil em todas as suas fases.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item III é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item III é falso e o item II é verdadeiro.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item II também é verdadeiro.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item III é falso.</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5 (FCC - Adaptada / Analista de Controle Externo)</w:t>
      </w:r>
    </w:p>
    <w:p>
      <w:pPr>
        <w:spacing w:line="360" w:lineRule="auto" w:before="0" w:after="80"/>
        <w:jc w:val="both"/>
      </w:pPr>
      <w:r>
        <w:rPr>
          <w:rFonts w:ascii="Arial" w:hAnsi="Arial"/>
          <w:b w:val="0"/>
          <w:i w:val="0"/>
          <w:color w:val="111827"/>
          <w:sz w:val="24"/>
        </w:rPr>
        <w:t>Na hipótese de ocorrer a vacância simultânea e definitiva dos cargos de Presidente e de Vice-Presidente da República no terceiro ano do mandato presidencial: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Assumirá definitivamente a Presidência o Presidente da Câmara dos Deputados até a conclusão regular do quadriênio.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Serão convocadas eleições diretas no prazo de noventa dias contados da abertura da última vaga para mandato de quatro anos completos.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eleição para ambos os cargos será realizada trinta dias depois da última vaga, pelo Congresso Nacional, na forma da lei, para cumprimento do restante do mandato.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Presidente do Supremo Tribunal Federal governará o país em comissão até a posse dos novos mandatários eleitos pelo sufrágio universal.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Haverá intervenção militar provisória até que o Colégio Eleitoral estadual convoque novo plebiscito presidencial.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Presidente da Câmara figura apenas na linha de substituição temporária (art. 80), não assumindo mandato em caráter definitivo em caso de dupla vacância.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Eleições diretas em 90 dias só ocorrem se a dupla vacância acontecer nos </w:t>
            </w:r>
            <w:r>
              <w:rPr>
                <w:rFonts w:ascii="Arial" w:hAnsi="Arial"/>
                <w:b/>
                <w:i w:val="0"/>
                <w:color w:val="111827"/>
                <w:sz w:val="21"/>
              </w:rPr>
              <w:t>dois primeiros anos</w:t>
            </w:r>
            <w:r>
              <w:rPr>
                <w:rFonts w:ascii="Arial" w:hAnsi="Arial"/>
                <w:b w:val="0"/>
                <w:i w:val="0"/>
                <w:color w:val="111827"/>
                <w:sz w:val="21"/>
              </w:rPr>
              <w:t xml:space="preserve"> do mandato (art. 81, </w:t>
            </w:r>
            <w:r>
              <w:rPr>
                <w:rFonts w:ascii="Arial" w:hAnsi="Arial"/>
                <w:b w:val="0"/>
                <w:i/>
                <w:color w:val="111827"/>
                <w:sz w:val="21"/>
              </w:rPr>
              <w:t>caput</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Nos termos do art. 81, § 1º, da CF/88, ocorrendo a vacância nos </w:t>
            </w:r>
            <w:r>
              <w:rPr>
                <w:rFonts w:ascii="Arial" w:hAnsi="Arial"/>
                <w:b/>
                <w:i w:val="0"/>
                <w:color w:val="111827"/>
                <w:sz w:val="21"/>
              </w:rPr>
              <w:t>últimos dois anos do mandato</w:t>
            </w:r>
            <w:r>
              <w:rPr>
                <w:rFonts w:ascii="Arial" w:hAnsi="Arial"/>
                <w:b w:val="0"/>
                <w:i w:val="0"/>
                <w:color w:val="111827"/>
                <w:sz w:val="21"/>
              </w:rPr>
              <w:t xml:space="preserve"> (caso do enunciado, que citou o terceiro ano), a eleição para ambos os cargos será feita </w:t>
            </w:r>
            <w:r>
              <w:rPr>
                <w:rFonts w:ascii="Arial" w:hAnsi="Arial"/>
                <w:b/>
                <w:i w:val="0"/>
                <w:color w:val="111827"/>
                <w:sz w:val="21"/>
              </w:rPr>
              <w:t>trinta dias depois da última vaga, pelo Congresso Nacional (eleição indireta)</w:t>
            </w:r>
            <w:r>
              <w:rPr>
                <w:rFonts w:ascii="Arial" w:hAnsi="Arial"/>
                <w:b w:val="0"/>
                <w:i w:val="0"/>
                <w:color w:val="111827"/>
                <w:sz w:val="21"/>
              </w:rPr>
              <w:t>, cabendo aos eleitos completar o período dos antecessores (</w:t>
            </w:r>
            <w:r>
              <w:rPr>
                <w:rFonts w:ascii="Arial" w:hAnsi="Arial"/>
                <w:b w:val="0"/>
                <w:i/>
                <w:color w:val="111827"/>
                <w:sz w:val="21"/>
              </w:rPr>
              <w:t>mandato-tampão</w:t>
            </w:r>
            <w:r>
              <w:rPr>
                <w:rFonts w:ascii="Arial" w:hAnsi="Arial"/>
                <w:b w:val="0"/>
                <w:i w:val="0"/>
                <w:color w:val="111827"/>
                <w:sz w:val="21"/>
              </w:rPr>
              <w:t xml:space="preserve"> - art. 81, § 2º).</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Presidente do STF é apenas o último na linha sucessória temporária de substituição interina do cargo enquanto não se conclui a nova eleição.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solução constitucional para a vacância é integralmente civil e parlamentar, consoante as regras do art. 81.</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01 - Sistema Constitucional de Controle e Jurisdição dos Tribunais de Contas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Controle Externo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01_sistema_constitucional_e_jurisdicao_dos_tcs.md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Sistema constitucional de controle da Administração Pública: controle interno e controle externo;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Relação e integração harmônica entre os sistemas de controle interno e externo;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Dever de comunicação imediata sob pena de responsabilidade solidária (Artigo 74, § 1º, da CF/88);</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Tribunais de Contas: natureza jurídica, autonomia institucional, funcional, administrativa e orçamentária;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modelo federal e o princípio da simetria constitucional (Artigo 75 da CF/88);</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Composição e nomeação de membros dos Tribunais de Contas Estaduais (Artigos 73 e 75 da CF/88);</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Jurisdição dos Tribunais de Contas: abrangência subjetiva e objetiva; gestores públicos e particulares que guardem, arrecadem, gerenciem ou administrem verbas públicas;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Competências constitucionais dos Tribunais de Contas: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Apreciação de contas do Chefe do Poder Executivo (parecer prévio opinativo e político-constitucional);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Julgamento técnico das contas dos administradores e demais responsáveis por recursos públicos (contas de gestão);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Fiscalização de atos de admissão de pessoal e concessão de benefícios previdenciários (atos complexos, Súmula Vinculante nº 3 e Tema 445 do STF);</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Fixação de prazo para adoção de providências saneadoras e sustação direta de atos administrativos ilegais;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Sustação de contratos administrativos (competência privativa do Poder Legislativo com atuação subsidiária do TC);</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Eficácia das decisões dos Tribunais de Contas: imputação de débito e multa com força de título executivo extrajudicial (Artigo 71, § 3º, da CF/88);</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Limites da jurisdição de contas, prescrição da pretensão punitiva/ressarcitória (Tema 899 do STF) e independência das instâncias civil, penal e administrativa.</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1B365D"/>
          <w:sz w:val="22"/>
        </w:rPr>
        <w:t xml:space="preserve">1. </w:t>
      </w:r>
      <w:r>
        <w:rPr>
          <w:rFonts w:ascii="Arial" w:hAnsi="Arial"/>
          <w:color w:val="2B6CB0"/>
          <w:sz w:val="22"/>
          <w:u w:val="single"/>
        </w:rPr>
        <w:t>O Modelo Constitucional de Controle e a Responsabilidade Solidária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1.1 </w:t>
      </w:r>
      <w:r>
        <w:rPr>
          <w:rFonts w:ascii="Arial" w:hAnsi="Arial"/>
          <w:color w:val="2B6CB0"/>
          <w:sz w:val="22"/>
          <w:u w:val="single"/>
        </w:rPr>
        <w:t>Sistemas de Controle Externo, Interno e Social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1.2 </w:t>
      </w:r>
      <w:r>
        <w:rPr>
          <w:rFonts w:ascii="Arial" w:hAnsi="Arial"/>
          <w:color w:val="2B6CB0"/>
          <w:sz w:val="22"/>
          <w:u w:val="single"/>
        </w:rPr>
        <w:t>O Dever de Comunicação do Controle Interno e Sanção de Solidariedade (Art. 74, § 1º)</w:t>
      </w:r>
    </w:p>
    <w:p>
      <w:pPr>
        <w:spacing w:line="276" w:lineRule="auto" w:before="20" w:after="40"/>
        <w:ind w:left="425"/>
      </w:pPr>
      <w:r>
        <w:rPr>
          <w:rFonts w:ascii="Arial" w:hAnsi="Arial"/>
          <w:b/>
          <w:color w:val="1B365D"/>
          <w:sz w:val="22"/>
        </w:rPr>
        <w:t xml:space="preserve">2. </w:t>
      </w:r>
      <w:r>
        <w:rPr>
          <w:rFonts w:ascii="Arial" w:hAnsi="Arial"/>
          <w:color w:val="2B6CB0"/>
          <w:sz w:val="22"/>
          <w:u w:val="single"/>
        </w:rPr>
        <w:t>Natureza Jurídica, Autonomia e Princípio da Simetria (Art. 75)</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2.1 </w:t>
      </w:r>
      <w:r>
        <w:rPr>
          <w:rFonts w:ascii="Arial" w:hAnsi="Arial"/>
          <w:color w:val="2B6CB0"/>
          <w:sz w:val="22"/>
          <w:u w:val="single"/>
        </w:rPr>
        <w:t>Natureza Jurídica e Autonomias dos Tribunais de Contas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2.2 </w:t>
      </w:r>
      <w:r>
        <w:rPr>
          <w:rFonts w:ascii="Arial" w:hAnsi="Arial"/>
          <w:color w:val="2B6CB0"/>
          <w:sz w:val="22"/>
          <w:u w:val="single"/>
        </w:rPr>
        <w:t>O Princípio da Simetria Constitucional Federativa e a Composição dos TCEs</w:t>
      </w:r>
    </w:p>
    <w:p>
      <w:pPr>
        <w:spacing w:line="276" w:lineRule="auto" w:before="20" w:after="40"/>
        <w:ind w:left="425"/>
      </w:pPr>
      <w:r>
        <w:rPr>
          <w:rFonts w:ascii="Arial" w:hAnsi="Arial"/>
          <w:b/>
          <w:color w:val="1B365D"/>
          <w:sz w:val="22"/>
        </w:rPr>
        <w:t xml:space="preserve">3. </w:t>
      </w:r>
      <w:r>
        <w:rPr>
          <w:rFonts w:ascii="Arial" w:hAnsi="Arial"/>
          <w:color w:val="2B6CB0"/>
          <w:sz w:val="22"/>
          <w:u w:val="single"/>
        </w:rPr>
        <w:t>Competências Constitucionais: Julgamento Técnico versus Parecer Prévio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3.1 </w:t>
      </w:r>
      <w:r>
        <w:rPr>
          <w:rFonts w:ascii="Arial" w:hAnsi="Arial"/>
          <w:color w:val="2B6CB0"/>
          <w:sz w:val="22"/>
          <w:u w:val="single"/>
        </w:rPr>
        <w:t>Contas de Governo versus Contas de Gestão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3.2 </w:t>
      </w:r>
      <w:r>
        <w:rPr>
          <w:rFonts w:ascii="Arial" w:hAnsi="Arial"/>
          <w:color w:val="2B6CB0"/>
          <w:sz w:val="22"/>
          <w:u w:val="single"/>
        </w:rPr>
        <w:t>O Julgamento das Contas de Prefeito Municipal (Tema 835 do STF)</w:t>
      </w:r>
    </w:p>
    <w:p>
      <w:pPr>
        <w:spacing w:line="276" w:lineRule="auto" w:before="20" w:after="40"/>
        <w:ind w:left="425"/>
      </w:pPr>
      <w:r>
        <w:rPr>
          <w:rFonts w:ascii="Arial" w:hAnsi="Arial"/>
          <w:b/>
          <w:color w:val="1B365D"/>
          <w:sz w:val="22"/>
        </w:rPr>
        <w:t xml:space="preserve">4. </w:t>
      </w:r>
      <w:r>
        <w:rPr>
          <w:rFonts w:ascii="Arial" w:hAnsi="Arial"/>
          <w:color w:val="2B6CB0"/>
          <w:sz w:val="22"/>
          <w:u w:val="single"/>
        </w:rPr>
        <w:t>Registro de Atos de Admissão e Benefícios Previdenciários (Art. 71, III)</w:t>
      </w:r>
    </w:p>
    <w:p>
      <w:pPr>
        <w:spacing w:line="276" w:lineRule="auto" w:before="20" w:after="40"/>
        <w:ind w:left="425"/>
      </w:pPr>
      <w:r>
        <w:rPr>
          <w:rFonts w:ascii="Arial" w:hAnsi="Arial"/>
          <w:b/>
          <w:color w:val="1B365D"/>
          <w:sz w:val="22"/>
        </w:rPr>
        <w:t xml:space="preserve">5. </w:t>
      </w:r>
      <w:r>
        <w:rPr>
          <w:rFonts w:ascii="Arial" w:hAnsi="Arial"/>
          <w:color w:val="2B6CB0"/>
          <w:sz w:val="22"/>
          <w:u w:val="single"/>
        </w:rPr>
        <w:t>Sustação de Atos Ilegais versus Sustação de Contratos Administrativos</w:t>
      </w:r>
    </w:p>
    <w:p>
      <w:pPr>
        <w:spacing w:line="276" w:lineRule="auto" w:before="20" w:after="40"/>
        <w:ind w:left="425"/>
      </w:pPr>
      <w:r>
        <w:rPr>
          <w:rFonts w:ascii="Arial" w:hAnsi="Arial"/>
          <w:b/>
          <w:color w:val="1B365D"/>
          <w:sz w:val="22"/>
        </w:rPr>
        <w:t xml:space="preserve">6. </w:t>
      </w:r>
      <w:r>
        <w:rPr>
          <w:rFonts w:ascii="Arial" w:hAnsi="Arial"/>
          <w:color w:val="2B6CB0"/>
          <w:sz w:val="22"/>
          <w:u w:val="single"/>
        </w:rPr>
        <w:t>Eficácia Executiva e Prescritibilidade (Art. 71, § 3º e Tema 899 do STF)</w:t>
      </w:r>
    </w:p>
    <w:p>
      <w:pPr>
        <w:spacing w:line="276" w:lineRule="auto" w:before="20" w:after="40"/>
        <w:ind w:left="425"/>
      </w:pPr>
      <w:r>
        <w:rPr>
          <w:rFonts w:ascii="Arial" w:hAnsi="Arial"/>
          <w:b/>
          <w:color w:val="1B365D"/>
          <w:sz w:val="22"/>
        </w:rPr>
        <w:t xml:space="preserve">7. </w:t>
      </w:r>
      <w:r>
        <w:rPr>
          <w:rFonts w:ascii="Arial" w:hAnsi="Arial"/>
          <w:color w:val="2B6CB0"/>
          <w:sz w:val="22"/>
          <w:u w:val="single"/>
        </w:rPr>
        <w:t>Jurisdição Ampla e Independência das Instâncias</w:t>
      </w:r>
    </w:p>
    <w:p>
      <w:pPr>
        <w:spacing w:line="276" w:lineRule="auto" w:before="20" w:after="40"/>
        <w:ind w:left="425"/>
      </w:pPr>
      <w:r>
        <w:rPr>
          <w:rFonts w:ascii="Arial" w:hAnsi="Arial"/>
          <w:b/>
          <w:color w:val="1B365D"/>
          <w:sz w:val="22"/>
        </w:rPr>
        <w:t xml:space="preserve">8. </w:t>
      </w:r>
      <w:r>
        <w:rPr>
          <w:rFonts w:ascii="Arial" w:hAnsi="Arial"/>
          <w:color w:val="2B6CB0"/>
          <w:sz w:val="22"/>
          <w:u w:val="single"/>
        </w:rPr>
        <w:t>Fontes Oficiais &amp; Jurisprudenciais Recomendadas</w:t>
      </w:r>
    </w:p>
    <w:p>
      <w:pPr>
        <w:spacing w:line="276" w:lineRule="auto" w:before="20" w:after="40"/>
        <w:ind w:left="425"/>
      </w:pPr>
      <w:r>
        <w:rPr>
          <w:rFonts w:ascii="Arial" w:hAnsi="Arial"/>
          <w:b/>
          <w:color w:val="1B365D"/>
          <w:sz w:val="22"/>
        </w:rPr>
        <w:t xml:space="preserve">9. </w:t>
      </w:r>
      <w:r>
        <w:rPr>
          <w:rFonts w:ascii="Arial" w:hAnsi="Arial"/>
          <w:color w:val="2B6CB0"/>
          <w:sz w:val="22"/>
          <w:u w:val="single"/>
        </w:rPr>
        <w:t>Questões Comentadas no Padrão FCC (Justificadas de A a E)</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O Modelo Constitucional de Controle e a Responsabilidade Solidária</w:t>
      </w:r>
    </w:p>
    <w:p>
      <w:pPr>
        <w:spacing w:line="360" w:lineRule="auto" w:before="0" w:after="80"/>
        <w:jc w:val="both"/>
      </w:pPr>
      <w:r>
        <w:rPr>
          <w:rFonts w:ascii="Arial" w:hAnsi="Arial"/>
          <w:b w:val="0"/>
          <w:i w:val="0"/>
          <w:color w:val="111827"/>
          <w:sz w:val="24"/>
        </w:rPr>
        <w:t>O controle dos recursos públicos no Brasil é tripartite e integrado: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Controle Externo:</w:t>
      </w:r>
      <w:r>
        <w:rPr>
          <w:rFonts w:ascii="Arial" w:hAnsi="Arial"/>
          <w:b w:val="0"/>
          <w:i w:val="0"/>
          <w:color w:val="111827"/>
          <w:sz w:val="22"/>
        </w:rPr>
        <w:t xml:space="preserve"> Exercido pelo </w:t>
      </w:r>
      <w:r>
        <w:rPr>
          <w:rFonts w:ascii="Arial" w:hAnsi="Arial"/>
          <w:b/>
          <w:i w:val="0"/>
          <w:color w:val="111827"/>
          <w:sz w:val="22"/>
        </w:rPr>
        <w:t>Poder Legislativo</w:t>
      </w:r>
      <w:r>
        <w:rPr>
          <w:rFonts w:ascii="Arial" w:hAnsi="Arial"/>
          <w:b w:val="0"/>
          <w:i w:val="0"/>
          <w:color w:val="111827"/>
          <w:sz w:val="22"/>
        </w:rPr>
        <w:t xml:space="preserve"> com o </w:t>
      </w:r>
      <w:r>
        <w:rPr>
          <w:rFonts w:ascii="Arial" w:hAnsi="Arial"/>
          <w:b/>
          <w:i w:val="0"/>
          <w:color w:val="111827"/>
          <w:sz w:val="22"/>
        </w:rPr>
        <w:t>auxílio técnico-constitucional do Tribunal de Contas</w:t>
      </w:r>
      <w:r>
        <w:rPr>
          <w:rFonts w:ascii="Arial" w:hAnsi="Arial"/>
          <w:b w:val="0"/>
          <w:i w:val="0"/>
          <w:color w:val="111827"/>
          <w:sz w:val="22"/>
        </w:rPr>
        <w:t xml:space="preserve"> competente (TCU na União, TCE nos Estados e DF, TCMs onde existentes).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Controle Interno:</w:t>
      </w:r>
      <w:r>
        <w:rPr>
          <w:rFonts w:ascii="Arial" w:hAnsi="Arial"/>
          <w:b w:val="0"/>
          <w:i w:val="0"/>
          <w:color w:val="111827"/>
          <w:sz w:val="22"/>
        </w:rPr>
        <w:t xml:space="preserve"> Mantido de forma </w:t>
      </w:r>
      <w:r>
        <w:rPr>
          <w:rFonts w:ascii="Arial" w:hAnsi="Arial"/>
          <w:b/>
          <w:i w:val="0"/>
          <w:color w:val="111827"/>
          <w:sz w:val="22"/>
        </w:rPr>
        <w:t>integrada</w:t>
      </w:r>
      <w:r>
        <w:rPr>
          <w:rFonts w:ascii="Arial" w:hAnsi="Arial"/>
          <w:b w:val="0"/>
          <w:i w:val="0"/>
          <w:color w:val="111827"/>
          <w:sz w:val="22"/>
        </w:rPr>
        <w:t xml:space="preserve"> por cada um dos Poderes (Executivo, Legislativo e Judiciário) e pelo Ministério Público.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Controle Social:</w:t>
      </w:r>
      <w:r>
        <w:rPr>
          <w:rFonts w:ascii="Arial" w:hAnsi="Arial"/>
          <w:b w:val="0"/>
          <w:i w:val="0"/>
          <w:color w:val="111827"/>
          <w:sz w:val="22"/>
        </w:rPr>
        <w:t xml:space="preserve"> Exercido diretamente pela sociedade civil mediante instrumentos de transparência e cidadania (art. 74, § 2º).</w:t>
      </w:r>
    </w:p>
    <w:p>
      <w:pPr>
        <w:spacing w:after="120"/>
      </w:pPr>
    </w:p>
    <w:p>
      <w:pPr>
        <w:keepNext/>
        <w:spacing w:before="120" w:after="40"/>
      </w:pPr>
      <w:r>
        <w:rPr>
          <w:rFonts w:ascii="Arial" w:hAnsi="Arial"/>
          <w:b/>
          <w:i/>
          <w:color w:val="334155"/>
          <w:sz w:val="22"/>
        </w:rPr>
        <w:t>1.1 Sistemas de Controle Externo, Interno e Social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w:t>
      </w:r>
      <w:r>
        <w:rPr>
          <w:rFonts w:ascii="Arial" w:hAnsi="Arial"/>
          <w:b/>
          <w:i w:val="0"/>
          <w:color w:val="111827"/>
          <w:sz w:val="22"/>
        </w:rPr>
        <w:t>Controle Externo</w:t>
      </w:r>
      <w:r>
        <w:rPr>
          <w:rFonts w:ascii="Arial" w:hAnsi="Arial"/>
          <w:b w:val="0"/>
          <w:i w:val="0"/>
          <w:color w:val="111827"/>
          <w:sz w:val="22"/>
        </w:rPr>
        <w:t xml:space="preserve"> possui titularidade política no Poder Legislativo, sendo operacionalizado na plenitude técnica pelo Tribunal de Contas, órgão constitucional independente de controle da legitimidade, legalidade, economicidade, aplicação de subvenções e renúncia de receitas públicas.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w:t>
      </w:r>
      <w:r>
        <w:rPr>
          <w:rFonts w:ascii="Arial" w:hAnsi="Arial"/>
          <w:b/>
          <w:i w:val="0"/>
          <w:color w:val="111827"/>
          <w:sz w:val="22"/>
        </w:rPr>
        <w:t>Controle Interno</w:t>
      </w:r>
      <w:r>
        <w:rPr>
          <w:rFonts w:ascii="Arial" w:hAnsi="Arial"/>
          <w:b w:val="0"/>
          <w:i w:val="0"/>
          <w:color w:val="111827"/>
          <w:sz w:val="22"/>
        </w:rPr>
        <w:t xml:space="preserve"> atua no seio de cada estrutura orgânica para avaliar o cumprimento das metas do PPA, comprovar a legalidade da gestão orçamentária e apoiar o controle externo no exercício de sua missão institucional (art. 74, I a IV).</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w:t>
      </w:r>
      <w:r>
        <w:rPr>
          <w:rFonts w:ascii="Arial" w:hAnsi="Arial"/>
          <w:b/>
          <w:i w:val="0"/>
          <w:color w:val="111827"/>
          <w:sz w:val="22"/>
        </w:rPr>
        <w:t>Controle Social</w:t>
      </w:r>
      <w:r>
        <w:rPr>
          <w:rFonts w:ascii="Arial" w:hAnsi="Arial"/>
          <w:b w:val="0"/>
          <w:i w:val="0"/>
          <w:color w:val="111827"/>
          <w:sz w:val="22"/>
        </w:rPr>
        <w:t xml:space="preserve"> assegura a qualquer cidadão, partido político, associação ou sindicato legitimidade para denunciar irregularidades perante o Tribunal de Contas (art. 74, § 2º).</w:t>
      </w:r>
    </w:p>
    <w:p>
      <w:pPr>
        <w:keepNext/>
        <w:spacing w:before="120" w:after="40"/>
      </w:pPr>
      <w:r>
        <w:rPr>
          <w:rFonts w:ascii="Arial" w:hAnsi="Arial"/>
          <w:b/>
          <w:i/>
          <w:color w:val="334155"/>
          <w:sz w:val="22"/>
        </w:rPr>
        <w:t>1.2 O Dever de Comunicação do Controle Interno e Sanção de Solidariedade (Art. 74, § 1º)</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Os responsáveis pelo controle interno, ao tomarem conhecimento de qualquer irregularidade ou ilegalidade no órgão, </w:t>
      </w:r>
      <w:r>
        <w:rPr>
          <w:rFonts w:ascii="Arial" w:hAnsi="Arial"/>
          <w:b/>
          <w:i w:val="0"/>
          <w:color w:val="111827"/>
          <w:sz w:val="22"/>
        </w:rPr>
        <w:t>devem dar ciência imediata ao Tribunal de Contas competente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Sanção por Omissão:</w:t>
      </w:r>
      <w:r>
        <w:rPr>
          <w:rFonts w:ascii="Arial" w:hAnsi="Arial"/>
          <w:b w:val="0"/>
          <w:i w:val="0"/>
          <w:color w:val="111827"/>
          <w:sz w:val="22"/>
        </w:rPr>
        <w:t xml:space="preserve"> Se o titular do controle interno silenciar dolosa ou culposamente, responderá </w:t>
      </w:r>
      <w:r>
        <w:rPr>
          <w:rFonts w:ascii="Arial" w:hAnsi="Arial"/>
          <w:b/>
          <w:i w:val="0"/>
          <w:color w:val="111827"/>
          <w:sz w:val="22"/>
        </w:rPr>
        <w:t>pessoal e solidariamente</w:t>
      </w:r>
      <w:r>
        <w:rPr>
          <w:rFonts w:ascii="Arial" w:hAnsi="Arial"/>
          <w:b w:val="0"/>
          <w:i w:val="0"/>
          <w:color w:val="111827"/>
          <w:sz w:val="22"/>
        </w:rPr>
        <w:t xml:space="preserve"> com o gestor ímprobo pelo dano apurado e pelas sanções cominadas pelo Tribunal de Contas.</w:t>
      </w:r>
    </w:p>
    <w:p>
      <w:pPr>
        <w:keepNext/>
        <w:spacing w:before="200" w:after="80"/>
      </w:pPr>
      <w:r>
        <w:rPr>
          <w:rFonts w:ascii="Arial" w:hAnsi="Arial"/>
          <w:b/>
          <w:i w:val="0"/>
          <w:color w:val="2B6CB0"/>
          <w:sz w:val="24"/>
        </w:rPr>
        <w:t>2. Natureza Jurídica, Autonomia e Princípio da Simetria (Art. 75)</w:t>
      </w:r>
    </w:p>
    <w:p>
      <w:pPr>
        <w:keepNext/>
        <w:spacing w:before="120" w:after="40"/>
      </w:pPr>
      <w:r>
        <w:rPr>
          <w:rFonts w:ascii="Arial" w:hAnsi="Arial"/>
          <w:b/>
          <w:i/>
          <w:color w:val="334155"/>
          <w:sz w:val="22"/>
        </w:rPr>
        <w:t>2.1 Natureza Jurídica e Autonomias dos Tribunais de Contas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Os Tribunais de Contas são </w:t>
      </w:r>
      <w:r>
        <w:rPr>
          <w:rFonts w:ascii="Arial" w:hAnsi="Arial"/>
          <w:b/>
          <w:i w:val="0"/>
          <w:color w:val="111827"/>
          <w:sz w:val="22"/>
        </w:rPr>
        <w:t>órgãos estatais independentes</w:t>
      </w:r>
      <w:r>
        <w:rPr>
          <w:rFonts w:ascii="Arial" w:hAnsi="Arial"/>
          <w:b w:val="0"/>
          <w:i w:val="0"/>
          <w:color w:val="111827"/>
          <w:sz w:val="22"/>
        </w:rPr>
        <w:t>, de extração estritamente constitucional.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Não integram a estrutura hierárquica do Poder Legislativo</w:t>
      </w:r>
      <w:r>
        <w:rPr>
          <w:rFonts w:ascii="Arial" w:hAnsi="Arial"/>
          <w:b w:val="0"/>
          <w:i w:val="0"/>
          <w:color w:val="111827"/>
          <w:sz w:val="22"/>
        </w:rPr>
        <w:t>, tampouco do Poder Executivo ou do Judiciário. Exercem magistratura técnica de contas especializada dotada de autogoverno.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Possuem </w:t>
      </w:r>
      <w:r>
        <w:rPr>
          <w:rFonts w:ascii="Arial" w:hAnsi="Arial"/>
          <w:b/>
          <w:i w:val="0"/>
          <w:color w:val="111827"/>
          <w:sz w:val="22"/>
        </w:rPr>
        <w:t>autonomia administrativa, funcional, orçamentária e financeira</w:t>
      </w:r>
      <w:r>
        <w:rPr>
          <w:rFonts w:ascii="Arial" w:hAnsi="Arial"/>
          <w:b w:val="0"/>
          <w:i w:val="0"/>
          <w:color w:val="111827"/>
          <w:sz w:val="22"/>
        </w:rPr>
        <w:t>, além de quadro próprio de servidores públicos efetivos e poder de iniciativa reservada para suas leis orgânicas.</w:t>
      </w:r>
    </w:p>
    <w:p>
      <w:pPr>
        <w:keepNext/>
        <w:spacing w:before="120" w:after="40"/>
      </w:pPr>
      <w:r>
        <w:rPr>
          <w:rFonts w:ascii="Arial" w:hAnsi="Arial"/>
          <w:b/>
          <w:i/>
          <w:color w:val="334155"/>
          <w:sz w:val="22"/>
        </w:rPr>
        <w:t>2.2 O Princípio da Simetria Constitucional Federativa e a Composição dos TCEs</w:t>
      </w:r>
    </w:p>
    <w:p>
      <w:pPr>
        <w:spacing w:line="360" w:lineRule="auto" w:before="0" w:after="80"/>
        <w:jc w:val="both"/>
      </w:pPr>
      <w:r>
        <w:rPr>
          <w:rFonts w:ascii="Arial" w:hAnsi="Arial"/>
          <w:b w:val="0"/>
          <w:i w:val="0"/>
          <w:color w:val="111827"/>
          <w:sz w:val="24"/>
        </w:rPr>
        <w:t>O art. 75 da Carta Magna estabelece que as normas constitucionais federais sobre fiscalização financeira e organização do Tribunal de Contas da União aplicam-se compulsoriamente aos Tribunais de Contas dos Estados, do Distrito Federal e dos Municípios: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Composição dos Tribunais de Contas Estaduais (TCE-GO):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plenário é composto por </w:t>
      </w:r>
      <w:r>
        <w:rPr>
          <w:rFonts w:ascii="Arial" w:hAnsi="Arial"/>
          <w:b/>
          <w:i w:val="0"/>
          <w:color w:val="111827"/>
          <w:sz w:val="22"/>
        </w:rPr>
        <w:t>7 Conselheiros</w:t>
      </w:r>
      <w:r>
        <w:rPr>
          <w:rFonts w:ascii="Arial" w:hAnsi="Arial"/>
          <w:b w:val="0"/>
          <w:i w:val="0"/>
          <w:color w:val="111827"/>
          <w:sz w:val="22"/>
        </w:rPr>
        <w:t xml:space="preserve"> (ao contrário do TCU, que possui 9 Ministros).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Regra constitucional de escolha e indicação (Art. 73, § 2º c/c Art. 75):</w:t>
      </w:r>
    </w:p>
    <w:p>
      <w:pPr>
        <w:spacing w:line="276" w:lineRule="auto" w:before="20" w:after="40"/>
        <w:ind w:left="992"/>
      </w:pPr>
      <w:r>
        <w:rPr>
          <w:rFonts w:ascii="Arial" w:hAnsi="Arial"/>
          <w:b/>
          <w:color w:val="2B6CB0"/>
          <w:sz w:val="22"/>
        </w:rPr>
        <w:t xml:space="preserve">• </w:t>
      </w:r>
      <w:r>
        <w:rPr>
          <w:rFonts w:ascii="Arial" w:hAnsi="Arial"/>
          <w:b/>
          <w:i w:val="0"/>
          <w:color w:val="111827"/>
          <w:sz w:val="22"/>
        </w:rPr>
        <w:t>4 Conselheiros</w:t>
      </w:r>
      <w:r>
        <w:rPr>
          <w:rFonts w:ascii="Arial" w:hAnsi="Arial"/>
          <w:b w:val="0"/>
          <w:i w:val="0"/>
          <w:color w:val="111827"/>
          <w:sz w:val="22"/>
        </w:rPr>
        <w:t xml:space="preserve"> indicados e eleitos pela </w:t>
      </w:r>
      <w:r>
        <w:rPr>
          <w:rFonts w:ascii="Arial" w:hAnsi="Arial"/>
          <w:b/>
          <w:i w:val="0"/>
          <w:color w:val="111827"/>
          <w:sz w:val="22"/>
        </w:rPr>
        <w:t>Assembleia Legislativa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3 Conselheiros</w:t>
      </w:r>
      <w:r>
        <w:rPr>
          <w:rFonts w:ascii="Arial" w:hAnsi="Arial"/>
          <w:b w:val="0"/>
          <w:i w:val="0"/>
          <w:color w:val="111827"/>
          <w:sz w:val="22"/>
        </w:rPr>
        <w:t xml:space="preserve"> indicados pelo </w:t>
      </w:r>
      <w:r>
        <w:rPr>
          <w:rFonts w:ascii="Arial" w:hAnsi="Arial"/>
          <w:b/>
          <w:i w:val="0"/>
          <w:color w:val="111827"/>
          <w:sz w:val="22"/>
        </w:rPr>
        <w:t>Governador do Estado</w:t>
      </w:r>
      <w:r>
        <w:rPr>
          <w:rFonts w:ascii="Arial" w:hAnsi="Arial"/>
          <w:b w:val="0"/>
          <w:i w:val="0"/>
          <w:color w:val="111827"/>
          <w:sz w:val="22"/>
        </w:rPr>
        <w:t>, com prévia aprovação da Assembleia Legislativa, sendo:</w:t>
      </w:r>
    </w:p>
    <w:p>
      <w:pPr>
        <w:spacing w:line="276" w:lineRule="auto" w:before="20" w:after="40"/>
        <w:ind w:left="1559"/>
      </w:pPr>
      <w:r>
        <w:rPr>
          <w:rFonts w:ascii="Arial" w:hAnsi="Arial"/>
          <w:b/>
          <w:color w:val="2B6CB0"/>
          <w:sz w:val="22"/>
        </w:rPr>
        <w:t xml:space="preserve">• </w:t>
      </w:r>
      <w:r>
        <w:rPr>
          <w:rFonts w:ascii="Arial" w:hAnsi="Arial"/>
          <w:b w:val="0"/>
          <w:i w:val="0"/>
          <w:color w:val="111827"/>
          <w:sz w:val="22"/>
        </w:rPr>
        <w:t>1 de livre escolha do Governador;</w:t>
      </w:r>
    </w:p>
    <w:p>
      <w:pPr>
        <w:spacing w:line="276" w:lineRule="auto" w:before="20" w:after="40"/>
        <w:ind w:left="1559"/>
      </w:pPr>
      <w:r>
        <w:rPr>
          <w:rFonts w:ascii="Arial" w:hAnsi="Arial"/>
          <w:b/>
          <w:color w:val="2B6CB0"/>
          <w:sz w:val="22"/>
        </w:rPr>
        <w:t xml:space="preserve">• </w:t>
      </w:r>
      <w:r>
        <w:rPr>
          <w:rFonts w:ascii="Arial" w:hAnsi="Arial"/>
          <w:b w:val="0"/>
          <w:i w:val="0"/>
          <w:color w:val="111827"/>
          <w:sz w:val="22"/>
        </w:rPr>
        <w:t xml:space="preserve">1 obrigatoriamente escolhido dentre os </w:t>
      </w:r>
      <w:r>
        <w:rPr>
          <w:rFonts w:ascii="Arial" w:hAnsi="Arial"/>
          <w:b/>
          <w:i w:val="0"/>
          <w:color w:val="111827"/>
          <w:sz w:val="22"/>
        </w:rPr>
        <w:t>Auditores de Controle Externo (Conselheiros-Substitutos)</w:t>
      </w:r>
      <w:r>
        <w:rPr>
          <w:rFonts w:ascii="Arial" w:hAnsi="Arial"/>
          <w:b w:val="0"/>
          <w:i w:val="0"/>
          <w:color w:val="111827"/>
          <w:sz w:val="22"/>
        </w:rPr>
        <w:t>, a partir de lista tríplice de antiguidade e merecimento;</w:t>
      </w:r>
    </w:p>
    <w:p>
      <w:pPr>
        <w:spacing w:line="276" w:lineRule="auto" w:before="20" w:after="40"/>
        <w:ind w:left="1559"/>
      </w:pPr>
      <w:r>
        <w:rPr>
          <w:rFonts w:ascii="Arial" w:hAnsi="Arial"/>
          <w:b/>
          <w:color w:val="2B6CB0"/>
          <w:sz w:val="22"/>
        </w:rPr>
        <w:t xml:space="preserve">• </w:t>
      </w:r>
      <w:r>
        <w:rPr>
          <w:rFonts w:ascii="Arial" w:hAnsi="Arial"/>
          <w:b w:val="0"/>
          <w:i w:val="0"/>
          <w:color w:val="111827"/>
          <w:sz w:val="22"/>
        </w:rPr>
        <w:t xml:space="preserve">1 obrigatoriamente escolhido dentre os </w:t>
      </w:r>
      <w:r>
        <w:rPr>
          <w:rFonts w:ascii="Arial" w:hAnsi="Arial"/>
          <w:b/>
          <w:i w:val="0"/>
          <w:color w:val="111827"/>
          <w:sz w:val="22"/>
        </w:rPr>
        <w:t>Procuradores do Ministério Público de Contas</w:t>
      </w:r>
      <w:r>
        <w:rPr>
          <w:rFonts w:ascii="Arial" w:hAnsi="Arial"/>
          <w:b w:val="0"/>
          <w:i w:val="0"/>
          <w:color w:val="111827"/>
          <w:sz w:val="22"/>
        </w:rPr>
        <w:t>, a partir de lista tríplice de antiguidade e merecimento.</w:t>
      </w:r>
    </w:p>
    <w:p>
      <w:pPr>
        <w:spacing w:after="120"/>
      </w:pPr>
    </w:p>
    <w:p>
      <w:pPr>
        <w:keepNext/>
        <w:spacing w:before="200" w:after="80"/>
      </w:pPr>
      <w:r>
        <w:rPr>
          <w:rFonts w:ascii="Arial" w:hAnsi="Arial"/>
          <w:b/>
          <w:i w:val="0"/>
          <w:color w:val="2B6CB0"/>
          <w:sz w:val="24"/>
        </w:rPr>
        <w:t>3. Competências Constitucionais: Julgamento Técnico versus Parecer Prévio</w:t>
      </w:r>
    </w:p>
    <w:p>
      <w:pPr>
        <w:keepNext/>
        <w:spacing w:before="120" w:after="40"/>
      </w:pPr>
      <w:r>
        <w:rPr>
          <w:rFonts w:ascii="Arial" w:hAnsi="Arial"/>
          <w:b/>
          <w:i/>
          <w:color w:val="334155"/>
          <w:sz w:val="22"/>
        </w:rPr>
        <w:t>3.1 Contas de Governo versus Contas de Gestão</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Aspecto Diferenciador</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Contas de Governo (Chefe do Executivo)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Contas de Gestão (Ordenadores de Despesa e Administradores)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Prestadas por quem?</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Chefe do Poder Executivo (Presidente, Governador, Prefeito)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Secretários de Estado, Diretores de Autarquias, Fundações, Estatais, Comissões de Licitação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Objeto de Análise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Diretrizes macrofiscais, cumprimento dos índices constitucionais de Saúde e Educação, cumprimento da LRF e metas orçamentárias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Atos concretos e individualizados de gestão financeira: empenho, liquidação, pagamento, licitações, convênios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Papel do Tribunal de Contas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Emite </w:t>
            </w:r>
            <w:r>
              <w:rPr>
                <w:rFonts w:ascii="Arial" w:hAnsi="Arial"/>
                <w:b/>
                <w:i w:val="0"/>
                <w:color w:val="111827"/>
                <w:sz w:val="19"/>
              </w:rPr>
              <w:t>Parecer Prévio</w:t>
            </w:r>
            <w:r>
              <w:rPr>
                <w:rFonts w:ascii="Arial" w:hAnsi="Arial"/>
                <w:b w:val="0"/>
                <w:i w:val="0"/>
                <w:color w:val="111827"/>
                <w:sz w:val="19"/>
              </w:rPr>
              <w:t xml:space="preserve"> (ato técnico-consultivo opinativo) no prazo de 60 dias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Julga em caráter definitivo</w:t>
            </w:r>
            <w:r>
              <w:rPr>
                <w:rFonts w:ascii="Arial" w:hAnsi="Arial"/>
                <w:b w:val="0"/>
                <w:i w:val="0"/>
                <w:color w:val="111827"/>
                <w:sz w:val="19"/>
              </w:rPr>
              <w:t xml:space="preserve"> as contas (regulares, regulares com ressalva ou irregulares)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Quem Proferirá o Julgamento?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w:t>
            </w:r>
            <w:r>
              <w:rPr>
                <w:rFonts w:ascii="Arial" w:hAnsi="Arial"/>
                <w:b/>
                <w:i w:val="0"/>
                <w:color w:val="111827"/>
                <w:sz w:val="19"/>
              </w:rPr>
              <w:t>Poder Legislativo</w:t>
            </w:r>
            <w:r>
              <w:rPr>
                <w:rFonts w:ascii="Arial" w:hAnsi="Arial"/>
                <w:b w:val="0"/>
                <w:i w:val="0"/>
                <w:color w:val="111827"/>
                <w:sz w:val="19"/>
              </w:rPr>
              <w:t xml:space="preserve"> (Congresso, Assembleia Legislativa ou Câmara de Vereadores)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 próprio </w:t>
            </w:r>
            <w:r>
              <w:rPr>
                <w:rFonts w:ascii="Arial" w:hAnsi="Arial"/>
                <w:b/>
                <w:i w:val="0"/>
                <w:color w:val="111827"/>
                <w:sz w:val="19"/>
              </w:rPr>
              <w:t>Tribunal de Contas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Efeito da Rejeição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Julgamento político de contas do governante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Condenação pessoal com imputação de débito, multa pecuniária e inabilitação para funções públicas</w:t>
            </w:r>
          </w:p>
        </w:tc>
      </w:tr>
    </w:tbl>
    <w:p>
      <w:pPr>
        <w:spacing w:after="120"/>
      </w:pPr>
    </w:p>
    <w:p>
      <w:pPr>
        <w:keepNext/>
        <w:spacing w:before="120" w:after="40"/>
      </w:pPr>
      <w:r>
        <w:rPr>
          <w:rFonts w:ascii="Arial" w:hAnsi="Arial"/>
          <w:b/>
          <w:i/>
          <w:color w:val="334155"/>
          <w:sz w:val="22"/>
        </w:rPr>
        <w:t>3.2 O Julgamento das Contas de Prefeito Municipal (Tema 835 do STF)</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(TEMA 835 DO STF - CONTAS DE PREFEITO):</w:t>
            </w:r>
          </w:p>
          <w:p>
            <w:pPr>
              <w:spacing w:line="288" w:lineRule="auto" w:before="40" w:after="40"/>
            </w:pPr>
            <w:r>
              <w:rPr>
                <w:rFonts w:ascii="Arial" w:hAnsi="Arial"/>
                <w:b w:val="0"/>
                <w:i/>
                <w:color w:val="111827"/>
                <w:sz w:val="21"/>
              </w:rPr>
              <w:t>"Para os fins do art. 1º, inciso I, alínea 'g', da LC nº 64/1990 (Lei da Ficha Limpa), a apreciação das contas de prefeitos, tanto as de governo quanto as de gestão (ordenador de despesas), compete exclusivamente às Câmaras Municipais, com o auxílio dos Tribunais de Contas, cujo parecer prévio somente deixará de prevalecer por decisão de dois terços dos vereadores."</w:t>
            </w:r>
          </w:p>
          <w:p>
            <w:pPr>
              <w:spacing w:line="288" w:lineRule="auto" w:before="40" w:after="40"/>
            </w:pPr>
            <w:r>
              <w:rPr>
                <w:rFonts w:ascii="Arial" w:hAnsi="Arial"/>
                <w:b w:val="0"/>
                <w:i w:val="0"/>
                <w:color w:val="111827"/>
                <w:sz w:val="21"/>
              </w:rPr>
              <w:t xml:space="preserve">Portanto, mesmo que o Prefeito de um município goiano tenha assinado cheques e efetuado contratações diretas ilegais (ordenador), o Tribunal de Contas </w:t>
            </w:r>
            <w:r>
              <w:rPr>
                <w:rFonts w:ascii="Arial" w:hAnsi="Arial"/>
                <w:b/>
                <w:i w:val="0"/>
                <w:color w:val="111827"/>
                <w:sz w:val="21"/>
              </w:rPr>
              <w:t>não o julga de forma definitiva</w:t>
            </w:r>
            <w:r>
              <w:rPr>
                <w:rFonts w:ascii="Arial" w:hAnsi="Arial"/>
                <w:b w:val="0"/>
                <w:i w:val="0"/>
                <w:color w:val="111827"/>
                <w:sz w:val="21"/>
              </w:rPr>
              <w:t>: emite parecer prévio, e o julgamento que gera inelegibilidade pertence com exclusividade à Câmara Municipal!</w:t>
            </w:r>
          </w:p>
        </w:tc>
      </w:tr>
    </w:tbl>
    <w:p>
      <w:pPr>
        <w:spacing w:before="0" w:after="120"/>
      </w:pPr>
    </w:p>
    <w:p>
      <w:pPr>
        <w:keepNext/>
        <w:spacing w:before="200" w:after="80"/>
      </w:pPr>
      <w:r>
        <w:rPr>
          <w:rFonts w:ascii="Arial" w:hAnsi="Arial"/>
          <w:b/>
          <w:i w:val="0"/>
          <w:color w:val="2B6CB0"/>
          <w:sz w:val="24"/>
        </w:rPr>
        <w:t>4. Registro de Atos de Admissão e Benefícios Previdenciários (Art. 71, III)</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Ato Administrativo Complexo:</w:t>
      </w:r>
      <w:r>
        <w:rPr>
          <w:rFonts w:ascii="Arial" w:hAnsi="Arial"/>
          <w:b w:val="0"/>
          <w:i w:val="0"/>
          <w:color w:val="111827"/>
          <w:sz w:val="22"/>
        </w:rPr>
        <w:t xml:space="preserve"> A concessão inicial de aposentadoria, reforma e pensão, bem como a nomeação de servidor em concurso público, constitui ato complexo: só se aperfeiçoa definitivamente no mundo jurídico após o registro de legalidade concedido pelo Tribunal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Súmula Vinculante nº 3 do STF:</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*"Nos processos perante o Tribunal de Contas da União asseguram-se o contraditório e a ampla defesa quando da decisão puder resultar anulação ou revogação de ato administrativo que beneficie o interessado, </w:t>
      </w:r>
      <w:r>
        <w:rPr>
          <w:rFonts w:ascii="Arial" w:hAnsi="Arial"/>
          <w:b/>
          <w:i w:val="0"/>
          <w:color w:val="111827"/>
          <w:sz w:val="24"/>
        </w:rPr>
        <w:t>excetuada a apreciação da legalidade do ato de concessão inicial de aposentadoria, reforma e pensão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Tema 445 do STF (Prazo Decadencial de 5 Anos):</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O STF fixou tese vinculante estabelecendo que os Tribunais de Contas dispõem do prazo de </w:t>
      </w:r>
      <w:r>
        <w:rPr>
          <w:rFonts w:ascii="Arial" w:hAnsi="Arial"/>
          <w:b/>
          <w:i w:val="0"/>
          <w:color w:val="111827"/>
          <w:sz w:val="24"/>
        </w:rPr>
        <w:t>5 (cinco) anos</w:t>
      </w:r>
      <w:r>
        <w:rPr>
          <w:rFonts w:ascii="Arial" w:hAnsi="Arial"/>
          <w:b w:val="0"/>
          <w:i w:val="0"/>
          <w:color w:val="111827"/>
          <w:sz w:val="24"/>
        </w:rPr>
        <w:t xml:space="preserve"> para apreciar a legalidade da concessão inicial de aposentadoria, contados da chegada do processo ao órgão fiscalizador. Decorrido esse prazo de cinco anos sem julgamento, o ato considera-se tacitamente estabilizado e passa a ser obrigatória a intimação do servidor para exercício do contraditório e da ampla defesa antes de qualquer glosa!</w:t>
      </w:r>
    </w:p>
    <w:p>
      <w:pPr>
        <w:spacing w:after="120"/>
      </w:pPr>
    </w:p>
    <w:p>
      <w:pPr>
        <w:keepNext/>
        <w:spacing w:before="200" w:after="80"/>
      </w:pPr>
      <w:r>
        <w:rPr>
          <w:rFonts w:ascii="Arial" w:hAnsi="Arial"/>
          <w:b/>
          <w:i w:val="0"/>
          <w:color w:val="2B6CB0"/>
          <w:sz w:val="24"/>
        </w:rPr>
        <w:t>5. Sustação de Atos Ilegais versus Sustação de Contratos Administrativos</w:t>
      </w:r>
    </w:p>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w:t>
            </w:r>
          </w:p>
          <w:p>
            <w:pPr>
              <w:spacing w:line="288" w:lineRule="auto" w:before="40" w:after="40"/>
            </w:pPr>
            <w:r>
              <w:rPr>
                <w:rFonts w:ascii="Arial" w:hAnsi="Arial"/>
                <w:b w:val="0"/>
                <w:i w:val="0"/>
                <w:color w:val="111827"/>
                <w:sz w:val="21"/>
              </w:rPr>
              <w:t xml:space="preserve">A sustação direta e imediata de </w:t>
            </w:r>
            <w:r>
              <w:rPr>
                <w:rFonts w:ascii="Arial" w:hAnsi="Arial"/>
                <w:b/>
                <w:i w:val="0"/>
                <w:color w:val="111827"/>
                <w:sz w:val="21"/>
              </w:rPr>
              <w:t>contratos administrativos</w:t>
            </w:r>
            <w:r>
              <w:rPr>
                <w:rFonts w:ascii="Arial" w:hAnsi="Arial"/>
                <w:b w:val="0"/>
                <w:i w:val="0"/>
                <w:color w:val="111827"/>
                <w:sz w:val="21"/>
              </w:rPr>
              <w:t xml:space="preserve"> é prerrogativa originária do </w:t>
            </w:r>
            <w:r>
              <w:rPr>
                <w:rFonts w:ascii="Arial" w:hAnsi="Arial"/>
                <w:b/>
                <w:i w:val="0"/>
                <w:color w:val="111827"/>
                <w:sz w:val="21"/>
              </w:rPr>
              <w:t>Poder Legislativo</w:t>
            </w:r>
            <w:r>
              <w:rPr>
                <w:rFonts w:ascii="Arial" w:hAnsi="Arial"/>
                <w:b w:val="0"/>
                <w:i w:val="0"/>
                <w:color w:val="111827"/>
                <w:sz w:val="21"/>
              </w:rPr>
              <w:t xml:space="preserve">. O Tribunal de Contas não pode sustar diretamente um contrato na primeira intervenção; ele comunica a Casa Legislativa e apenas decidirá sobre a sustação caso o parlamento e o Executivo permaneçam inertes por </w:t>
            </w:r>
            <w:r>
              <w:rPr>
                <w:rFonts w:ascii="Arial" w:hAnsi="Arial"/>
                <w:b/>
                <w:i w:val="0"/>
                <w:color w:val="111827"/>
                <w:sz w:val="21"/>
              </w:rPr>
              <w:t>noventa dias</w:t>
            </w:r>
            <w:r>
              <w:rPr>
                <w:rFonts w:ascii="Arial" w:hAnsi="Arial"/>
                <w:b w:val="0"/>
                <w:i w:val="0"/>
                <w:color w:val="111827"/>
                <w:sz w:val="21"/>
              </w:rPr>
              <w:t xml:space="preserve"> (Art. 71, § 2º da CF/88).</w:t>
            </w:r>
          </w:p>
        </w:tc>
      </w:tr>
    </w:tbl>
    <w:p>
      <w:pPr>
        <w:spacing w:before="0" w:after="120"/>
      </w:pPr>
    </w:p>
    <w:p>
      <w:pPr>
        <w:keepNext/>
        <w:spacing w:before="200" w:after="80"/>
      </w:pPr>
      <w:r>
        <w:rPr>
          <w:rFonts w:ascii="Arial" w:hAnsi="Arial"/>
          <w:b/>
          <w:i w:val="0"/>
          <w:color w:val="2B6CB0"/>
          <w:sz w:val="24"/>
        </w:rPr>
        <w:t>6. Eficácia Executiva e Prescritibilidade (Art. 71, § 3º e Tema 899 do STF)</w:t>
      </w:r>
    </w:p>
    <w:p>
      <w:pPr>
        <w:spacing w:line="276" w:lineRule="auto" w:before="20" w:after="40"/>
        <w:ind w:left="425"/>
      </w:pPr>
      <w:r>
        <w:rPr>
          <w:rFonts w:ascii="Arial" w:hAnsi="Arial"/>
          <w:b/>
          <w:color w:val="2B6CB0"/>
          <w:sz w:val="22"/>
        </w:rPr>
        <w:t xml:space="preserve">• </w:t>
      </w:r>
      <w:r>
        <w:rPr>
          <w:rFonts w:ascii="Arial" w:hAnsi="Arial"/>
          <w:b/>
          <w:i w:val="0"/>
          <w:color w:val="111827"/>
          <w:sz w:val="22"/>
        </w:rPr>
        <w:t>Título Executivo Extrajudicial:</w:t>
      </w:r>
      <w:r>
        <w:rPr>
          <w:rFonts w:ascii="Arial" w:hAnsi="Arial"/>
          <w:b w:val="0"/>
          <w:i w:val="0"/>
          <w:color w:val="111827"/>
          <w:sz w:val="22"/>
        </w:rPr>
        <w:t xml:space="preserve"> As decisões dos Tribunais de Contas que resultem em imputação de débito ou cominação de multa pecuniária ostentam eficácia de </w:t>
      </w:r>
      <w:r>
        <w:rPr>
          <w:rFonts w:ascii="Arial" w:hAnsi="Arial"/>
          <w:b/>
          <w:i w:val="0"/>
          <w:color w:val="111827"/>
          <w:sz w:val="22"/>
        </w:rPr>
        <w:t>título executivo extrajudicial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Ajuizamento:</w:t>
      </w:r>
      <w:r>
        <w:rPr>
          <w:rFonts w:ascii="Arial" w:hAnsi="Arial"/>
          <w:b w:val="0"/>
          <w:i w:val="0"/>
          <w:color w:val="111827"/>
          <w:sz w:val="22"/>
        </w:rPr>
        <w:t xml:space="preserve"> O crédito não é cobrado diretamente pelo Tribunal de Contas em juízo, pois o Tribunal não possui personalidade jurídica própria nem capacidade processual para executar créditos da Fazenda Pública. A cobrança é deflagrada pela </w:t>
      </w:r>
      <w:r>
        <w:rPr>
          <w:rFonts w:ascii="Arial" w:hAnsi="Arial"/>
          <w:b/>
          <w:i w:val="0"/>
          <w:color w:val="111827"/>
          <w:sz w:val="22"/>
        </w:rPr>
        <w:t>Procuradoria-Geral do Estado (PGE)</w:t>
      </w:r>
      <w:r>
        <w:rPr>
          <w:rFonts w:ascii="Arial" w:hAnsi="Arial"/>
          <w:b w:val="0"/>
          <w:i w:val="0"/>
          <w:color w:val="111827"/>
          <w:sz w:val="22"/>
        </w:rPr>
        <w:t xml:space="preserve"> perante as Varas da Fazenda Pública, por meio de Ação de Execução Fiscal.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Tema 899 do STF:</w:t>
      </w:r>
      <w:r>
        <w:rPr>
          <w:rFonts w:ascii="Arial" w:hAnsi="Arial"/>
          <w:b w:val="0"/>
          <w:i w:val="0"/>
          <w:color w:val="111827"/>
          <w:sz w:val="22"/>
        </w:rPr>
        <w:t xml:space="preserve"> É </w:t>
      </w:r>
      <w:r>
        <w:rPr>
          <w:rFonts w:ascii="Arial" w:hAnsi="Arial"/>
          <w:b/>
          <w:i w:val="0"/>
          <w:color w:val="111827"/>
          <w:sz w:val="22"/>
        </w:rPr>
        <w:t>prescritível</w:t>
      </w:r>
      <w:r>
        <w:rPr>
          <w:rFonts w:ascii="Arial" w:hAnsi="Arial"/>
          <w:b w:val="0"/>
          <w:i w:val="0"/>
          <w:color w:val="111827"/>
          <w:sz w:val="22"/>
        </w:rPr>
        <w:t xml:space="preserve"> a pretensão de ressarcimento ao erário fundada em decisão de Tribunal de Contas, incidindo o prazo prescricional de </w:t>
      </w:r>
      <w:r>
        <w:rPr>
          <w:rFonts w:ascii="Arial" w:hAnsi="Arial"/>
          <w:b/>
          <w:i w:val="0"/>
          <w:color w:val="111827"/>
          <w:sz w:val="22"/>
        </w:rPr>
        <w:t>5 (cinco) anos</w:t>
      </w:r>
      <w:r>
        <w:rPr>
          <w:rFonts w:ascii="Arial" w:hAnsi="Arial"/>
          <w:b w:val="0"/>
          <w:i w:val="0"/>
          <w:color w:val="111827"/>
          <w:sz w:val="22"/>
        </w:rPr>
        <w:t>.</w:t>
      </w:r>
    </w:p>
    <w:p>
      <w:pPr>
        <w:keepNext/>
        <w:spacing w:before="200" w:after="80"/>
      </w:pPr>
      <w:r>
        <w:rPr>
          <w:rFonts w:ascii="Arial" w:hAnsi="Arial"/>
          <w:b/>
          <w:i w:val="0"/>
          <w:color w:val="2B6CB0"/>
          <w:sz w:val="24"/>
        </w:rPr>
        <w:t>7. Jurisdição Ampla e Independência das Instâncias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Jurisdição Subjetiva Ampla (Art. 70, parágrafo único):</w:t>
      </w:r>
      <w:r>
        <w:rPr>
          <w:rFonts w:ascii="Arial" w:hAnsi="Arial"/>
          <w:b w:val="0"/>
          <w:i w:val="0"/>
          <w:color w:val="111827"/>
          <w:sz w:val="22"/>
        </w:rPr>
        <w:t xml:space="preserve"> Prestará contas qualquer pessoa física ou jurídica, pública ou privada, que utilize, arrecade, guarde, gerencie ou administre dinheiros, bens e valores públicos ou pelos quais o Estado responda, ou que, em nome deste, assuma obrigações de natureza pecuniária.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Terceiro Setor:</w:t>
      </w:r>
      <w:r>
        <w:rPr>
          <w:rFonts w:ascii="Arial" w:hAnsi="Arial"/>
          <w:b w:val="0"/>
          <w:i w:val="0"/>
          <w:color w:val="111827"/>
          <w:sz w:val="22"/>
        </w:rPr>
        <w:t xml:space="preserve"> Organizações Sociais (OS), OSCIPs e entidades conveniadas submetem-se plenamente à jurisdição do Tribunal de Contas quanto aos recursos públicos repassados.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Independência das Instâncias:</w:t>
      </w:r>
      <w:r>
        <w:rPr>
          <w:rFonts w:ascii="Arial" w:hAnsi="Arial"/>
          <w:b w:val="0"/>
          <w:i w:val="0"/>
          <w:color w:val="111827"/>
          <w:sz w:val="22"/>
        </w:rPr>
        <w:t xml:space="preserve"> O processo no Tribunal de Contas é autônomo. A decisão absolutória no Tribunal de Contas não vincula nem impede a propositura de Ação Civil Pública de Improbidade Administrativa ou ação penal, salvo caso haja no juízo criminal sentença definitiva reconhecendo a </w:t>
      </w:r>
      <w:r>
        <w:rPr>
          <w:rFonts w:ascii="Arial" w:hAnsi="Arial"/>
          <w:b/>
          <w:i w:val="0"/>
          <w:color w:val="111827"/>
          <w:sz w:val="22"/>
        </w:rPr>
        <w:t>inexistência material do fato</w:t>
      </w:r>
      <w:r>
        <w:rPr>
          <w:rFonts w:ascii="Arial" w:hAnsi="Arial"/>
          <w:b w:val="0"/>
          <w:i w:val="0"/>
          <w:color w:val="111827"/>
          <w:sz w:val="22"/>
        </w:rPr>
        <w:t xml:space="preserve"> ou a </w:t>
      </w:r>
      <w:r>
        <w:rPr>
          <w:rFonts w:ascii="Arial" w:hAnsi="Arial"/>
          <w:b/>
          <w:i w:val="0"/>
          <w:color w:val="111827"/>
          <w:sz w:val="22"/>
        </w:rPr>
        <w:t>negativa de autoria</w:t>
      </w:r>
      <w:r>
        <w:rPr>
          <w:rFonts w:ascii="Arial" w:hAnsi="Arial"/>
          <w:b w:val="0"/>
          <w:i w:val="0"/>
          <w:color w:val="111827"/>
          <w:sz w:val="22"/>
        </w:rPr>
        <w:t>.</w:t>
      </w:r>
    </w:p>
    <w:p>
      <w:pPr>
        <w:keepNext/>
        <w:spacing w:before="280" w:after="120"/>
      </w:pPr>
      <w:r>
        <w:rPr>
          <w:rFonts w:ascii="Arial" w:hAnsi="Arial"/>
          <w:b/>
          <w:i w:val="0"/>
          <w:color w:val="2C5282"/>
          <w:sz w:val="28"/>
        </w:rPr>
        <w:t>🌐 Fontes Oficiais &amp; Jurisprudenciais Recomendadas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Federal de 1988 - Artigos 70 a 75 (Fiscalização Contábil e Orçamentária)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Estatuto constitucional que organiza os sistemas de controle interno e externo.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Estadual nº 16.168/2007 (Lei Orgânica do TCE-GO)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Disciplina as competências, jurisdição, prazos e processo de controle externo em Goiás.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Súmula Vinculante nº 3</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Aplicação do contraditório em processos nos Tribunais de Contas e exceção dos benefícios previdenciários.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Tema 445 de Repercussão Geral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Fixação do prazo decadencial de 5 anos para os Tribunais de Contas registrarem aposentadorias.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Tema 899 de Repercussão Geral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Prescritibilidade quinquenal das ações executórias de ressarcimento fundadas em títulos emitidos por Tribunais de Contas.</w:t>
      </w:r>
    </w:p>
    <w:p>
      <w:pPr>
        <w:keepNext/>
        <w:spacing w:before="280" w:after="120"/>
      </w:pPr>
      <w:r>
        <w:rPr>
          <w:rFonts w:ascii="Arial" w:hAnsi="Arial"/>
          <w:b/>
          <w:i w:val="0"/>
          <w:color w:val="2C5282"/>
          <w:sz w:val="28"/>
        </w:rPr>
        <w:t>📝 Questões Comentadas no Padrão FCC (Justificadas de A a E)</w:t>
      </w:r>
    </w:p>
    <w:p>
      <w:pPr>
        <w:keepNext/>
        <w:spacing w:before="200" w:after="80"/>
      </w:pPr>
      <w:r>
        <w:rPr>
          <w:rFonts w:ascii="Arial" w:hAnsi="Arial"/>
          <w:b/>
          <w:i w:val="0"/>
          <w:color w:val="2B6CB0"/>
          <w:sz w:val="24"/>
        </w:rPr>
        <w:t>Questão 1 (FCC - Adaptada / TCE-RS - Auditor de Controle Externo)</w:t>
      </w:r>
    </w:p>
    <w:p>
      <w:pPr>
        <w:spacing w:line="360" w:lineRule="auto" w:before="0" w:after="80"/>
        <w:jc w:val="both"/>
      </w:pPr>
      <w:r>
        <w:rPr>
          <w:rFonts w:ascii="Arial" w:hAnsi="Arial"/>
          <w:b w:val="0"/>
          <w:i w:val="0"/>
          <w:color w:val="111827"/>
          <w:sz w:val="24"/>
        </w:rPr>
        <w:t>Em matéria de fiscalização contábil, financeira e orçamentária da Administração Pública, à luz da disciplina traçada na Constituição Federal de 1988 e do princípio da simetria constitucional,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sustação de contrato administrativo eivado de ilegalidade grave deve ser determinada de imediato pelo próprio Tribunal de Contas, mediante medida cautelar unilateral, independentemente de prévia provocação ou comunicação ao Poder Legislativo.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decisão do Tribunal de Contas de que resulte imputação de débito ou penalidade pecuniária de multa possui eficácia de título executivo judicial, cabendo à Secretaria-Geral do próprio Tribunal a sua execução forçada perante a vara cível competente.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No caso de irregularidade insanável em ato administrativo não contratual, verificado o desatendimento do prazo assinado para a adoção das providências cabíveis, o próprio Tribunal de Contas sustará a execução do ato impugnado.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sistema de controle interno instituído no âmbito do Poder Executivo detém a competência constitucional exclusiva para julgar em caráter definitivo as contas dos ordenadores de despesas públicas.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 pessoas jurídicas de direito privado que recebem recursos públicos estaduais mediante parceria ou termo de colaboração não se submetem à jurisdição do Tribunal de Contas, cabendo a fiscalização unicamente ao órgão repassador originário.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Conforme o art. 71, § 1º, da CF/88, no caso de contrato administrativo, o ato de sustação deve ser adotado primariamente pelo Poder Legislativo, que solicitará ao Poder Executivo as providências cabíveis. O Tribunal de Contas só ganha competência subsidiária se o Legislativo for omisso por noventa dias.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art. 71, § 3º, confere eficácia de </w:t>
            </w:r>
            <w:r>
              <w:rPr>
                <w:rFonts w:ascii="Arial" w:hAnsi="Arial"/>
                <w:b/>
                <w:i w:val="0"/>
                <w:color w:val="111827"/>
                <w:sz w:val="21"/>
              </w:rPr>
              <w:t>título executivo extrajudicial</w:t>
            </w:r>
            <w:r>
              <w:rPr>
                <w:rFonts w:ascii="Arial" w:hAnsi="Arial"/>
                <w:b w:val="0"/>
                <w:i w:val="0"/>
                <w:color w:val="111827"/>
                <w:sz w:val="21"/>
              </w:rPr>
              <w:t xml:space="preserve"> (e não judicial). Além disso, a cobrança dá-se pela Fazenda Pública estadual (PGE) e não pela Secretaria do Tribunal.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De acordo com o art. 71, X, da CF/88, compete ao Tribunal de Contas: </w:t>
            </w:r>
            <w:r>
              <w:rPr>
                <w:rFonts w:ascii="Arial" w:hAnsi="Arial"/>
                <w:b w:val="0"/>
                <w:i/>
                <w:color w:val="111827"/>
                <w:sz w:val="21"/>
              </w:rPr>
              <w:t>"sustar, se não atendido, a execução do ato impugnado, comunicando a decisão à Câmara dos Deputados e ao Senado Federal"</w:t>
            </w:r>
            <w:r>
              <w:rPr>
                <w:rFonts w:ascii="Arial" w:hAnsi="Arial"/>
                <w:b w:val="0"/>
                <w:i w:val="0"/>
                <w:color w:val="111827"/>
                <w:sz w:val="21"/>
              </w:rPr>
              <w:t xml:space="preserve"> (ou à Assembleia Legislativa estadual).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controle interno auxilia e apoia o controle externo (art. 74, IV), mas não tem atribuição jurisdicional para proferir julgamento definitivo de contas de gestão. O julgamento técnico definitivo é privativo do Tribunal de Contas (art. 71, II).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art. 70, parágrafo único, estabelece que qualquer pessoa física ou jurídica, pública ou privada, que utilize, guarde, arrecade ou gerencie recursos públicos está sujeita à jurisdição do Tribunal de Contas.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Adaptada / TCE-AP - Técnico de Controle Externo)</w:t>
      </w:r>
    </w:p>
    <w:p>
      <w:pPr>
        <w:spacing w:line="360" w:lineRule="auto" w:before="0" w:after="80"/>
        <w:jc w:val="both"/>
      </w:pPr>
      <w:r>
        <w:rPr>
          <w:rFonts w:ascii="Arial" w:hAnsi="Arial"/>
          <w:b w:val="0"/>
          <w:i w:val="0"/>
          <w:color w:val="111827"/>
          <w:sz w:val="24"/>
        </w:rPr>
        <w:t>Sobre a relação entre os sistemas de controle interno e externo e a atuação fiscalizatória dos Tribunais de Contas,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Os responsáveis pelo controle interno que tomarem conhecimento de qualquer ilegalidade apurada na gestão e não derem imediata ciência ao Tribunal de Contas competente serão responsabilizados solidariamente pelo fato.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parecer prévio emitido pelo Tribunal de Contas sobre as contas anuais prestadas pelo Chefe do Poder Executivo ostenta caráter terminativo e vinculante para o Poder Legislativo competente.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apreciação da legalidade dos atos de concessão inicial de aposentadoria perante o Tribunal de Contas depende de prévia citação do servidor jubilado para apresentação de defesa técnica, mesmo quando realizada dentro do prazo de cinco anos da chegada do processo ao Tribunal.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Tribunal de Contas integra formalmente a estrutura orgânica do Poder Judiciário, razão pela qual suas decisões sobre prestação de contas fazem coisa julgada material oponível à revisão judicial.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competência fiscalizatória dos Tribunais de Contas limita-se ao exame da estrita legalidade formal, sendo-lhe expressamente vedada a avaliação da economicidade ou legitimidade dos gastos públicos.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O art. 74, § 1º, da CF/88 é categórico: </w:t>
            </w:r>
            <w:r>
              <w:rPr>
                <w:rFonts w:ascii="Arial" w:hAnsi="Arial"/>
                <w:b w:val="0"/>
                <w:i/>
                <w:color w:val="111827"/>
                <w:sz w:val="21"/>
              </w:rPr>
              <w:t>"Os responsáveis pelo controle interno, ao tomarem conhecimento de qualquer irregularidade ou ilegalidade, dela darão ciência ao Tribunal de Contas da União, sob pena de responsabilidade solidária."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parecer prévio sobre contas de governo é de natureza eminentemente opinativa; a decisão final e o julgamento pertencem ao Poder Legislativo.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Nos termos da Súmula Vinculante nº 3 do STF, no exame da concessão inicial de aposentadoria dispensa-se a oportunidade de contraditório prévio, salvo se o processo permanecer sem decisão no Tribunal por mais de cinco anos (Tema 445 do STF).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Tribunal de Contas é órgão constitucional autônomo e não integra o Poder Judiciário. Suas decisões produzem coisa julgada administrativa, mas a legalidade do processo administrativo pode ser submetida ao crivo do Judiciário (art. 5º, XXXV).</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art. 70 da CF/88 inclui expressamente a fiscalização contábil, financeira, orçamentária, operacional e patrimonial quanto à legalidade, </w:t>
            </w:r>
            <w:r>
              <w:rPr>
                <w:rFonts w:ascii="Arial" w:hAnsi="Arial"/>
                <w:b/>
                <w:i w:val="0"/>
                <w:color w:val="111827"/>
                <w:sz w:val="21"/>
              </w:rPr>
              <w:t>legitimidade e economicidade</w:t>
            </w:r>
            <w:r>
              <w:rPr>
                <w:rFonts w:ascii="Arial" w:hAnsi="Arial"/>
                <w:b w:val="0"/>
                <w:i w:val="0"/>
                <w:color w:val="111827"/>
                <w:sz w:val="21"/>
              </w:rPr>
              <w:t>.</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3 (FCC - Adaptada / Analista de Controle Externo - TCE-GO)</w:t>
      </w:r>
    </w:p>
    <w:p>
      <w:pPr>
        <w:spacing w:line="360" w:lineRule="auto" w:before="0" w:after="80"/>
        <w:jc w:val="both"/>
      </w:pPr>
      <w:r>
        <w:rPr>
          <w:rFonts w:ascii="Arial" w:hAnsi="Arial"/>
          <w:b w:val="0"/>
          <w:i w:val="0"/>
          <w:color w:val="111827"/>
          <w:sz w:val="24"/>
        </w:rPr>
        <w:t>A Constituição do Estado de Goiás prevê a organização e o funcionamento do Tribunal de Contas do Estado (TCE-GO). Em consonância com o princípio da simetria constitucional federativa insculpido no artigo 75 da Constituição da República de 1988, o plenário do TCE-GO é composto por: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Nove Ministros, nomeados pelo Governador do Estado com aprovação do Senado Federal.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Sete Conselheiros, sendo quatro escolhidos pela Assembleia Legislativa e três pelo Governador do Estado com aprovação da Assembleia, cabendo a este indicar um dentre auditores e outro dentre membros do Ministério Público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Onze Desembargadores de Contas, eleitos pelo voto secreto dos servidores efetivos do órgão e homologados pelo Poder Judiciário.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Cinco Conselheiros titulares e cinco suplentes, todos de livre nomeação e exoneração do Governador do Estado.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Sete Conselheiros, todos eleitos pelo Tribunal de Justiça a partir de lista sêxtupla de juristas e contadores públicos.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TCU compõe-se de nove Ministros (art. 73 da CF), mas os Tribunais de Contas Estaduais possuem sete Conselheiros. Além disso, a aprovação é da Assembleia Legislativa estadual, não do Senado.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Em virtude do princípio da simetria constitucional (art. 75 c/c art. 73, § 2º, da CF/88 e art. 27 da CE-GO), os TCEs possuem 7 Conselheiros: 4 indicados pela Assembleia Legislativa e 3 pelo Governador (aprovados pela Assembleia), devendo o Governador escolher alternadamente 1 auditor de controle externo (Conselheiro-Substituto) e 1 membro do Ministério Público de Contas, a partir de listas tríplices de merecimento e antiguidade.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Os membros dos TCs denominam-se Conselheiros nos Estados e não são eleitos por voto funcional de servidores.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nomeação segue o modelo constitucional híbrido de 7 membros vitalícios, sendo vedada a livre exoneração pelo Governador.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Tribunal de Justiça não possui assento na escolha do corpo deliberativo dos Tribunais de Contas.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Analista Jurídico de Controle)</w:t>
      </w:r>
    </w:p>
    <w:p>
      <w:pPr>
        <w:spacing w:line="360" w:lineRule="auto" w:before="0" w:after="80"/>
        <w:jc w:val="both"/>
      </w:pPr>
      <w:r>
        <w:rPr>
          <w:rFonts w:ascii="Arial" w:hAnsi="Arial"/>
          <w:b w:val="0"/>
          <w:i w:val="0"/>
          <w:color w:val="111827"/>
          <w:sz w:val="24"/>
        </w:rPr>
        <w:t>Determinada organização social (OS) celebrou contrato de gestão com a Secretaria de Saúde do Estado de Goiás para operacionalização de hospital público regional, recebendo expressivo montante de recursos estaduais. Uma auditoria interna identificou pagamentos a fornecedores fantasmas sem a respectiva entrega de insumos farmacêuticos. O Tribunal de Contas do Estado instaurou processo de tomada de contas especial e intimou o diretor da entidade privada para apresentar defesa.</w:t>
      </w:r>
    </w:p>
    <w:p>
      <w:pPr>
        <w:spacing w:line="360" w:lineRule="auto" w:before="0" w:after="80"/>
        <w:jc w:val="both"/>
      </w:pPr>
      <w:r>
        <w:rPr>
          <w:rFonts w:ascii="Arial" w:hAnsi="Arial"/>
          <w:b w:val="0"/>
          <w:i w:val="0"/>
          <w:color w:val="111827"/>
          <w:sz w:val="24"/>
        </w:rPr>
        <w:t>Em sede preliminar, o gestor privado alegou incompetência absoluta do Tribunal de Contas, afirmando que pessoas jurídicas de direito privado não integram a Administração Pública e, por isso, estão imunes ao controle externo exercido pelo órgão fiscalizador.</w:t>
      </w:r>
    </w:p>
    <w:p>
      <w:pPr>
        <w:spacing w:line="360" w:lineRule="auto" w:before="0" w:after="80"/>
        <w:jc w:val="both"/>
      </w:pPr>
      <w:r>
        <w:rPr>
          <w:rFonts w:ascii="Arial" w:hAnsi="Arial"/>
          <w:b w:val="0"/>
          <w:i w:val="0"/>
          <w:color w:val="111827"/>
          <w:sz w:val="24"/>
        </w:rPr>
        <w:t>Considerando o texto da Constituição Federal de 1988 e a jurisprudência dominante: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preliminar deve ser acolhida, visto que o Tribunal de Contas possui jurisdição exclusiva sobre agentes públicos estatutários e bens integrantes do patrimônio da administração direta.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preliminar deve ser rejeitada, pois qualquer pessoa física ou jurídica, de direito público ou privado, que utilize, arrecade, guarde, gerencie ou administre dinheiros, bens e valores públicos responde perante o Tribunal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Tribunal de Contas somente teria competência caso houvesse cláusula expressa no contrato de gestão renunciando à imunidade jurisdicional privada.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competência para apurar desvios praticados por particulares conveniados é exclusiva da Delegacia de Polícia Civil, vedada qualquer apuração administrativa por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jurisdição do Tribunal de Contas sobre particulares restringe-se aos casos de desapropriação indireta e concessão de serviços postais.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jurisdição de contas orienta-se pela natureza dos recursos públicos gerenciados e pelo dever de prestar contas, e não pela natureza jurídica civil do gestor.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parágrafo único do art. 70 da CF/88 prescreve solenemente: </w:t>
            </w:r>
            <w:r>
              <w:rPr>
                <w:rFonts w:ascii="Arial" w:hAnsi="Arial"/>
                <w:b w:val="0"/>
                <w:i/>
                <w:color w:val="111827"/>
                <w:sz w:val="21"/>
              </w:rPr>
              <w:t>"Prestará contas qualquer pessoa física ou jurídica, pública ou privada, que utilize, arrecade, guarde, gerencie ou administre dinheiros, bens e valores públicos ou pelos quais a União [ou o Estado] responda, ou que, em nome desta, assuma obrigações de natureza pecuniária."</w:t>
            </w:r>
            <w:r>
              <w:rPr>
                <w:rFonts w:ascii="Arial" w:hAnsi="Arial"/>
                <w:b w:val="0"/>
                <w:i w:val="0"/>
                <w:color w:val="111827"/>
                <w:sz w:val="21"/>
              </w:rPr>
              <w:t xml:space="preserve"> Assim, a OS e seus dirigentes sujeitam-se amplamente à jurisdição do TCE.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competência constitucional de controle externo é impositiva e cogente de ordem pública, prescindindo de previsão contratual permissiva.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apuração criminal pela Polícia não anula a jurisdição técnica e reparatória do Tribunal de Contas (independência de instâncias).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regra alcança qualquer entidade privada gerindo verbas estatais.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Adaptada / Auditor Governamental)</w:t>
      </w:r>
    </w:p>
    <w:p>
      <w:pPr>
        <w:spacing w:line="360" w:lineRule="auto" w:before="0" w:after="80"/>
        <w:jc w:val="both"/>
      </w:pPr>
      <w:r>
        <w:rPr>
          <w:rFonts w:ascii="Arial" w:hAnsi="Arial"/>
          <w:b w:val="0"/>
          <w:i w:val="0"/>
          <w:color w:val="111827"/>
          <w:sz w:val="24"/>
        </w:rPr>
        <w:t>Acórdão condenatório proferido pelo Tribunal de Contas imputou débito de R</w:t>
      </w:r>
      <w:r>
        <w:rPr>
          <w:rFonts w:ascii="Cambria Math" w:hAnsi="Cambria Math"/>
          <w:i/>
          <w:color w:val="1B365D"/>
          <w:sz w:val="24"/>
        </w:rPr>
        <w:t xml:space="preserve"> 300.000,00 e cominou multa de R</w:t>
      </w:r>
      <w:r>
        <w:rPr>
          <w:rFonts w:ascii="Arial" w:hAnsi="Arial"/>
          <w:b w:val="0"/>
          <w:i w:val="0"/>
          <w:color w:val="111827"/>
          <w:sz w:val="24"/>
        </w:rPr>
        <w:t xml:space="preserve"> 30.000,00 a ex-secretário municipal que desviou verbas do erário. O acórdão transitou em julgado administrativamente no Tribunal de Contas. Passados seis anos da decisão definitiva sem qualquer providência de cobrança por parte dos órgãos públicos, a Procuradoria do Município ajuizou execução fiscal contra o devedor. O executado opôs embargos alegando prescrição da pretensão de ressarcimento.</w:t>
      </w:r>
    </w:p>
    <w:p>
      <w:pPr>
        <w:spacing w:line="360" w:lineRule="auto" w:before="0" w:after="80"/>
        <w:jc w:val="both"/>
      </w:pPr>
      <w:r>
        <w:rPr>
          <w:rFonts w:ascii="Arial" w:hAnsi="Arial"/>
          <w:b w:val="0"/>
          <w:i w:val="0"/>
          <w:color w:val="111827"/>
          <w:sz w:val="24"/>
        </w:rPr>
        <w:t>Com fundamento no Tema 899 da Repercussão Geral fixado pelo Supremo Tribunal Federal: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pretensão de ressarcimento ao erário fundada em decisão de Tribunal de Contas é imprescritível por força do artigo 37, § 5º da Constituição Federal.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prazo prescricional para execução do título de Tribunal de Contas é decadencial de vinte anos, conforme o Código Civil de 1916.</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É prescritível a pretensão de ressarcimento ao erário fundada em decisão de Tribunal de Contas, aplicando-se o prazo prescricional de cinco anos previsto no Decreto nº 20.910/1932 e na Lei nº 9.873/1999.</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decisões dos Tribunais de Contas não possuem eficácia de título executivo, sendo obrigatório o ajuizamento de ação civil pública prévia.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prescrição somente se opera se o Tribunal de Contas anular seu próprio acórdão de ofício mediante requerimento do Ministério Público de Contas.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tese da imprescritibilidade fixada pelo STF no Tema 897 aplica-se estritamente às ações de ressarcimento decorrentes de </w:t>
            </w:r>
            <w:r>
              <w:rPr>
                <w:rFonts w:ascii="Arial" w:hAnsi="Arial"/>
                <w:b/>
                <w:i w:val="0"/>
                <w:color w:val="111827"/>
                <w:sz w:val="21"/>
              </w:rPr>
              <w:t>atos dolosos de improbidade administrativa</w:t>
            </w:r>
            <w:r>
              <w:rPr>
                <w:rFonts w:ascii="Arial" w:hAnsi="Arial"/>
                <w:b w:val="0"/>
                <w:i w:val="0"/>
                <w:color w:val="111827"/>
                <w:sz w:val="21"/>
              </w:rPr>
              <w:t xml:space="preserve"> ajuizadas pelo Ministério Público/Fazenda. No caso específico de execuções de títulos executivos oriundos de </w:t>
            </w:r>
            <w:r>
              <w:rPr>
                <w:rFonts w:ascii="Arial" w:hAnsi="Arial"/>
                <w:b/>
                <w:i w:val="0"/>
                <w:color w:val="111827"/>
                <w:sz w:val="21"/>
              </w:rPr>
              <w:t>Tribunais de Contas</w:t>
            </w:r>
            <w:r>
              <w:rPr>
                <w:rFonts w:ascii="Arial" w:hAnsi="Arial"/>
                <w:b w:val="0"/>
                <w:i w:val="0"/>
                <w:color w:val="111827"/>
                <w:sz w:val="21"/>
              </w:rPr>
              <w:t>, o STF fixou tese diversa no Tema 899.</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prazo não é vintenário nem disciplinado pelo antigo Código Civil, mas quinquenal (5 anos).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Conforme a tese fixada pelo STF no </w:t>
            </w:r>
            <w:r>
              <w:rPr>
                <w:rFonts w:ascii="Arial" w:hAnsi="Arial"/>
                <w:b/>
                <w:i w:val="0"/>
                <w:color w:val="111827"/>
                <w:sz w:val="21"/>
              </w:rPr>
              <w:t>Tema 899 de Repercussão Geral (RE 636.886)</w:t>
            </w:r>
            <w:r>
              <w:rPr>
                <w:rFonts w:ascii="Arial" w:hAnsi="Arial"/>
                <w:b w:val="0"/>
                <w:i w:val="0"/>
                <w:color w:val="111827"/>
                <w:sz w:val="21"/>
              </w:rPr>
              <w:t xml:space="preserve">: </w:t>
            </w:r>
            <w:r>
              <w:rPr>
                <w:rFonts w:ascii="Arial" w:hAnsi="Arial"/>
                <w:b w:val="0"/>
                <w:i/>
                <w:color w:val="111827"/>
                <w:sz w:val="21"/>
              </w:rPr>
              <w:t>"É prescritível a pretensão de ressarcimento ao erário fundada em decisão de Tribunal de Contas."</w:t>
            </w:r>
            <w:r>
              <w:rPr>
                <w:rFonts w:ascii="Arial" w:hAnsi="Arial"/>
                <w:b w:val="0"/>
                <w:i w:val="0"/>
                <w:color w:val="111827"/>
                <w:sz w:val="21"/>
              </w:rPr>
              <w:t xml:space="preserve"> Aplica-se o prazo prescricional de </w:t>
            </w:r>
            <w:r>
              <w:rPr>
                <w:rFonts w:ascii="Arial" w:hAnsi="Arial"/>
                <w:b/>
                <w:i w:val="0"/>
                <w:color w:val="111827"/>
                <w:sz w:val="21"/>
              </w:rPr>
              <w:t>cinco anos</w:t>
            </w:r>
            <w:r>
              <w:rPr>
                <w:rFonts w:ascii="Arial" w:hAnsi="Arial"/>
                <w:b w:val="0"/>
                <w:i w:val="0"/>
                <w:color w:val="111827"/>
                <w:sz w:val="21"/>
              </w:rPr>
              <w:t xml:space="preserve"> das dívidas ativas da Fazenda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art. 71, § 3º, da CF/88 outorga expressamente eficácia de título executivo às decisões do Tribunal de Contas.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prescrição é matéria de ordem pública apreciada judicialmente nos embargos à execução, prescindindo de autotutela anulatória no TC.</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02 - Instrumentos de Fiscalização, Tipos de Auditoria e Normas NBASP / INTOSAI</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Controle Externo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02_instrumentos_e_tipos_de_auditoria_governamental_nbasp.md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Instrumentos de fiscalização do controle externo: levantamento, auditoria, inspeção, acompanhamento e monitoramento (conceitos, distinções operacionais e hipóteses de cabimento);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Tipologia da auditoria governamental segundo as normas técnicas: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Auditoria de Conformidade (legalidade, legitimidade, regularidade formal e cumprimento normativo);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Auditoria Operacional / de Desempenho (avaliação dos 4 Es: economicidade, eficiência, eficácia e efetividade);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Auditoria Financeira (exame das demonstrações contábeis e tipos de opinião do auditor);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Estrutura das Normas Internacionais das Entidades Fiscalizadoras Superiores (INTOSAI) e Declaração de Lima;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Normas Brasileiras de Auditoria do Setor Público (NBASP) emitidas pelo Instituto Rui Barbosa (IRB):</w:t>
      </w:r>
    </w:p>
    <w:p>
      <w:pPr>
        <w:spacing w:line="276" w:lineRule="auto" w:before="20" w:after="40"/>
        <w:ind w:left="992"/>
      </w:pPr>
      <w:r>
        <w:rPr>
          <w:rFonts w:ascii="Arial" w:hAnsi="Arial"/>
          <w:b/>
          <w:color w:val="2B6CB0"/>
          <w:sz w:val="22"/>
        </w:rPr>
        <w:t xml:space="preserve">• </w:t>
      </w:r>
      <w:r>
        <w:rPr>
          <w:rFonts w:ascii="Arial" w:hAnsi="Arial"/>
          <w:b/>
          <w:i w:val="0"/>
          <w:color w:val="111827"/>
          <w:sz w:val="22"/>
        </w:rPr>
        <w:t>NBASP 100:</w:t>
      </w:r>
      <w:r>
        <w:rPr>
          <w:rFonts w:ascii="Arial" w:hAnsi="Arial"/>
          <w:b w:val="0"/>
          <w:i w:val="0"/>
          <w:color w:val="111827"/>
          <w:sz w:val="22"/>
        </w:rPr>
        <w:t xml:space="preserve"> Princípios Fundamentais de Auditoria do Setor Público (as três partes da auditoria, objeto e critérios);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NBASP 200:</w:t>
      </w:r>
      <w:r>
        <w:rPr>
          <w:rFonts w:ascii="Arial" w:hAnsi="Arial"/>
          <w:b w:val="0"/>
          <w:i w:val="0"/>
          <w:color w:val="111827"/>
          <w:sz w:val="22"/>
        </w:rPr>
        <w:t xml:space="preserve"> Princípios de Auditoria Financeira;</w:t>
      </w:r>
    </w:p>
    <w:p>
      <w:pPr>
        <w:spacing w:line="276" w:lineRule="auto" w:before="20" w:after="40"/>
        <w:ind w:left="992"/>
      </w:pPr>
      <w:r>
        <w:rPr>
          <w:rFonts w:ascii="Arial" w:hAnsi="Arial"/>
          <w:b/>
          <w:color w:val="2B6CB0"/>
          <w:sz w:val="22"/>
        </w:rPr>
        <w:t xml:space="preserve">• </w:t>
      </w:r>
      <w:r>
        <w:rPr>
          <w:rFonts w:ascii="Arial" w:hAnsi="Arial"/>
          <w:b/>
          <w:i w:val="0"/>
          <w:color w:val="111827"/>
          <w:sz w:val="22"/>
        </w:rPr>
        <w:t>NBASP 300:</w:t>
      </w:r>
      <w:r>
        <w:rPr>
          <w:rFonts w:ascii="Arial" w:hAnsi="Arial"/>
          <w:b w:val="0"/>
          <w:i w:val="0"/>
          <w:color w:val="111827"/>
          <w:sz w:val="22"/>
        </w:rPr>
        <w:t xml:space="preserve"> Princípios de Auditoria Operacional;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NBASP 400:</w:t>
      </w:r>
      <w:r>
        <w:rPr>
          <w:rFonts w:ascii="Arial" w:hAnsi="Arial"/>
          <w:b w:val="0"/>
          <w:i w:val="0"/>
          <w:color w:val="111827"/>
          <w:sz w:val="22"/>
        </w:rPr>
        <w:t xml:space="preserve"> Princípios de Auditoria de Conformidade;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Postura profissional e conduta ética do auditor de controle externo: independência, integridade, ceticismo profissional, julgamento profissional, devido zelo e sigilo funcional;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Matrizes metodológicas: Matriz de Planejamento e Matriz de Achados de Auditoria.</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1B365D"/>
          <w:sz w:val="22"/>
        </w:rPr>
        <w:t xml:space="preserve">1. </w:t>
      </w:r>
      <w:r>
        <w:rPr>
          <w:rFonts w:ascii="Arial" w:hAnsi="Arial"/>
          <w:color w:val="2B6CB0"/>
          <w:sz w:val="22"/>
          <w:u w:val="single"/>
        </w:rPr>
        <w:t>Os Cinco Instrumentos de Fiscalização do Controle Externo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1.1 </w:t>
      </w:r>
      <w:r>
        <w:rPr>
          <w:rFonts w:ascii="Arial" w:hAnsi="Arial"/>
          <w:color w:val="2B6CB0"/>
          <w:sz w:val="22"/>
          <w:u w:val="single"/>
        </w:rPr>
        <w:t>Conceito e Finalidade Prática de Cada Instrumento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1.2 </w:t>
      </w:r>
      <w:r>
        <w:rPr>
          <w:rFonts w:ascii="Arial" w:hAnsi="Arial"/>
          <w:color w:val="2B6CB0"/>
          <w:sz w:val="22"/>
          <w:u w:val="single"/>
        </w:rPr>
        <w:t>Diferença Prática entre Inspeção e Monitoramento</w:t>
      </w:r>
    </w:p>
    <w:p>
      <w:pPr>
        <w:spacing w:line="276" w:lineRule="auto" w:before="20" w:after="40"/>
        <w:ind w:left="425"/>
      </w:pPr>
      <w:r>
        <w:rPr>
          <w:rFonts w:ascii="Arial" w:hAnsi="Arial"/>
          <w:b/>
          <w:color w:val="1B365D"/>
          <w:sz w:val="22"/>
        </w:rPr>
        <w:t xml:space="preserve">2. </w:t>
      </w:r>
      <w:r>
        <w:rPr>
          <w:rFonts w:ascii="Arial" w:hAnsi="Arial"/>
          <w:color w:val="2B6CB0"/>
          <w:sz w:val="22"/>
          <w:u w:val="single"/>
        </w:rPr>
        <w:t>Tipologia das Auditorias Governamentais (Normas NBASP / INTOSAI)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2.1 </w:t>
      </w:r>
      <w:r>
        <w:rPr>
          <w:rFonts w:ascii="Arial" w:hAnsi="Arial"/>
          <w:color w:val="2B6CB0"/>
          <w:sz w:val="22"/>
          <w:u w:val="single"/>
        </w:rPr>
        <w:t>Auditoria de Conformidade (NBASP 400)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2.2 </w:t>
      </w:r>
      <w:r>
        <w:rPr>
          <w:rFonts w:ascii="Arial" w:hAnsi="Arial"/>
          <w:color w:val="2B6CB0"/>
          <w:sz w:val="22"/>
          <w:u w:val="single"/>
        </w:rPr>
        <w:t>Auditoria Operacional ou de Desempenho e os 4 Es (NBASP 300)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2.3 </w:t>
      </w:r>
      <w:r>
        <w:rPr>
          <w:rFonts w:ascii="Arial" w:hAnsi="Arial"/>
          <w:color w:val="2B6CB0"/>
          <w:sz w:val="22"/>
          <w:u w:val="single"/>
        </w:rPr>
        <w:t>Auditoria Financeira e os Tipos de Opinião do Auditor (NBASP 200)</w:t>
      </w:r>
    </w:p>
    <w:p>
      <w:pPr>
        <w:spacing w:line="276" w:lineRule="auto" w:before="20" w:after="40"/>
        <w:ind w:left="425"/>
      </w:pPr>
      <w:r>
        <w:rPr>
          <w:rFonts w:ascii="Arial" w:hAnsi="Arial"/>
          <w:b/>
          <w:color w:val="1B365D"/>
          <w:sz w:val="22"/>
        </w:rPr>
        <w:t xml:space="preserve">3. </w:t>
      </w:r>
      <w:r>
        <w:rPr>
          <w:rFonts w:ascii="Arial" w:hAnsi="Arial"/>
          <w:color w:val="2B6CB0"/>
          <w:sz w:val="22"/>
          <w:u w:val="single"/>
        </w:rPr>
        <w:t>Estrutura Normativa NBASP / INTOSAI e as Três Partes da Auditoria</w:t>
      </w:r>
    </w:p>
    <w:p>
      <w:pPr>
        <w:spacing w:line="276" w:lineRule="auto" w:before="20" w:after="40"/>
        <w:ind w:left="425"/>
      </w:pPr>
      <w:r>
        <w:rPr>
          <w:rFonts w:ascii="Arial" w:hAnsi="Arial"/>
          <w:b/>
          <w:color w:val="1B365D"/>
          <w:sz w:val="22"/>
        </w:rPr>
        <w:t xml:space="preserve">4. </w:t>
      </w:r>
      <w:r>
        <w:rPr>
          <w:rFonts w:ascii="Arial" w:hAnsi="Arial"/>
          <w:color w:val="2B6CB0"/>
          <w:sz w:val="22"/>
          <w:u w:val="single"/>
        </w:rPr>
        <w:t>Postura e Conduta Profissional do Auditor (NBASP 100)</w:t>
      </w:r>
    </w:p>
    <w:p>
      <w:pPr>
        <w:spacing w:line="276" w:lineRule="auto" w:before="20" w:after="40"/>
        <w:ind w:left="425"/>
      </w:pPr>
      <w:r>
        <w:rPr>
          <w:rFonts w:ascii="Arial" w:hAnsi="Arial"/>
          <w:b/>
          <w:color w:val="1B365D"/>
          <w:sz w:val="22"/>
        </w:rPr>
        <w:t xml:space="preserve">5. </w:t>
      </w:r>
      <w:r>
        <w:rPr>
          <w:rFonts w:ascii="Arial" w:hAnsi="Arial"/>
          <w:color w:val="2B6CB0"/>
          <w:sz w:val="22"/>
          <w:u w:val="single"/>
        </w:rPr>
        <w:t>Matrizes Metodológicas de Trabalho: Planejamento e Achados</w:t>
      </w:r>
    </w:p>
    <w:p>
      <w:pPr>
        <w:spacing w:line="276" w:lineRule="auto" w:before="20" w:after="40"/>
        <w:ind w:left="425"/>
      </w:pPr>
      <w:r>
        <w:rPr>
          <w:rFonts w:ascii="Arial" w:hAnsi="Arial"/>
          <w:b/>
          <w:color w:val="1B365D"/>
          <w:sz w:val="22"/>
        </w:rPr>
        <w:t xml:space="preserve">6. </w:t>
      </w:r>
      <w:r>
        <w:rPr>
          <w:rFonts w:ascii="Arial" w:hAnsi="Arial"/>
          <w:color w:val="2B6CB0"/>
          <w:sz w:val="22"/>
          <w:u w:val="single"/>
        </w:rPr>
        <w:t>Fontes Oficiais &amp; Normativas Recomendadas</w:t>
      </w:r>
    </w:p>
    <w:p>
      <w:pPr>
        <w:spacing w:line="276" w:lineRule="auto" w:before="20" w:after="40"/>
        <w:ind w:left="425"/>
      </w:pPr>
      <w:r>
        <w:rPr>
          <w:rFonts w:ascii="Arial" w:hAnsi="Arial"/>
          <w:b/>
          <w:color w:val="1B365D"/>
          <w:sz w:val="22"/>
        </w:rPr>
        <w:t xml:space="preserve">7. </w:t>
      </w:r>
      <w:r>
        <w:rPr>
          <w:rFonts w:ascii="Arial" w:hAnsi="Arial"/>
          <w:color w:val="2B6CB0"/>
          <w:sz w:val="22"/>
          <w:u w:val="single"/>
        </w:rPr>
        <w:t>Questões Comentadas no Padrão FCC (Justificadas de A a E)</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Os Cinco Instrumentos de Fiscalização do Controle Externo</w:t>
      </w:r>
    </w:p>
    <w:p>
      <w:pPr>
        <w:spacing w:line="360" w:lineRule="auto" w:before="0" w:after="80"/>
        <w:jc w:val="both"/>
      </w:pPr>
      <w:r>
        <w:rPr>
          <w:rFonts w:ascii="Arial" w:hAnsi="Arial"/>
          <w:b w:val="0"/>
          <w:i w:val="0"/>
          <w:color w:val="111827"/>
          <w:sz w:val="24"/>
        </w:rPr>
        <w:t xml:space="preserve">A Lei Orgânica do Tribunal de Contas do Estado de Goiás (Lei Estadual nº 16.168/2007) e o seu Regimento Interno estruturam a atuação fiscalizatória externa em </w:t>
      </w:r>
      <w:r>
        <w:rPr>
          <w:rFonts w:ascii="Arial" w:hAnsi="Arial"/>
          <w:b/>
          <w:i w:val="0"/>
          <w:color w:val="111827"/>
          <w:sz w:val="24"/>
        </w:rPr>
        <w:t>cinco instrumentos operacionais fundamentais</w:t>
      </w:r>
      <w:r>
        <w:rPr>
          <w:rFonts w:ascii="Arial" w:hAnsi="Arial"/>
          <w:b w:val="0"/>
          <w:i w:val="0"/>
          <w:color w:val="111827"/>
          <w:sz w:val="24"/>
        </w:rPr>
        <w:t>:</w:t>
      </w:r>
    </w:p>
    <w:p>
      <w:pPr>
        <w:spacing w:after="120"/>
      </w:pPr>
    </w:p>
    <w:p>
      <w:pPr>
        <w:keepNext/>
        <w:spacing w:before="120" w:after="40"/>
      </w:pPr>
      <w:r>
        <w:rPr>
          <w:rFonts w:ascii="Arial" w:hAnsi="Arial"/>
          <w:b/>
          <w:i/>
          <w:color w:val="334155"/>
          <w:sz w:val="22"/>
        </w:rPr>
        <w:t>1.1 Conceito e Finalidade Prática de Cada Instrumento</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Instrumento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Conceito &amp; Finalidade</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Quando é Utilizado na Prática?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Levantamento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Utilizado para conhecer a organização, o funcionamento dos órgãos públicos, mapear sistemas de informação e </w:t>
            </w:r>
            <w:r>
              <w:rPr>
                <w:rFonts w:ascii="Arial" w:hAnsi="Arial"/>
                <w:b/>
                <w:i w:val="0"/>
                <w:color w:val="111827"/>
                <w:sz w:val="19"/>
              </w:rPr>
              <w:t>avaliar a viabilidade da realização de futuras fiscalizações</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Fase exploratória prévia; elaboração do Plano Anual de Fiscalização do Tribunal.</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Auditoria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Instrumento formal e abrangente destinado a examinar a legalidade, legitimidade e economicidade de atos, contratos, demonstrações contábeis e programas de governo.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Fiscalização planejada de grande porte (conformidade, operacional ou financeira).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Inspeção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Destinada a suprir omissões ou lacunas de informações, esclarecer dúvidas pontuais em processos em andamento ou </w:t>
            </w:r>
            <w:r>
              <w:rPr>
                <w:rFonts w:ascii="Arial" w:hAnsi="Arial"/>
                <w:b/>
                <w:i w:val="0"/>
                <w:color w:val="111827"/>
                <w:sz w:val="19"/>
              </w:rPr>
              <w:t>apurar denúncias e representações de caráter urgente</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Atuação pontual, corretiva e de resposta a denúncias de irregularidades.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Acompanhamento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Utilizado para fiscalizar tempestivamente a gestão, de forma </w:t>
            </w:r>
            <w:r>
              <w:rPr>
                <w:rFonts w:ascii="Arial" w:hAnsi="Arial"/>
                <w:b/>
                <w:i w:val="0"/>
                <w:color w:val="111827"/>
                <w:sz w:val="19"/>
              </w:rPr>
              <w:t>concomitante e periódica</w:t>
            </w:r>
            <w:r>
              <w:rPr>
                <w:rFonts w:ascii="Arial" w:hAnsi="Arial"/>
                <w:b w:val="0"/>
                <w:i w:val="0"/>
                <w:color w:val="111827"/>
                <w:sz w:val="19"/>
              </w:rPr>
              <w:t>, ao longo de um determinado período.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Grandes obras públicas em execução, repasses contínuos e editais de licitação em andamento.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Monitoramento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Destinado especificamente a verificar o </w:t>
            </w:r>
            <w:r>
              <w:rPr>
                <w:rFonts w:ascii="Arial" w:hAnsi="Arial"/>
                <w:b/>
                <w:i w:val="0"/>
                <w:color w:val="111827"/>
                <w:sz w:val="19"/>
              </w:rPr>
              <w:t>cumprimento das deliberações</w:t>
            </w:r>
            <w:r>
              <w:rPr>
                <w:rFonts w:ascii="Arial" w:hAnsi="Arial"/>
                <w:b w:val="0"/>
                <w:i w:val="0"/>
                <w:color w:val="111827"/>
                <w:sz w:val="19"/>
              </w:rPr>
              <w:t xml:space="preserve"> (determinações e recomendações) expedidas pelo Tribunal e os resultados gerados.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Etapa pós-auditoria; fiscaliza se o órgão cumpriu os prazos e providências do acórdão.</w:t>
            </w:r>
          </w:p>
        </w:tc>
      </w:tr>
    </w:tbl>
    <w:p>
      <w:pPr>
        <w:spacing w:after="120"/>
      </w:pPr>
    </w:p>
    <w:p>
      <w:pPr>
        <w:keepNext/>
        <w:spacing w:before="120" w:after="40"/>
      </w:pPr>
      <w:r>
        <w:rPr>
          <w:rFonts w:ascii="Arial" w:hAnsi="Arial"/>
          <w:b/>
          <w:i/>
          <w:color w:val="334155"/>
          <w:sz w:val="22"/>
        </w:rPr>
        <w:t>1.2 Diferença Prática entre Inspeção e Monitoramento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FCC frequentemente permuta as finalidades da </w:t>
            </w:r>
            <w:r>
              <w:rPr>
                <w:rFonts w:ascii="Arial" w:hAnsi="Arial"/>
                <w:b/>
                <w:i w:val="0"/>
                <w:color w:val="111827"/>
                <w:sz w:val="21"/>
              </w:rPr>
              <w:t>Inspeção</w:t>
            </w:r>
            <w:r>
              <w:rPr>
                <w:rFonts w:ascii="Arial" w:hAnsi="Arial"/>
                <w:b w:val="0"/>
                <w:i w:val="0"/>
                <w:color w:val="111827"/>
                <w:sz w:val="21"/>
              </w:rPr>
              <w:t xml:space="preserve"> e do </w:t>
            </w:r>
            <w:r>
              <w:rPr>
                <w:rFonts w:ascii="Arial" w:hAnsi="Arial"/>
                <w:b/>
                <w:i w:val="0"/>
                <w:color w:val="111827"/>
                <w:sz w:val="21"/>
              </w:rPr>
              <w:t>Monitoramento</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Se o enunciado mencionar </w:t>
            </w:r>
            <w:r>
              <w:rPr>
                <w:rFonts w:ascii="Arial" w:hAnsi="Arial"/>
                <w:b w:val="0"/>
                <w:i/>
                <w:color w:val="111827"/>
                <w:sz w:val="21"/>
              </w:rPr>
              <w:t>"apurar fatos noticiados em representação de vereador ou denúncia popular urgente"</w:t>
            </w:r>
            <w:r>
              <w:rPr>
                <w:rFonts w:ascii="Arial" w:hAnsi="Arial"/>
                <w:b w:val="0"/>
                <w:i w:val="0"/>
                <w:color w:val="111827"/>
                <w:sz w:val="21"/>
              </w:rPr>
              <w:t xml:space="preserve">, o instrumento próprio e adequado é a </w:t>
            </w:r>
            <w:r>
              <w:rPr>
                <w:rFonts w:ascii="Arial" w:hAnsi="Arial"/>
                <w:b/>
                <w:i w:val="0"/>
                <w:color w:val="111827"/>
                <w:sz w:val="21"/>
              </w:rPr>
              <w:t>INSPEÇÃO</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Se o enunciado descrever </w:t>
            </w:r>
            <w:r>
              <w:rPr>
                <w:rFonts w:ascii="Arial" w:hAnsi="Arial"/>
                <w:b w:val="0"/>
                <w:i/>
                <w:color w:val="111827"/>
                <w:sz w:val="21"/>
              </w:rPr>
              <w:t>"verificar se a Secretaria de Educação adotou as providências e determinações exaradas em acórdão anterior do Tribunal"</w:t>
            </w:r>
            <w:r>
              <w:rPr>
                <w:rFonts w:ascii="Arial" w:hAnsi="Arial"/>
                <w:b w:val="0"/>
                <w:i w:val="0"/>
                <w:color w:val="111827"/>
                <w:sz w:val="21"/>
              </w:rPr>
              <w:t xml:space="preserve">, o instrumento correto é o </w:t>
            </w:r>
            <w:r>
              <w:rPr>
                <w:rFonts w:ascii="Arial" w:hAnsi="Arial"/>
                <w:b/>
                <w:i w:val="0"/>
                <w:color w:val="111827"/>
                <w:sz w:val="21"/>
              </w:rPr>
              <w:t>MONITORAMENTO</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2. Tipologia das Auditorias Governamentais (Normas NBASP / INTOSAI)</w:t>
      </w:r>
    </w:p>
    <w:p>
      <w:pPr>
        <w:spacing w:line="360" w:lineRule="auto" w:before="0" w:after="80"/>
        <w:jc w:val="both"/>
      </w:pPr>
      <w:r>
        <w:rPr>
          <w:rFonts w:ascii="Arial" w:hAnsi="Arial"/>
          <w:b w:val="0"/>
          <w:i w:val="0"/>
          <w:color w:val="111827"/>
          <w:sz w:val="24"/>
        </w:rPr>
        <w:t xml:space="preserve">Conforme a </w:t>
      </w:r>
      <w:r>
        <w:rPr>
          <w:rFonts w:ascii="Arial" w:hAnsi="Arial"/>
          <w:b/>
          <w:i w:val="0"/>
          <w:color w:val="111827"/>
          <w:sz w:val="24"/>
        </w:rPr>
        <w:t>NBASP 100</w:t>
      </w:r>
      <w:r>
        <w:rPr>
          <w:rFonts w:ascii="Arial" w:hAnsi="Arial"/>
          <w:b w:val="0"/>
          <w:i w:val="0"/>
          <w:color w:val="111827"/>
          <w:sz w:val="24"/>
        </w:rPr>
        <w:t xml:space="preserve"> (Princípios Fundamentais de Auditoria do Setor Público), emitida pelo Instituto Rui Barbosa (IRB) em convergência com as normas da INTOSAI, existem três tipos clássicos de auditoria governamental:</w:t>
      </w:r>
    </w:p>
    <w:p>
      <w:pPr>
        <w:spacing w:after="120"/>
      </w:pPr>
    </w:p>
    <w:p>
      <w:pPr>
        <w:keepNext/>
        <w:spacing w:before="120" w:after="40"/>
      </w:pPr>
      <w:r>
        <w:rPr>
          <w:rFonts w:ascii="Arial" w:hAnsi="Arial"/>
          <w:b/>
          <w:i/>
          <w:color w:val="334155"/>
          <w:sz w:val="22"/>
        </w:rPr>
        <w:t>2.1 Auditoria de Conformidade (NBASP 400)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Foco:</w:t>
      </w:r>
      <w:r>
        <w:rPr>
          <w:rFonts w:ascii="Arial" w:hAnsi="Arial"/>
          <w:b w:val="0"/>
          <w:i w:val="0"/>
          <w:color w:val="111827"/>
          <w:sz w:val="22"/>
        </w:rPr>
        <w:t xml:space="preserve"> Avaliar se as atividades, transações financeiras e atos administrativos cumprem a legislação e a regulamentação aplicável.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Critérios:</w:t>
      </w:r>
      <w:r>
        <w:rPr>
          <w:rFonts w:ascii="Arial" w:hAnsi="Arial"/>
          <w:b w:val="0"/>
          <w:i w:val="0"/>
          <w:color w:val="111827"/>
          <w:sz w:val="22"/>
        </w:rPr>
        <w:t xml:space="preserve"> Normas jurídicas positivadas (Lei nº 14.133/2021, LRF, Constituição, decretos e termos contratuais).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Desfecho:</w:t>
      </w:r>
      <w:r>
        <w:rPr>
          <w:rFonts w:ascii="Arial" w:hAnsi="Arial"/>
          <w:b w:val="0"/>
          <w:i w:val="0"/>
          <w:color w:val="111827"/>
          <w:sz w:val="22"/>
        </w:rPr>
        <w:t xml:space="preserve"> Identificação de irregularidades, infrações à norma legal e danos ao erário, culminando em relatórios com propostas de imputação de débito e cominação de multas.</w:t>
      </w:r>
    </w:p>
    <w:p>
      <w:pPr>
        <w:keepNext/>
        <w:spacing w:before="120" w:after="40"/>
      </w:pPr>
      <w:r>
        <w:rPr>
          <w:rFonts w:ascii="Arial" w:hAnsi="Arial"/>
          <w:b/>
          <w:i/>
          <w:color w:val="334155"/>
          <w:sz w:val="22"/>
        </w:rPr>
        <w:t>2.2 Auditoria Operacional ou de Desempenho e os 4 Es (NBASP 300)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Foco:</w:t>
      </w:r>
      <w:r>
        <w:rPr>
          <w:rFonts w:ascii="Arial" w:hAnsi="Arial"/>
          <w:b w:val="0"/>
          <w:i w:val="0"/>
          <w:color w:val="111827"/>
          <w:sz w:val="22"/>
        </w:rPr>
        <w:t xml:space="preserve"> Avaliar o desempenho de programas, projetos e órgãos públicos sob a perspectiva dos </w:t>
      </w:r>
      <w:r>
        <w:rPr>
          <w:rFonts w:ascii="Arial" w:hAnsi="Arial"/>
          <w:b/>
          <w:i w:val="0"/>
          <w:color w:val="111827"/>
          <w:sz w:val="22"/>
        </w:rPr>
        <w:t>4 Es da Administração Pública</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1. </w:t>
      </w:r>
      <w:r>
        <w:rPr>
          <w:rFonts w:ascii="Arial" w:hAnsi="Arial"/>
          <w:b/>
          <w:i w:val="0"/>
          <w:color w:val="111827"/>
          <w:sz w:val="22"/>
        </w:rPr>
        <w:t>Economicidade:</w:t>
      </w:r>
      <w:r>
        <w:rPr>
          <w:rFonts w:ascii="Arial" w:hAnsi="Arial"/>
          <w:b w:val="0"/>
          <w:i w:val="0"/>
          <w:color w:val="111827"/>
          <w:sz w:val="22"/>
        </w:rPr>
        <w:t xml:space="preserve"> Minimização dos custos dos recursos empregados na realização de uma atividade, sem comprometer a qualidade (</w:t>
      </w:r>
      <w:r>
        <w:rPr>
          <w:rFonts w:ascii="Arial" w:hAnsi="Arial"/>
          <w:b w:val="0"/>
          <w:i/>
          <w:color w:val="111827"/>
          <w:sz w:val="22"/>
        </w:rPr>
        <w:t>comprar bem e pelo preço justo</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2. </w:t>
      </w:r>
      <w:r>
        <w:rPr>
          <w:rFonts w:ascii="Arial" w:hAnsi="Arial"/>
          <w:b/>
          <w:i w:val="0"/>
          <w:color w:val="111827"/>
          <w:sz w:val="22"/>
        </w:rPr>
        <w:t>Eficiência:</w:t>
      </w:r>
      <w:r>
        <w:rPr>
          <w:rFonts w:ascii="Arial" w:hAnsi="Arial"/>
          <w:b w:val="0"/>
          <w:i w:val="0"/>
          <w:color w:val="111827"/>
          <w:sz w:val="22"/>
        </w:rPr>
        <w:t xml:space="preserve"> Relação técnica entre os insumos empregados (</w:t>
      </w:r>
      <w:r>
        <w:rPr>
          <w:rFonts w:ascii="Arial" w:hAnsi="Arial"/>
          <w:b w:val="0"/>
          <w:i/>
          <w:color w:val="111827"/>
          <w:sz w:val="22"/>
        </w:rPr>
        <w:t>inputs</w:t>
      </w:r>
      <w:r>
        <w:rPr>
          <w:rFonts w:ascii="Arial" w:hAnsi="Arial"/>
          <w:b w:val="0"/>
          <w:i w:val="0"/>
          <w:color w:val="111827"/>
          <w:sz w:val="22"/>
        </w:rPr>
        <w:t>) e os produtos, obras ou serviços gerados (</w:t>
      </w:r>
      <w:r>
        <w:rPr>
          <w:rFonts w:ascii="Arial" w:hAnsi="Arial"/>
          <w:b w:val="0"/>
          <w:i/>
          <w:color w:val="111827"/>
          <w:sz w:val="22"/>
        </w:rPr>
        <w:t>outputs</w:t>
      </w:r>
      <w:r>
        <w:rPr>
          <w:rFonts w:ascii="Arial" w:hAnsi="Arial"/>
          <w:b w:val="0"/>
          <w:i w:val="0"/>
          <w:color w:val="111827"/>
          <w:sz w:val="22"/>
        </w:rPr>
        <w:t>) - maximizar entregas com o menor dispêndio de recursos.</w:t>
      </w:r>
    </w:p>
    <w:p>
      <w:pPr>
        <w:spacing w:line="276" w:lineRule="auto" w:before="20" w:after="40"/>
        <w:ind w:left="992"/>
      </w:pPr>
      <w:r>
        <w:rPr>
          <w:rFonts w:ascii="Arial" w:hAnsi="Arial"/>
          <w:b/>
          <w:color w:val="1B365D"/>
          <w:sz w:val="22"/>
        </w:rPr>
        <w:t xml:space="preserve">3. </w:t>
      </w:r>
      <w:r>
        <w:rPr>
          <w:rFonts w:ascii="Arial" w:hAnsi="Arial"/>
          <w:b/>
          <w:i w:val="0"/>
          <w:color w:val="111827"/>
          <w:sz w:val="22"/>
        </w:rPr>
        <w:t>Eficácia:</w:t>
      </w:r>
      <w:r>
        <w:rPr>
          <w:rFonts w:ascii="Arial" w:hAnsi="Arial"/>
          <w:b w:val="0"/>
          <w:i w:val="0"/>
          <w:color w:val="111827"/>
          <w:sz w:val="22"/>
        </w:rPr>
        <w:t xml:space="preserve"> Grau de alcance dos objetivos e metas formais estabelecidos no planejamento governamental (</w:t>
      </w:r>
      <w:r>
        <w:rPr>
          <w:rFonts w:ascii="Arial" w:hAnsi="Arial"/>
          <w:b w:val="0"/>
          <w:i/>
          <w:color w:val="111827"/>
          <w:sz w:val="22"/>
        </w:rPr>
        <w:t>atingir o percentual previsto no PPA/LOA</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4. </w:t>
      </w:r>
      <w:r>
        <w:rPr>
          <w:rFonts w:ascii="Arial" w:hAnsi="Arial"/>
          <w:b/>
          <w:i w:val="0"/>
          <w:color w:val="111827"/>
          <w:sz w:val="22"/>
        </w:rPr>
        <w:t>Efetividade:</w:t>
      </w:r>
      <w:r>
        <w:rPr>
          <w:rFonts w:ascii="Arial" w:hAnsi="Arial"/>
          <w:b w:val="0"/>
          <w:i w:val="0"/>
          <w:color w:val="111827"/>
          <w:sz w:val="22"/>
        </w:rPr>
        <w:t xml:space="preserve"> Impacto social real e duradouro alcançado sobre a população-alvo e o meio ambiente (</w:t>
      </w:r>
      <w:r>
        <w:rPr>
          <w:rFonts w:ascii="Arial" w:hAnsi="Arial"/>
          <w:b w:val="0"/>
          <w:i/>
          <w:color w:val="111827"/>
          <w:sz w:val="22"/>
        </w:rPr>
        <w:t>transformação positiva na realidade dos cidadãos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Desfecho:</w:t>
      </w:r>
      <w:r>
        <w:rPr>
          <w:rFonts w:ascii="Arial" w:hAnsi="Arial"/>
          <w:b w:val="0"/>
          <w:i w:val="0"/>
          <w:color w:val="111827"/>
          <w:sz w:val="22"/>
        </w:rPr>
        <w:t xml:space="preserve"> Emissão preponderante de </w:t>
      </w:r>
      <w:r>
        <w:rPr>
          <w:rFonts w:ascii="Arial" w:hAnsi="Arial"/>
          <w:b/>
          <w:i w:val="0"/>
          <w:color w:val="111827"/>
          <w:sz w:val="22"/>
        </w:rPr>
        <w:t>recomendações pedagógicas de melhoria de gestão</w:t>
      </w:r>
      <w:r>
        <w:rPr>
          <w:rFonts w:ascii="Arial" w:hAnsi="Arial"/>
          <w:b w:val="0"/>
          <w:i w:val="0"/>
          <w:color w:val="111827"/>
          <w:sz w:val="22"/>
        </w:rPr>
        <w:t>, reservando-se as determinações apenas para obrigações legais vinculadas.</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(EFICÁCIA vs. EFETIVIDADE NA BANCA FCC):</w:t>
            </w:r>
          </w:p>
          <w:p>
            <w:pPr>
              <w:spacing w:line="288" w:lineRule="auto" w:before="40" w:after="40"/>
            </w:pPr>
            <w:r>
              <w:rPr>
                <w:rFonts w:ascii="Arial" w:hAnsi="Arial"/>
                <w:b w:val="0"/>
                <w:i w:val="0"/>
                <w:color w:val="111827"/>
                <w:sz w:val="21"/>
              </w:rPr>
              <w:t xml:space="preserve">- Uma campanha pública de vacinação que vacinou 100% das crianças estipuladas na meta física foi </w:t>
            </w:r>
            <w:r>
              <w:rPr>
                <w:rFonts w:ascii="Arial" w:hAnsi="Arial"/>
                <w:b/>
                <w:i w:val="0"/>
                <w:color w:val="111827"/>
                <w:sz w:val="21"/>
              </w:rPr>
              <w:t>EFICAZ</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Se, apesar de vacinadas, a taxa de internações pela doença permaneceu alta devido à perda de refrigeração do lote de vacinas, o programa </w:t>
            </w:r>
            <w:r>
              <w:rPr>
                <w:rFonts w:ascii="Arial" w:hAnsi="Arial"/>
                <w:b/>
                <w:i w:val="0"/>
                <w:color w:val="111827"/>
                <w:sz w:val="21"/>
              </w:rPr>
              <w:t>NÃO FOI EFETIVO</w:t>
            </w:r>
            <w:r>
              <w:rPr>
                <w:rFonts w:ascii="Arial" w:hAnsi="Arial"/>
                <w:b w:val="0"/>
                <w:i w:val="0"/>
                <w:color w:val="111827"/>
                <w:sz w:val="21"/>
              </w:rPr>
              <w:t>!</w:t>
            </w:r>
          </w:p>
          <w:p>
            <w:pPr>
              <w:spacing w:line="288" w:lineRule="auto" w:before="40" w:after="40"/>
            </w:pPr>
            <w:r>
              <w:rPr>
                <w:rFonts w:ascii="Arial" w:hAnsi="Arial"/>
                <w:b w:val="0"/>
                <w:i w:val="0"/>
                <w:color w:val="111827"/>
                <w:sz w:val="21"/>
              </w:rPr>
              <w:t>- A eficácia afere a entrega física da meta; a efetividade afere a alteração concreta da realidade socioeconômica.</w:t>
            </w:r>
          </w:p>
        </w:tc>
      </w:tr>
    </w:tbl>
    <w:p>
      <w:pPr>
        <w:spacing w:before="0" w:after="120"/>
      </w:pPr>
    </w:p>
    <w:p>
      <w:pPr>
        <w:keepNext/>
        <w:spacing w:before="120" w:after="40"/>
      </w:pPr>
      <w:r>
        <w:rPr>
          <w:rFonts w:ascii="Arial" w:hAnsi="Arial"/>
          <w:b/>
          <w:i/>
          <w:color w:val="334155"/>
          <w:sz w:val="22"/>
        </w:rPr>
        <w:t>2.3 Auditoria Financeira e os Tipos de Opinião do Auditor (NBASP 200)</w:t>
      </w:r>
    </w:p>
    <w:p>
      <w:pPr>
        <w:spacing w:line="360" w:lineRule="auto" w:before="0" w:after="80"/>
        <w:jc w:val="both"/>
      </w:pPr>
      <w:r>
        <w:rPr>
          <w:rFonts w:ascii="Arial" w:hAnsi="Arial"/>
          <w:b w:val="0"/>
          <w:i w:val="0"/>
          <w:color w:val="111827"/>
          <w:sz w:val="24"/>
        </w:rPr>
        <w:t xml:space="preserve">A auditoria financeira destina-se a emitir uma </w:t>
      </w:r>
      <w:r>
        <w:rPr>
          <w:rFonts w:ascii="Arial" w:hAnsi="Arial"/>
          <w:b/>
          <w:i w:val="0"/>
          <w:color w:val="111827"/>
          <w:sz w:val="24"/>
        </w:rPr>
        <w:t>opinião independente</w:t>
      </w:r>
      <w:r>
        <w:rPr>
          <w:rFonts w:ascii="Arial" w:hAnsi="Arial"/>
          <w:b w:val="0"/>
          <w:i w:val="0"/>
          <w:color w:val="111827"/>
          <w:sz w:val="24"/>
        </w:rPr>
        <w:t xml:space="preserve"> sobre se as demonstrações contábeis e financeiras refletem fidedignamente a posição patrimonial e orçamentária do órgão público.</w:t>
      </w:r>
    </w:p>
    <w:p>
      <w:pPr>
        <w:spacing w:after="120"/>
      </w:pP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Tipo de Opinião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Relevância da Distorção / Incerteza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 Distorção é Generalizada (</w:t>
            </w:r>
            <w:r>
              <w:rPr>
                <w:rFonts w:ascii="Arial" w:hAnsi="Arial"/>
                <w:b/>
                <w:i/>
                <w:color w:val="FFFFFF"/>
                <w:sz w:val="20"/>
              </w:rPr>
              <w:t>Pervasive</w:t>
            </w:r>
            <w:r>
              <w:rPr>
                <w:rFonts w:ascii="Arial" w:hAnsi="Arial"/>
                <w:b/>
                <w:i w:val="0"/>
                <w:color w:val="FFFFFF"/>
                <w:sz w:val="20"/>
              </w:rPr>
              <w:t>)?</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Significado Prático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Opinião Sem Ressalvas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há distorções relevantes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Demonstrações contábeis estão adequadas e fidedignas.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Opinião Com Ressalvas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Relevante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Há distorções específicas relevantes, mas o conjunto das demonstrações ainda é confiável.</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Opinião Adversa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Relevante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As demonstrações contábeis contêm erros tão graves e disseminados que não merecem fé pública.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Abstenção de Opinião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Relevante (Incerteza)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SIM</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auditor não conseguiu obter evidências suficientes por sonegação de dados ou extravio total de registros.</w:t>
            </w:r>
          </w:p>
        </w:tc>
      </w:tr>
    </w:tbl>
    <w:p>
      <w:pPr>
        <w:spacing w:after="120"/>
      </w:pPr>
    </w:p>
    <w:p>
      <w:pPr>
        <w:keepNext/>
        <w:spacing w:before="200" w:after="80"/>
      </w:pPr>
      <w:r>
        <w:rPr>
          <w:rFonts w:ascii="Arial" w:hAnsi="Arial"/>
          <w:b/>
          <w:i w:val="0"/>
          <w:color w:val="2B6CB0"/>
          <w:sz w:val="24"/>
        </w:rPr>
        <w:t>3. Estrutura Normativa NBASP / INTOSAI e as Três Partes da Auditoria</w:t>
      </w:r>
    </w:p>
    <w:p>
      <w:pPr>
        <w:spacing w:line="360" w:lineRule="auto" w:before="0" w:after="80"/>
        <w:jc w:val="both"/>
      </w:pPr>
      <w:r>
        <w:rPr>
          <w:rFonts w:ascii="Arial" w:hAnsi="Arial"/>
          <w:b w:val="0"/>
          <w:i w:val="0"/>
          <w:color w:val="111827"/>
          <w:sz w:val="24"/>
        </w:rPr>
        <w:t>A INTOSAI (</w:t>
      </w:r>
      <w:r>
        <w:rPr>
          <w:rFonts w:ascii="Arial" w:hAnsi="Arial"/>
          <w:b w:val="0"/>
          <w:i/>
          <w:color w:val="111827"/>
          <w:sz w:val="24"/>
        </w:rPr>
        <w:t>International Organization of Supreme Audit Institutions</w:t>
      </w:r>
      <w:r>
        <w:rPr>
          <w:rFonts w:ascii="Arial" w:hAnsi="Arial"/>
          <w:b w:val="0"/>
          <w:i w:val="0"/>
          <w:color w:val="111827"/>
          <w:sz w:val="24"/>
        </w:rPr>
        <w:t>) e o Instituto Rui Barbosa (IRB) estruturam as normas em níveis hierárquicos: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Nível 1:</w:t>
      </w:r>
      <w:r>
        <w:rPr>
          <w:rFonts w:ascii="Arial" w:hAnsi="Arial"/>
          <w:b w:val="0"/>
          <w:i w:val="0"/>
          <w:color w:val="111827"/>
          <w:sz w:val="22"/>
        </w:rPr>
        <w:t xml:space="preserve"> Princípios Fundamentais - </w:t>
      </w:r>
      <w:r>
        <w:rPr>
          <w:rFonts w:ascii="Arial" w:hAnsi="Arial"/>
          <w:b/>
          <w:i w:val="0"/>
          <w:color w:val="111827"/>
          <w:sz w:val="22"/>
        </w:rPr>
        <w:t>Declaração de Lima (ISSAI 1 / NBASP 1)</w:t>
      </w:r>
      <w:r>
        <w:rPr>
          <w:rFonts w:ascii="Arial" w:hAnsi="Arial"/>
          <w:b w:val="0"/>
          <w:i w:val="0"/>
          <w:color w:val="111827"/>
          <w:sz w:val="22"/>
        </w:rPr>
        <w:t>, considerada a Carta Magna da independência das Entidades Fiscalizadoras Superiores.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Nível 2:</w:t>
      </w:r>
      <w:r>
        <w:rPr>
          <w:rFonts w:ascii="Arial" w:hAnsi="Arial"/>
          <w:b w:val="0"/>
          <w:i w:val="0"/>
          <w:color w:val="111827"/>
          <w:sz w:val="22"/>
        </w:rPr>
        <w:t xml:space="preserve"> Pré-requisitos Institucionais para o funcionamento dos Tribunais de Contas (independência, código de ética e controle de qualidade).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Nível 3:</w:t>
      </w:r>
      <w:r>
        <w:rPr>
          <w:rFonts w:ascii="Arial" w:hAnsi="Arial"/>
          <w:b w:val="0"/>
          <w:i w:val="0"/>
          <w:color w:val="111827"/>
          <w:sz w:val="22"/>
        </w:rPr>
        <w:t xml:space="preserve"> Princípios Fundamentais de Auditoria do Setor Público (NBASP 100, 200, 300 e 400).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As Três Partes Envolvidas na Auditoria Pública:</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 xml:space="preserve">O </w:t>
      </w:r>
      <w:r>
        <w:rPr>
          <w:rFonts w:ascii="Arial" w:hAnsi="Arial"/>
          <w:b/>
          <w:i w:val="0"/>
          <w:color w:val="111827"/>
          <w:sz w:val="22"/>
        </w:rPr>
        <w:t>Auditor:</w:t>
      </w:r>
      <w:r>
        <w:rPr>
          <w:rFonts w:ascii="Arial" w:hAnsi="Arial"/>
          <w:b w:val="0"/>
          <w:i w:val="0"/>
          <w:color w:val="111827"/>
          <w:sz w:val="22"/>
        </w:rPr>
        <w:t xml:space="preserve"> Tribunal de Contas e sua equipe técnica de controle externo;</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 xml:space="preserve">A </w:t>
      </w:r>
      <w:r>
        <w:rPr>
          <w:rFonts w:ascii="Arial" w:hAnsi="Arial"/>
          <w:b/>
          <w:i w:val="0"/>
          <w:color w:val="111827"/>
          <w:sz w:val="22"/>
        </w:rPr>
        <w:t>Parte Responsável:</w:t>
      </w:r>
      <w:r>
        <w:rPr>
          <w:rFonts w:ascii="Arial" w:hAnsi="Arial"/>
          <w:b w:val="0"/>
          <w:i w:val="0"/>
          <w:color w:val="111827"/>
          <w:sz w:val="22"/>
        </w:rPr>
        <w:t xml:space="preserve"> O gestor público ou entidade auditada encarregada da gestão dos recursos;</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 xml:space="preserve">Os </w:t>
      </w:r>
      <w:r>
        <w:rPr>
          <w:rFonts w:ascii="Arial" w:hAnsi="Arial"/>
          <w:b/>
          <w:i w:val="0"/>
          <w:color w:val="111827"/>
          <w:sz w:val="22"/>
        </w:rPr>
        <w:t>Usuários Previstos:</w:t>
      </w:r>
      <w:r>
        <w:rPr>
          <w:rFonts w:ascii="Arial" w:hAnsi="Arial"/>
          <w:b w:val="0"/>
          <w:i w:val="0"/>
          <w:color w:val="111827"/>
          <w:sz w:val="22"/>
        </w:rPr>
        <w:t xml:space="preserve"> A sociedade civil (cidadãos) e os órgãos de representação política (Poder Legislativo).</w:t>
      </w:r>
    </w:p>
    <w:p>
      <w:pPr>
        <w:keepNext/>
        <w:spacing w:before="200" w:after="80"/>
      </w:pPr>
      <w:r>
        <w:rPr>
          <w:rFonts w:ascii="Arial" w:hAnsi="Arial"/>
          <w:b/>
          <w:i w:val="0"/>
          <w:color w:val="2B6CB0"/>
          <w:sz w:val="24"/>
        </w:rPr>
        <w:t>4. Postura e Conduta Profissional do Auditor (NBASP 100)</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Ceticismo Profissional:</w:t>
      </w:r>
      <w:r>
        <w:rPr>
          <w:rFonts w:ascii="Arial" w:hAnsi="Arial"/>
          <w:b w:val="0"/>
          <w:i w:val="0"/>
          <w:color w:val="111827"/>
          <w:sz w:val="22"/>
        </w:rPr>
        <w:t xml:space="preserve"> Atitude mental que inclui postura permanente de questionamento, alerta a condições que possam indicar possíveis distorções por erro ou fraude, e avaliação crítica da confiabilidade dos documentos apresentados pelo gestor.</w:t>
      </w:r>
    </w:p>
    <w:p>
      <w:pPr>
        <w:spacing w:line="276" w:lineRule="auto" w:before="20" w:after="40"/>
        <w:ind w:left="425"/>
      </w:pPr>
      <w:r>
        <w:rPr>
          <w:rFonts w:ascii="Arial" w:hAnsi="Arial"/>
          <w:b/>
          <w:color w:val="1B365D"/>
          <w:sz w:val="22"/>
        </w:rPr>
        <w:t xml:space="preserve">2. </w:t>
      </w:r>
      <w:r>
        <w:rPr>
          <w:rFonts w:ascii="Arial" w:hAnsi="Arial"/>
          <w:b/>
          <w:i w:val="0"/>
          <w:color w:val="111827"/>
          <w:sz w:val="22"/>
        </w:rPr>
        <w:t>Julgamento Profissional:</w:t>
      </w:r>
      <w:r>
        <w:rPr>
          <w:rFonts w:ascii="Arial" w:hAnsi="Arial"/>
          <w:b w:val="0"/>
          <w:i w:val="0"/>
          <w:color w:val="111827"/>
          <w:sz w:val="22"/>
        </w:rPr>
        <w:t xml:space="preserve"> Aplicação do conhecimento técnico, treinamento prático e discernimento ético do auditor na interpretação das normas e ponderação das evidências colhidas.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Independência e Imparcialidade:</w:t>
      </w:r>
      <w:r>
        <w:rPr>
          <w:rFonts w:ascii="Arial" w:hAnsi="Arial"/>
          <w:b w:val="0"/>
          <w:i w:val="0"/>
          <w:color w:val="111827"/>
          <w:sz w:val="22"/>
        </w:rPr>
        <w:t xml:space="preserve"> O auditor deve atuar isento de quaisquer pressões políticas, partidárias ou interesses particulares que possam comprometer seu relatório.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Devido Zelo e Sigilo:</w:t>
      </w:r>
      <w:r>
        <w:rPr>
          <w:rFonts w:ascii="Arial" w:hAnsi="Arial"/>
          <w:b w:val="0"/>
          <w:i w:val="0"/>
          <w:color w:val="111827"/>
          <w:sz w:val="22"/>
        </w:rPr>
        <w:t xml:space="preserve"> Obrigação de aplicar as melhores práticas técnicas com cautela e resguardar confidencialidade sobre dados sob sigilo legal.</w:t>
      </w:r>
    </w:p>
    <w:p>
      <w:pPr>
        <w:keepNext/>
        <w:spacing w:before="200" w:after="80"/>
      </w:pPr>
      <w:r>
        <w:rPr>
          <w:rFonts w:ascii="Arial" w:hAnsi="Arial"/>
          <w:b/>
          <w:i w:val="0"/>
          <w:color w:val="2B6CB0"/>
          <w:sz w:val="24"/>
        </w:rPr>
        <w:t>5. Matrizes Metodológicas de Trabalho: Planejamento e Achados</w:t>
      </w:r>
    </w:p>
    <w:p>
      <w:pPr>
        <w:spacing w:line="360" w:lineRule="auto" w:before="0" w:after="80"/>
        <w:jc w:val="both"/>
      </w:pPr>
      <w:r>
        <w:rPr>
          <w:rFonts w:ascii="Arial" w:hAnsi="Arial"/>
          <w:b w:val="0"/>
          <w:i w:val="0"/>
          <w:color w:val="111827"/>
          <w:sz w:val="24"/>
        </w:rPr>
        <w:t>A moderna auditoria governamental dos Tribunais de Contas opera com base em duas matrizes estruturantes: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Matriz de Planejamento:</w:t>
      </w:r>
      <w:r>
        <w:rPr>
          <w:rFonts w:ascii="Arial" w:hAnsi="Arial"/>
          <w:b w:val="0"/>
          <w:i w:val="0"/>
          <w:color w:val="111827"/>
          <w:sz w:val="22"/>
        </w:rPr>
        <w:t xml:space="preserve"> Elaborada na fase preliminar; define as questões de auditoria, as informações requeridas, as fontes de consulta, os procedimentos de coleta/análise e as limitações de escopo.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Matriz de Achados:</w:t>
      </w:r>
      <w:r>
        <w:rPr>
          <w:rFonts w:ascii="Arial" w:hAnsi="Arial"/>
          <w:b w:val="0"/>
          <w:i w:val="0"/>
          <w:color w:val="111827"/>
          <w:sz w:val="22"/>
        </w:rPr>
        <w:t xml:space="preserve"> Elaborada na fase de execução; estrutura a constatação do auditor dividida em:</w:t>
      </w:r>
    </w:p>
    <w:p>
      <w:pPr>
        <w:spacing w:line="276" w:lineRule="auto" w:before="20" w:after="40"/>
        <w:ind w:left="992"/>
      </w:pPr>
      <w:r>
        <w:rPr>
          <w:rFonts w:ascii="Arial" w:hAnsi="Arial"/>
          <w:b/>
          <w:color w:val="2B6CB0"/>
          <w:sz w:val="22"/>
        </w:rPr>
        <w:t xml:space="preserve">• </w:t>
      </w:r>
      <w:r>
        <w:rPr>
          <w:rFonts w:ascii="Arial" w:hAnsi="Arial"/>
          <w:b w:val="0"/>
          <w:i/>
          <w:color w:val="111827"/>
          <w:sz w:val="22"/>
        </w:rPr>
        <w:t>Achado:</w:t>
      </w:r>
      <w:r>
        <w:rPr>
          <w:rFonts w:ascii="Arial" w:hAnsi="Arial"/>
          <w:b w:val="0"/>
          <w:i w:val="0"/>
          <w:color w:val="111827"/>
          <w:sz w:val="22"/>
        </w:rPr>
        <w:t xml:space="preserve"> O fato relevante identificado;</w:t>
      </w:r>
    </w:p>
    <w:p>
      <w:pPr>
        <w:spacing w:line="276" w:lineRule="auto" w:before="20" w:after="40"/>
        <w:ind w:left="992"/>
      </w:pPr>
      <w:r>
        <w:rPr>
          <w:rFonts w:ascii="Arial" w:hAnsi="Arial"/>
          <w:b/>
          <w:color w:val="2B6CB0"/>
          <w:sz w:val="22"/>
        </w:rPr>
        <w:t xml:space="preserve">• </w:t>
      </w:r>
      <w:r>
        <w:rPr>
          <w:rFonts w:ascii="Arial" w:hAnsi="Arial"/>
          <w:b w:val="0"/>
          <w:i/>
          <w:color w:val="111827"/>
          <w:sz w:val="22"/>
        </w:rPr>
        <w:t>Situação Encontrada:</w:t>
      </w:r>
      <w:r>
        <w:rPr>
          <w:rFonts w:ascii="Arial" w:hAnsi="Arial"/>
          <w:b w:val="0"/>
          <w:i w:val="0"/>
          <w:color w:val="111827"/>
          <w:sz w:val="22"/>
        </w:rPr>
        <w:t xml:space="preserve"> O que realmente ocorreu na prática (evidência fática);</w:t>
      </w:r>
    </w:p>
    <w:p>
      <w:pPr>
        <w:spacing w:line="276" w:lineRule="auto" w:before="20" w:after="40"/>
        <w:ind w:left="992"/>
      </w:pPr>
      <w:r>
        <w:rPr>
          <w:rFonts w:ascii="Arial" w:hAnsi="Arial"/>
          <w:b/>
          <w:color w:val="2B6CB0"/>
          <w:sz w:val="22"/>
        </w:rPr>
        <w:t xml:space="preserve">• </w:t>
      </w:r>
      <w:r>
        <w:rPr>
          <w:rFonts w:ascii="Arial" w:hAnsi="Arial"/>
          <w:b w:val="0"/>
          <w:i/>
          <w:color w:val="111827"/>
          <w:sz w:val="22"/>
        </w:rPr>
        <w:t>Critério:</w:t>
      </w:r>
      <w:r>
        <w:rPr>
          <w:rFonts w:ascii="Arial" w:hAnsi="Arial"/>
          <w:b w:val="0"/>
          <w:i w:val="0"/>
          <w:color w:val="111827"/>
          <w:sz w:val="22"/>
        </w:rPr>
        <w:t xml:space="preserve"> O que deveria ter ocorrido (norma legal, índice técnico ou boa prática);</w:t>
      </w:r>
    </w:p>
    <w:p>
      <w:pPr>
        <w:spacing w:line="276" w:lineRule="auto" w:before="20" w:after="40"/>
        <w:ind w:left="992"/>
      </w:pPr>
      <w:r>
        <w:rPr>
          <w:rFonts w:ascii="Arial" w:hAnsi="Arial"/>
          <w:b/>
          <w:color w:val="2B6CB0"/>
          <w:sz w:val="22"/>
        </w:rPr>
        <w:t xml:space="preserve">• </w:t>
      </w:r>
      <w:r>
        <w:rPr>
          <w:rFonts w:ascii="Arial" w:hAnsi="Arial"/>
          <w:b w:val="0"/>
          <w:i/>
          <w:color w:val="111827"/>
          <w:sz w:val="22"/>
        </w:rPr>
        <w:t>Causa:</w:t>
      </w:r>
      <w:r>
        <w:rPr>
          <w:rFonts w:ascii="Arial" w:hAnsi="Arial"/>
          <w:b w:val="0"/>
          <w:i w:val="0"/>
          <w:color w:val="111827"/>
          <w:sz w:val="22"/>
        </w:rPr>
        <w:t xml:space="preserve"> O motivo raiz pelo qual a situação divergiu do critério;</w:t>
      </w:r>
    </w:p>
    <w:p>
      <w:pPr>
        <w:spacing w:line="276" w:lineRule="auto" w:before="20" w:after="40"/>
        <w:ind w:left="992"/>
      </w:pPr>
      <w:r>
        <w:rPr>
          <w:rFonts w:ascii="Arial" w:hAnsi="Arial"/>
          <w:b/>
          <w:color w:val="2B6CB0"/>
          <w:sz w:val="22"/>
        </w:rPr>
        <w:t xml:space="preserve">• </w:t>
      </w:r>
      <w:r>
        <w:rPr>
          <w:rFonts w:ascii="Arial" w:hAnsi="Arial"/>
          <w:b w:val="0"/>
          <w:i/>
          <w:color w:val="111827"/>
          <w:sz w:val="22"/>
        </w:rPr>
        <w:t>Efeito / Impacto:</w:t>
      </w:r>
      <w:r>
        <w:rPr>
          <w:rFonts w:ascii="Arial" w:hAnsi="Arial"/>
          <w:b w:val="0"/>
          <w:i w:val="0"/>
          <w:color w:val="111827"/>
          <w:sz w:val="22"/>
        </w:rPr>
        <w:t xml:space="preserve"> A consequência danosa ou risco gerado para a sociedade e o erário;</w:t>
      </w:r>
    </w:p>
    <w:p>
      <w:pPr>
        <w:spacing w:line="276" w:lineRule="auto" w:before="20" w:after="40"/>
        <w:ind w:left="992"/>
      </w:pPr>
      <w:r>
        <w:rPr>
          <w:rFonts w:ascii="Arial" w:hAnsi="Arial"/>
          <w:b/>
          <w:color w:val="2B6CB0"/>
          <w:sz w:val="22"/>
        </w:rPr>
        <w:t xml:space="preserve">• </w:t>
      </w:r>
      <w:r>
        <w:rPr>
          <w:rFonts w:ascii="Arial" w:hAnsi="Arial"/>
          <w:b w:val="0"/>
          <w:i/>
          <w:color w:val="111827"/>
          <w:sz w:val="22"/>
        </w:rPr>
        <w:t>Proposta de Encaminhamento:</w:t>
      </w:r>
      <w:r>
        <w:rPr>
          <w:rFonts w:ascii="Arial" w:hAnsi="Arial"/>
          <w:b w:val="0"/>
          <w:i w:val="0"/>
          <w:color w:val="111827"/>
          <w:sz w:val="22"/>
        </w:rPr>
        <w:t xml:space="preserve"> Determinação ou recomendação corretiva a ser submetida ao Plenário.</w:t>
      </w:r>
    </w:p>
    <w:p>
      <w:pPr>
        <w:keepNext/>
        <w:spacing w:before="280" w:after="120"/>
      </w:pPr>
      <w:r>
        <w:rPr>
          <w:rFonts w:ascii="Arial" w:hAnsi="Arial"/>
          <w:b/>
          <w:i w:val="0"/>
          <w:color w:val="2C5282"/>
          <w:sz w:val="28"/>
        </w:rPr>
        <w:t>🌐 Fontes Oficiais &amp; Normativas Recomendadas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Instituto Rui Barbosa (IRB) - Normas Brasileiras de Auditoria do Setor Público (NBASP)</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Textos integrais das NBASP 100, 200, 300 e 400 convergentes com o modelo INTOSAI.</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Declaração de Lima sobre Diretrizes para Preceitos de Auditoria (ISSAI 1)</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Documento fundamental da INTOSAI sobre independência e prerrogativas das Entidades de Fiscalização.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Estadual nº 16.168/2007 (Lei Orgânica do TCE-GO)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Definição dos instrumentos de controle externo no âmbito do Estado de Goiás.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Auditoria Operacional do Tribunal de Contas da União (TCU)</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Metodologia de elaboração de matriz de planejamento e matriz de achados.</w:t>
      </w:r>
    </w:p>
    <w:p>
      <w:pPr>
        <w:keepNext/>
        <w:spacing w:before="280" w:after="120"/>
      </w:pPr>
      <w:r>
        <w:rPr>
          <w:rFonts w:ascii="Arial" w:hAnsi="Arial"/>
          <w:b/>
          <w:i w:val="0"/>
          <w:color w:val="2C5282"/>
          <w:sz w:val="28"/>
        </w:rPr>
        <w:t>📝 Questões Comentadas no Padrão FCC (Justificadas de A a E)</w:t>
      </w:r>
    </w:p>
    <w:p>
      <w:pPr>
        <w:keepNext/>
        <w:spacing w:before="200" w:after="80"/>
      </w:pPr>
      <w:r>
        <w:rPr>
          <w:rFonts w:ascii="Arial" w:hAnsi="Arial"/>
          <w:b/>
          <w:i w:val="0"/>
          <w:color w:val="2B6CB0"/>
          <w:sz w:val="24"/>
        </w:rPr>
        <w:t>Questão 1 (FCC - Adaptada / TCE-PI - Auditor de Controle Externo)</w:t>
      </w:r>
    </w:p>
    <w:p>
      <w:pPr>
        <w:spacing w:line="360" w:lineRule="auto" w:before="0" w:after="80"/>
        <w:jc w:val="both"/>
      </w:pPr>
      <w:r>
        <w:rPr>
          <w:rFonts w:ascii="Arial" w:hAnsi="Arial"/>
          <w:b w:val="0"/>
          <w:i w:val="0"/>
          <w:color w:val="111827"/>
          <w:sz w:val="24"/>
        </w:rPr>
        <w:t>De acordo com as Normas Brasileiras de Auditoria do Setor Público (NBASP 100 e 300) e as disposições que regem a fiscalização dos Tribunais de Contas, o instrumento formal destinado especificamente a verificar o cumprimento de deliberações anteriores do Tribunal e os resultados práticos delas decorrentes denomina-se: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Levantamento.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Auditoria de Conformidade.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Inspeção.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Monitoramento.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Acompanhamento.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levantamento serve para mapear processos e conhecer o funcionamento das entidades para planejar fiscalizações futuras.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auditoria de conformidade avalia a legalidade e regularidade dos atos administrativos e contratos em face da lei.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inspeção tem a finalidade de suprir omissões pontuais em processos ou apurar denúncias e representações de natureza urgente.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CORRETA:</w:t>
            </w:r>
            <w:r>
              <w:rPr>
                <w:rFonts w:ascii="Arial" w:hAnsi="Arial"/>
                <w:b w:val="0"/>
                <w:i w:val="0"/>
                <w:color w:val="111827"/>
                <w:sz w:val="21"/>
              </w:rPr>
              <w:t xml:space="preserve"> O </w:t>
            </w:r>
            <w:r>
              <w:rPr>
                <w:rFonts w:ascii="Arial" w:hAnsi="Arial"/>
                <w:b/>
                <w:i w:val="0"/>
                <w:color w:val="111827"/>
                <w:sz w:val="21"/>
              </w:rPr>
              <w:t>Monitoramento</w:t>
            </w:r>
            <w:r>
              <w:rPr>
                <w:rFonts w:ascii="Arial" w:hAnsi="Arial"/>
                <w:b w:val="0"/>
                <w:i w:val="0"/>
                <w:color w:val="111827"/>
                <w:sz w:val="21"/>
              </w:rPr>
              <w:t xml:space="preserve"> é o instrumento regimental e normativo expressamente concebido para aferir o cumprimento das deliberações (determinações e recomendações) exaradas pelo Tribunal de Contas em seus acórdãos e decisões monocráticas.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acompanhamento é a fiscalização exercida de forma contínua e concomitante ao longo de um determinado período (ex.: grandes obras em andamento).</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2 (FCC - Adaptada / TCE-RO - Auditor de Controle Externo)</w:t>
      </w:r>
    </w:p>
    <w:p>
      <w:pPr>
        <w:spacing w:line="360" w:lineRule="auto" w:before="0" w:after="80"/>
        <w:jc w:val="both"/>
      </w:pPr>
      <w:r>
        <w:rPr>
          <w:rFonts w:ascii="Arial" w:hAnsi="Arial"/>
          <w:b w:val="0"/>
          <w:i w:val="0"/>
          <w:color w:val="111827"/>
          <w:sz w:val="24"/>
        </w:rPr>
        <w:t>Em auditoria operacional realizada sobre programa estadual de saneamento básico, a equipe de auditoria do Tribunal de Contas constatou que as obras da rede de esgoto sanitário foram concluídas integralmente dentro do cronograma físico e orçamentário, cobrindo cem por cento da população-alvo prevista no edital. Todavia, a taxa de internações hospitalares infantis por doenças de veiculação hídrica na comunidade beneficiada permaneceu inalterada devido à contaminação prévia dos mananciais de captação de água domiciliar.</w:t>
      </w:r>
    </w:p>
    <w:p>
      <w:pPr>
        <w:spacing w:line="360" w:lineRule="auto" w:before="0" w:after="80"/>
        <w:jc w:val="both"/>
      </w:pPr>
      <w:r>
        <w:rPr>
          <w:rFonts w:ascii="Arial" w:hAnsi="Arial"/>
          <w:b w:val="0"/>
          <w:i w:val="0"/>
          <w:color w:val="111827"/>
          <w:sz w:val="24"/>
        </w:rPr>
        <w:t>Sob a ótica dos princípios da auditoria de desempenho público consagrados na NBASP 300: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programa governamental foi eficiente e eficaz, porém não alcançou a efetividade social esperada.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programa governamental demonstrou elevada efetividade, contudo violou o princípio da eficiência técnica.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Restou violado o princípio da economicidade, configurando crime tipificado contra as finanças públicas estaduais.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programa governamental foi manifestamente ineficaz, na medida em que falhou na entrega física das redes de saneamento.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achado de auditoria configura distorção relevante em auditoria financeira, impondo emissão de parecer com abstenção de opinião.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O programa foi </w:t>
            </w:r>
            <w:r>
              <w:rPr>
                <w:rFonts w:ascii="Arial" w:hAnsi="Arial"/>
                <w:b/>
                <w:i w:val="0"/>
                <w:color w:val="111827"/>
                <w:sz w:val="21"/>
              </w:rPr>
              <w:t>eficiente</w:t>
            </w:r>
            <w:r>
              <w:rPr>
                <w:rFonts w:ascii="Arial" w:hAnsi="Arial"/>
                <w:b w:val="0"/>
                <w:i w:val="0"/>
                <w:color w:val="111827"/>
                <w:sz w:val="21"/>
              </w:rPr>
              <w:t xml:space="preserve"> (entregou a infraestrutura otimizando insumos e respeitando os custos e prazos orçados) e </w:t>
            </w:r>
            <w:r>
              <w:rPr>
                <w:rFonts w:ascii="Arial" w:hAnsi="Arial"/>
                <w:b/>
                <w:i w:val="0"/>
                <w:color w:val="111827"/>
                <w:sz w:val="21"/>
              </w:rPr>
              <w:t>eficaz</w:t>
            </w:r>
            <w:r>
              <w:rPr>
                <w:rFonts w:ascii="Arial" w:hAnsi="Arial"/>
                <w:b w:val="0"/>
                <w:i w:val="0"/>
                <w:color w:val="111827"/>
                <w:sz w:val="21"/>
              </w:rPr>
              <w:t xml:space="preserve"> (atingiu 100% da meta física estipulada no planejamento), porém </w:t>
            </w:r>
            <w:r>
              <w:rPr>
                <w:rFonts w:ascii="Arial" w:hAnsi="Arial"/>
                <w:b/>
                <w:i w:val="0"/>
                <w:color w:val="111827"/>
                <w:sz w:val="21"/>
              </w:rPr>
              <w:t>não foi efetivo</w:t>
            </w:r>
            <w:r>
              <w:rPr>
                <w:rFonts w:ascii="Arial" w:hAnsi="Arial"/>
                <w:b w:val="0"/>
                <w:i w:val="0"/>
                <w:color w:val="111827"/>
                <w:sz w:val="21"/>
              </w:rPr>
              <w:t>, pois o impacto final transformador na saúde pública (redução das internações por doenças hídricas) não se concretizou.</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efetividade social foi expressamente frustrada e a eficiência foi plenamente alcançada na execução da obra.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custo respeitou o orçamento previsto, não havendo demonstração de sobrepreço, antieconomicidade ou crime fiscal.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programa foi eficaz no cumprimento de sua meta física direta (conclusão de 100% da rede de esgoto prevista).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Trata-se de exame de desempenho de política pública em sede de auditoria operacional, e não de análise contábil de auditoria financeira.</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3 (FCC - Adaptada / Analista de Controle Externo - Auditoria)</w:t>
      </w:r>
    </w:p>
    <w:p>
      <w:pPr>
        <w:spacing w:line="360" w:lineRule="auto" w:before="0" w:after="80"/>
        <w:jc w:val="both"/>
      </w:pPr>
      <w:r>
        <w:rPr>
          <w:rFonts w:ascii="Arial" w:hAnsi="Arial"/>
          <w:b w:val="0"/>
          <w:i w:val="0"/>
          <w:color w:val="111827"/>
          <w:sz w:val="24"/>
        </w:rPr>
        <w:t>Durante os trabalhos de campo de uma auditoria financeira realizada pelo Tribunal de Contas no balanço geral consolidado de uma grande autarquia estadual, os auditores detectaram que os registros patrimoniais e os estoques de medicamentos continham erros contábeis materiais gravíssimos e omissões generalizadas em praticamente todas as contas do ativo circulante e não circulante. Constatou-se que as demonstrações não representavam a posição financeira real da entidade.</w:t>
      </w:r>
    </w:p>
    <w:p>
      <w:pPr>
        <w:spacing w:line="360" w:lineRule="auto" w:before="0" w:after="80"/>
        <w:jc w:val="both"/>
      </w:pPr>
      <w:r>
        <w:rPr>
          <w:rFonts w:ascii="Arial" w:hAnsi="Arial"/>
          <w:b w:val="0"/>
          <w:i w:val="0"/>
          <w:color w:val="111827"/>
          <w:sz w:val="24"/>
        </w:rPr>
        <w:t>De acordo com as normas da NBASP 200 (Auditoria Financeira), a equipe de auditoria deve propor a emissão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Opinião Sem Ressalvas (Não Modificada).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Opinião Com Ressalvas.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Opinião Adversa.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Abstenção de Opinião.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Recomendações operacionais, arquivando-se o processo por falta de interesse de agir.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opinião sem ressalvas é emitida quando as demonstrações estão adequadas e livres de distorções relevantes.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opinião com ressalvas aplica-se quando as distorções são relevantes, porém </w:t>
            </w:r>
            <w:r>
              <w:rPr>
                <w:rFonts w:ascii="Arial" w:hAnsi="Arial"/>
                <w:b/>
                <w:i w:val="0"/>
                <w:color w:val="111827"/>
                <w:sz w:val="21"/>
              </w:rPr>
              <w:t>não generalizadas</w:t>
            </w:r>
            <w:r>
              <w:rPr>
                <w:rFonts w:ascii="Arial" w:hAnsi="Arial"/>
                <w:b w:val="0"/>
                <w:i w:val="0"/>
                <w:color w:val="111827"/>
                <w:sz w:val="21"/>
              </w:rPr>
              <w:t xml:space="preserve"> (isto é, limitadas a itens contábeis isolados).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Conforme a NBASP 200, quando o auditor obtém evidência apropriada e suficiente e conclui que as distorções são </w:t>
            </w:r>
            <w:r>
              <w:rPr>
                <w:rFonts w:ascii="Arial" w:hAnsi="Arial"/>
                <w:b/>
                <w:i w:val="0"/>
                <w:color w:val="111827"/>
                <w:sz w:val="21"/>
              </w:rPr>
              <w:t>relevantes e generalizadas</w:t>
            </w:r>
            <w:r>
              <w:rPr>
                <w:rFonts w:ascii="Arial" w:hAnsi="Arial"/>
                <w:b w:val="0"/>
                <w:i w:val="0"/>
                <w:color w:val="111827"/>
                <w:sz w:val="21"/>
              </w:rPr>
              <w:t xml:space="preserve"> (</w:t>
            </w:r>
            <w:r>
              <w:rPr>
                <w:rFonts w:ascii="Arial" w:hAnsi="Arial"/>
                <w:b w:val="0"/>
                <w:i/>
                <w:color w:val="111827"/>
                <w:sz w:val="21"/>
              </w:rPr>
              <w:t>pervasive</w:t>
            </w:r>
            <w:r>
              <w:rPr>
                <w:rFonts w:ascii="Arial" w:hAnsi="Arial"/>
                <w:b w:val="0"/>
                <w:i w:val="0"/>
                <w:color w:val="111827"/>
                <w:sz w:val="21"/>
              </w:rPr>
              <w:t xml:space="preserve">) para as demonstrações contábeis como um todo, deve expressar uma </w:t>
            </w:r>
            <w:r>
              <w:rPr>
                <w:rFonts w:ascii="Arial" w:hAnsi="Arial"/>
                <w:b/>
                <w:i w:val="0"/>
                <w:color w:val="111827"/>
                <w:sz w:val="21"/>
              </w:rPr>
              <w:t>Opinião Adversa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abstenção de opinião decorre da impossibilidade de obter evidências suficientes (limitação grave de escopo), enquanto no enunciado os auditores obtiveram evidências e constataram os erros disseminados.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Em auditoria financeira, o dever formal do auditor é emitir opinião técnica sobre as contas públicas.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Adaptada / Técnico de Controle Externo)</w:t>
      </w:r>
    </w:p>
    <w:p>
      <w:pPr>
        <w:spacing w:line="360" w:lineRule="auto" w:before="0" w:after="80"/>
        <w:jc w:val="both"/>
      </w:pPr>
      <w:r>
        <w:rPr>
          <w:rFonts w:ascii="Arial" w:hAnsi="Arial"/>
          <w:b w:val="0"/>
          <w:i w:val="0"/>
          <w:color w:val="111827"/>
          <w:sz w:val="24"/>
        </w:rPr>
        <w:t>Ao desempenhar suas atividades de fiscalização in loco em órgão público jurisdicionado, o auditor de controle externo mantém atitude constante de questionamento sobre a autenticidade e validade das evidências fornecidas pelos servidores locais, mantendo-se alerta para situações que possam indicar fraude ou erro deliberado na emissão de certidões.</w:t>
      </w:r>
    </w:p>
    <w:p>
      <w:pPr>
        <w:spacing w:line="360" w:lineRule="auto" w:before="0" w:after="80"/>
        <w:jc w:val="both"/>
      </w:pPr>
      <w:r>
        <w:rPr>
          <w:rFonts w:ascii="Arial" w:hAnsi="Arial"/>
          <w:b w:val="0"/>
          <w:i w:val="0"/>
          <w:color w:val="111827"/>
          <w:sz w:val="24"/>
        </w:rPr>
        <w:t>Essa postura profissional exigida pelas normas NBASP 100 denomina-se: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Julgamento Discricionário.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Ceticismo Profissional.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Imparcialidade Política.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Desconfiança Presuntiva Vinculada.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Reserva Mental Processual.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julgamento profissional é a aplicação do saber técnico, não se confundindo com o conceito de mente questionadora.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Conforme a NBASP 100, o </w:t>
            </w:r>
            <w:r>
              <w:rPr>
                <w:rFonts w:ascii="Arial" w:hAnsi="Arial"/>
                <w:b/>
                <w:i w:val="0"/>
                <w:color w:val="111827"/>
                <w:sz w:val="21"/>
              </w:rPr>
              <w:t>Ceticismo Profissional</w:t>
            </w:r>
            <w:r>
              <w:rPr>
                <w:rFonts w:ascii="Arial" w:hAnsi="Arial"/>
                <w:b w:val="0"/>
                <w:i w:val="0"/>
                <w:color w:val="111827"/>
                <w:sz w:val="21"/>
              </w:rPr>
              <w:t xml:space="preserve"> é a postura que inclui uma mente questionadora, o permanente estado de alerta para circunstâncias indicativas de fraude ou erro e a avaliação crítica de todas as evidências obtidas ao longo da auditoria.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Imparcialidade política refere-se à independência e neutralidade partidária do servidor.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ceticismo profissional não se confunde com "desconfiança presuntiva", que é termo inexistente nas normas técnicas.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Conceito estranho à auditoria governamental.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Adaptada / Analista de Gestão Pública)</w:t>
      </w:r>
    </w:p>
    <w:p>
      <w:pPr>
        <w:spacing w:line="360" w:lineRule="auto" w:before="0" w:after="80"/>
        <w:jc w:val="both"/>
      </w:pPr>
      <w:r>
        <w:rPr>
          <w:rFonts w:ascii="Arial" w:hAnsi="Arial"/>
          <w:b w:val="0"/>
          <w:i w:val="0"/>
          <w:color w:val="111827"/>
          <w:sz w:val="24"/>
        </w:rPr>
        <w:t>Na metodologia de auditoria governamental aplicada pelos Tribunais de Contas, a ferramenta estruturada que consolida as conclusões do auditor mediante a descrição do fato relevante apurado, o confronto entre a situação encontrada e o critério normativo, a identificação da causa, o apontamento dos efeitos gerados e a formulação da proposta de encaminhamento é denominada: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Matriz de Riscos Pré-Contratual.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Matriz de Planejamento de Amostragem.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Matriz de Achados.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Termo Circunstanciado de Ocorrência.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Nota de Empenho Ordinário.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matriz de riscos é instrumento contratual da Lei 14.133/2021 para alocação de encargos entre as partes.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matriz de planejamento é elaborada antes da execução e contém questões de auditoria e métodos de coleta.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A </w:t>
            </w:r>
            <w:r>
              <w:rPr>
                <w:rFonts w:ascii="Arial" w:hAnsi="Arial"/>
                <w:b/>
                <w:i w:val="0"/>
                <w:color w:val="111827"/>
                <w:sz w:val="21"/>
              </w:rPr>
              <w:t>Matriz de Achados</w:t>
            </w:r>
            <w:r>
              <w:rPr>
                <w:rFonts w:ascii="Arial" w:hAnsi="Arial"/>
                <w:b w:val="0"/>
                <w:i w:val="0"/>
                <w:color w:val="111827"/>
                <w:sz w:val="21"/>
              </w:rPr>
              <w:t xml:space="preserve"> é a ferramenta consagrada que estrutura cada achado de auditoria a partir de seus elementos essenciais: situação encontrada, critério legal/técnico, causa primária, efeitos/consequências e a respectiva proposta de deliberação ao colegiado.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TCO é instrumento do direito processual penal (Lei 9.099/1995).</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nota de empenho é o estágio inicial da despesa orçamentária (Lei 4.320/1964).</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03 - Planejamento, Amostragem, Técnicas de Auditoria e Matriz de Achados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Controle Externo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03_planejamento_amostragem_procedimentos_e_achados.md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Planejamento da auditoria de controle externo: delimitação do escopo, visão geral do objeto e questões de auditoria;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Critérios de seleção e priorização da fiscalização: Materialidade, Relevância e Criticidade (Critérios MRC);</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Modelo de Avaliação de Risco de Auditoria e seus componentes: Risco Inerente, Risco de Controle e Risco de Detecção;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Amostragem em auditoria governamental: amostragem probabilística (estatística) e não probabilística (por julgamento); métodos de amostragem e risco de amostragem (Risco Alfa e Risco Beta);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Programas de auditoria e papéis de trabalho (documentação de auditoria): finalidades, requisitos de clareza e completude, confidencialidade, arquivos correntes e permanentes;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Técnicas e procedimentos de auditoria governamental: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Exame documental, inspeção física, conferência de cálculos (recálculo), observação direta, entrevistas técnicas;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Circularização (confirmação externa: modalidades positiva em branco, positiva em preto e negativa);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Conciliação contábil e bancária;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Procedimentos analíticos / Revisão analítica (estudo de relações plausíveis, flutuações e índices);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Evidências de auditoria: atributos essenciais de validade (suficiência, adequação/pertinência e confiabilidade);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Estruturação anatômica dos achados de auditoria: Critério, Condição, Causa e Efeito;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Matriz de Achados e Matriz de Responsabilização (conduta, nexo de causalidade e culpabilidade à luz do Art. 28 da LINDB).</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1B365D"/>
          <w:sz w:val="22"/>
        </w:rPr>
        <w:t xml:space="preserve">1. </w:t>
      </w:r>
      <w:r>
        <w:rPr>
          <w:rFonts w:ascii="Arial" w:hAnsi="Arial"/>
          <w:color w:val="2B6CB0"/>
          <w:sz w:val="22"/>
          <w:u w:val="single"/>
        </w:rPr>
        <w:t>Planejamento da Fiscalização e Avaliação de Risco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1.1 </w:t>
      </w:r>
      <w:r>
        <w:rPr>
          <w:rFonts w:ascii="Arial" w:hAnsi="Arial"/>
          <w:color w:val="2B6CB0"/>
          <w:sz w:val="22"/>
          <w:u w:val="single"/>
        </w:rPr>
        <w:t>Critérios de Seleção de Objetos de Controle (Critérios MRC)</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1.2 </w:t>
      </w:r>
      <w:r>
        <w:rPr>
          <w:rFonts w:ascii="Arial" w:hAnsi="Arial"/>
          <w:color w:val="2B6CB0"/>
          <w:sz w:val="22"/>
          <w:u w:val="single"/>
        </w:rPr>
        <w:t>O Modelo do Risco de Auditoria (Auditoria Risk - AR)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1.3 </w:t>
      </w:r>
      <w:r>
        <w:rPr>
          <w:rFonts w:ascii="Arial" w:hAnsi="Arial"/>
          <w:color w:val="2B6CB0"/>
          <w:sz w:val="22"/>
          <w:u w:val="single"/>
        </w:rPr>
        <w:t>Amostragem em Auditoria Governamental e Riscos Amostrais</w:t>
      </w:r>
    </w:p>
    <w:p>
      <w:pPr>
        <w:spacing w:line="276" w:lineRule="auto" w:before="20" w:after="40"/>
        <w:ind w:left="425"/>
      </w:pPr>
      <w:r>
        <w:rPr>
          <w:rFonts w:ascii="Arial" w:hAnsi="Arial"/>
          <w:b/>
          <w:color w:val="1B365D"/>
          <w:sz w:val="22"/>
        </w:rPr>
        <w:t xml:space="preserve">2. </w:t>
      </w:r>
      <w:r>
        <w:rPr>
          <w:rFonts w:ascii="Arial" w:hAnsi="Arial"/>
          <w:color w:val="2B6CB0"/>
          <w:sz w:val="22"/>
          <w:u w:val="single"/>
        </w:rPr>
        <w:t>Programas de Auditoria e Documentação (Papéis de Trabalho)</w:t>
      </w:r>
    </w:p>
    <w:p>
      <w:pPr>
        <w:spacing w:line="276" w:lineRule="auto" w:before="20" w:after="40"/>
        <w:ind w:left="425"/>
      </w:pPr>
      <w:r>
        <w:rPr>
          <w:rFonts w:ascii="Arial" w:hAnsi="Arial"/>
          <w:b/>
          <w:color w:val="1B365D"/>
          <w:sz w:val="22"/>
        </w:rPr>
        <w:t xml:space="preserve">3. </w:t>
      </w:r>
      <w:r>
        <w:rPr>
          <w:rFonts w:ascii="Arial" w:hAnsi="Arial"/>
          <w:color w:val="2B6CB0"/>
          <w:sz w:val="22"/>
          <w:u w:val="single"/>
        </w:rPr>
        <w:t>Técnicas e Procedimentos de Auditoria Governamental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3.1 </w:t>
      </w:r>
      <w:r>
        <w:rPr>
          <w:rFonts w:ascii="Arial" w:hAnsi="Arial"/>
          <w:color w:val="2B6CB0"/>
          <w:sz w:val="22"/>
          <w:u w:val="single"/>
        </w:rPr>
        <w:t>Quadro Geral dos Procedimentos de Obtenção de Evidências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3.2 </w:t>
      </w:r>
      <w:r>
        <w:rPr>
          <w:rFonts w:ascii="Arial" w:hAnsi="Arial"/>
          <w:color w:val="2B6CB0"/>
          <w:sz w:val="22"/>
          <w:u w:val="single"/>
        </w:rPr>
        <w:t>Modalidades de Circularização (Confirmação Externa)</w:t>
      </w:r>
    </w:p>
    <w:p>
      <w:pPr>
        <w:spacing w:line="276" w:lineRule="auto" w:before="20" w:after="40"/>
        <w:ind w:left="425"/>
      </w:pPr>
      <w:r>
        <w:rPr>
          <w:rFonts w:ascii="Arial" w:hAnsi="Arial"/>
          <w:b/>
          <w:color w:val="1B365D"/>
          <w:sz w:val="22"/>
        </w:rPr>
        <w:t xml:space="preserve">4. </w:t>
      </w:r>
      <w:r>
        <w:rPr>
          <w:rFonts w:ascii="Arial" w:hAnsi="Arial"/>
          <w:color w:val="2B6CB0"/>
          <w:sz w:val="22"/>
          <w:u w:val="single"/>
        </w:rPr>
        <w:t>Evidências de Auditoria: Os Três Pilares da Validade</w:t>
      </w:r>
    </w:p>
    <w:p>
      <w:pPr>
        <w:spacing w:line="276" w:lineRule="auto" w:before="20" w:after="40"/>
        <w:ind w:left="425"/>
      </w:pPr>
      <w:r>
        <w:rPr>
          <w:rFonts w:ascii="Arial" w:hAnsi="Arial"/>
          <w:b/>
          <w:color w:val="1B365D"/>
          <w:sz w:val="22"/>
        </w:rPr>
        <w:t xml:space="preserve">5. </w:t>
      </w:r>
      <w:r>
        <w:rPr>
          <w:rFonts w:ascii="Arial" w:hAnsi="Arial"/>
          <w:color w:val="2B6CB0"/>
          <w:sz w:val="22"/>
          <w:u w:val="single"/>
        </w:rPr>
        <w:t>A Estrutura Anatômica do Achado de Auditoria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5.1 </w:t>
      </w:r>
      <w:r>
        <w:rPr>
          <w:rFonts w:ascii="Arial" w:hAnsi="Arial"/>
          <w:color w:val="2B6CB0"/>
          <w:sz w:val="22"/>
          <w:u w:val="single"/>
        </w:rPr>
        <w:t>Os Quatro Elementos do Achado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5.2 </w:t>
      </w:r>
      <w:r>
        <w:rPr>
          <w:rFonts w:ascii="Arial" w:hAnsi="Arial"/>
          <w:color w:val="2B6CB0"/>
          <w:sz w:val="22"/>
          <w:u w:val="single"/>
        </w:rPr>
        <w:t>Matriz de Responsabilização e a LINDB (Art. 28)</w:t>
      </w:r>
    </w:p>
    <w:p>
      <w:pPr>
        <w:spacing w:line="276" w:lineRule="auto" w:before="20" w:after="40"/>
        <w:ind w:left="425"/>
      </w:pPr>
      <w:r>
        <w:rPr>
          <w:rFonts w:ascii="Arial" w:hAnsi="Arial"/>
          <w:b/>
          <w:color w:val="1B365D"/>
          <w:sz w:val="22"/>
        </w:rPr>
        <w:t xml:space="preserve">6. </w:t>
      </w:r>
      <w:r>
        <w:rPr>
          <w:rFonts w:ascii="Arial" w:hAnsi="Arial"/>
          <w:color w:val="2B6CB0"/>
          <w:sz w:val="22"/>
          <w:u w:val="single"/>
        </w:rPr>
        <w:t>Fontes Oficiais &amp; Manuais Técnicos Recomendados</w:t>
      </w:r>
    </w:p>
    <w:p>
      <w:pPr>
        <w:spacing w:line="276" w:lineRule="auto" w:before="20" w:after="40"/>
        <w:ind w:left="425"/>
      </w:pPr>
      <w:r>
        <w:rPr>
          <w:rFonts w:ascii="Arial" w:hAnsi="Arial"/>
          <w:b/>
          <w:color w:val="1B365D"/>
          <w:sz w:val="22"/>
        </w:rPr>
        <w:t xml:space="preserve">7. </w:t>
      </w:r>
      <w:r>
        <w:rPr>
          <w:rFonts w:ascii="Arial" w:hAnsi="Arial"/>
          <w:color w:val="2B6CB0"/>
          <w:sz w:val="22"/>
          <w:u w:val="single"/>
        </w:rPr>
        <w:t>Questões Comentadas no Padrão FCC (Justificadas de A a E)</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Planejamento da Fiscalização e Avaliação de Risco</w:t>
      </w:r>
    </w:p>
    <w:p>
      <w:pPr>
        <w:spacing w:line="360" w:lineRule="auto" w:before="0" w:after="80"/>
        <w:jc w:val="both"/>
      </w:pPr>
      <w:r>
        <w:rPr>
          <w:rFonts w:ascii="Arial" w:hAnsi="Arial"/>
          <w:b w:val="0"/>
          <w:i w:val="0"/>
          <w:color w:val="111827"/>
          <w:sz w:val="24"/>
        </w:rPr>
        <w:t>O Tribunal de Contas atua pautado pelo planejamento estratégico e pela alocação racional e eficiente de seus auditores e recursos técnicos.</w:t>
      </w:r>
    </w:p>
    <w:p>
      <w:pPr>
        <w:keepNext/>
        <w:spacing w:before="120" w:after="40"/>
      </w:pPr>
      <w:r>
        <w:rPr>
          <w:rFonts w:ascii="Arial" w:hAnsi="Arial"/>
          <w:b/>
          <w:i/>
          <w:color w:val="334155"/>
          <w:sz w:val="22"/>
        </w:rPr>
        <w:t>1.1 Critérios de Seleção de Objetos de Controle (Critérios MRC)</w:t>
      </w:r>
    </w:p>
    <w:p>
      <w:pPr>
        <w:spacing w:line="360" w:lineRule="auto" w:before="0" w:after="80"/>
        <w:jc w:val="both"/>
      </w:pPr>
      <w:r>
        <w:rPr>
          <w:rFonts w:ascii="Arial" w:hAnsi="Arial"/>
          <w:b w:val="0"/>
          <w:i w:val="0"/>
          <w:color w:val="111827"/>
          <w:sz w:val="24"/>
        </w:rPr>
        <w:t xml:space="preserve">Os objetos de controle a serem incluídos no Plano Anual de Fiscalização são priorizados com base nos consagrados critérios </w:t>
      </w:r>
      <w:r>
        <w:rPr>
          <w:rFonts w:ascii="Arial" w:hAnsi="Arial"/>
          <w:b/>
          <w:i w:val="0"/>
          <w:color w:val="111827"/>
          <w:sz w:val="24"/>
        </w:rPr>
        <w:t>MRC</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Materialidade:</w:t>
      </w:r>
      <w:r>
        <w:rPr>
          <w:rFonts w:ascii="Arial" w:hAnsi="Arial"/>
          <w:b w:val="0"/>
          <w:i w:val="0"/>
          <w:color w:val="111827"/>
          <w:sz w:val="22"/>
        </w:rPr>
        <w:t xml:space="preserve"> Representatividade monetária dos recursos geridos pelo órgão (volume financeiro, orçamentário e patrimonial envolvido).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Relevância:</w:t>
      </w:r>
      <w:r>
        <w:rPr>
          <w:rFonts w:ascii="Arial" w:hAnsi="Arial"/>
          <w:b w:val="0"/>
          <w:i w:val="0"/>
          <w:color w:val="111827"/>
          <w:sz w:val="22"/>
        </w:rPr>
        <w:t xml:space="preserve"> Importância socioeconômica, ambiental ou político-estratégica das ações governamentais auditadas para a sociedade.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Criticidade:</w:t>
      </w:r>
      <w:r>
        <w:rPr>
          <w:rFonts w:ascii="Arial" w:hAnsi="Arial"/>
          <w:b w:val="0"/>
          <w:i w:val="0"/>
          <w:color w:val="111827"/>
          <w:sz w:val="22"/>
        </w:rPr>
        <w:t xml:space="preserve"> Nível de vulnerabilidade do ambiente institucional, complexidade técnica, histórico de fraudes e irregularidades, ou fragilidade evidente dos controles internos.</w:t>
      </w:r>
    </w:p>
    <w:p>
      <w:pPr>
        <w:spacing w:after="120"/>
      </w:pPr>
    </w:p>
    <w:p>
      <w:pPr>
        <w:keepNext/>
        <w:spacing w:before="120" w:after="40"/>
      </w:pPr>
      <w:r>
        <w:rPr>
          <w:rFonts w:ascii="Arial" w:hAnsi="Arial"/>
          <w:b/>
          <w:i/>
          <w:color w:val="334155"/>
          <w:sz w:val="22"/>
        </w:rPr>
        <w:t>1.2 O Modelo do Risco de Auditoria (Auditoria Risk - AR)</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Risco de Auditoria (RA)</w:t>
      </w:r>
      <w:r>
        <w:rPr>
          <w:rFonts w:ascii="Arial" w:hAnsi="Arial"/>
          <w:b w:val="0"/>
          <w:i w:val="0"/>
          <w:color w:val="111827"/>
          <w:sz w:val="24"/>
        </w:rPr>
        <w:t xml:space="preserve"> é o risco de o auditor expressar uma conclusão inadequada quando as informações objeto de fiscalização contiverem distorções relevantes.</w:t>
      </w:r>
    </w:p>
    <w:p>
      <w:pPr>
        <w:spacing w:line="360" w:lineRule="auto" w:before="0" w:after="80"/>
        <w:jc w:val="both"/>
      </w:pPr>
      <w:r>
        <w:rPr>
          <w:rFonts w:ascii="Arial" w:hAnsi="Arial"/>
          <w:b w:val="0"/>
          <w:i w:val="0"/>
          <w:color w:val="111827"/>
          <w:sz w:val="24"/>
        </w:rPr>
        <w:t>O modelo decompõe-se na seguinte relação:</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\text{Risco de Auditoria} = \text{Risco Inerente (RI)} \times \text{Risco de Controle (RC)} \times \text{Risco de Detecção (RD)}</w:t>
      </w:r>
      <w:r>
        <w:rPr>
          <w:rFonts w:ascii="Arial" w:hAnsi="Arial"/>
          <w:b w:val="0"/>
          <w:i w:val="0"/>
          <w:color w:val="111827"/>
          <w:sz w:val="24"/>
        </w:rPr>
        <w:t>$</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 O auditor </w:t>
            </w:r>
            <w:r>
              <w:rPr>
                <w:rFonts w:ascii="Arial" w:hAnsi="Arial"/>
                <w:b/>
                <w:i w:val="0"/>
                <w:color w:val="111827"/>
                <w:sz w:val="21"/>
              </w:rPr>
              <w:t>NÃO altera nem controla o Risco Inerente (RI) nem o Risco de Controle (RC)</w:t>
            </w:r>
            <w:r>
              <w:rPr>
                <w:rFonts w:ascii="Arial" w:hAnsi="Arial"/>
                <w:b w:val="0"/>
                <w:i w:val="0"/>
                <w:color w:val="111827"/>
                <w:sz w:val="21"/>
              </w:rPr>
              <w:t>, pois estes pertencem exclusivamente à estrutura do órgão auditado e à eficiência de sua administração.</w:t>
            </w:r>
          </w:p>
          <w:p>
            <w:pPr>
              <w:spacing w:line="288" w:lineRule="auto" w:before="40" w:after="40"/>
            </w:pPr>
            <w:r>
              <w:rPr>
                <w:rFonts w:ascii="Arial" w:hAnsi="Arial"/>
                <w:b w:val="0"/>
                <w:i w:val="0"/>
                <w:color w:val="111827"/>
                <w:sz w:val="21"/>
              </w:rPr>
              <w:t xml:space="preserve">- O único risco que o auditor pode e deve controlar diretamente é o </w:t>
            </w:r>
            <w:r>
              <w:rPr>
                <w:rFonts w:ascii="Arial" w:hAnsi="Arial"/>
                <w:b/>
                <w:i w:val="0"/>
                <w:color w:val="111827"/>
                <w:sz w:val="21"/>
              </w:rPr>
              <w:t>Risco de Detecção (RD)</w:t>
            </w:r>
            <w:r>
              <w:rPr>
                <w:rFonts w:ascii="Arial" w:hAnsi="Arial"/>
                <w:b w:val="0"/>
                <w:i w:val="0"/>
                <w:color w:val="111827"/>
                <w:sz w:val="21"/>
              </w:rPr>
              <w:t>! Se o auditor identifica que o ambiente auditado tem alto risco inerente e péssimo controle interno (alto RDR), ele deve planejar testes mais rigorosos, com amostras maiores e procedimentos aprofundados, diminuindo o seu risco de detecção para manter o risco de auditoria global em nível aceitável.</w:t>
            </w:r>
          </w:p>
        </w:tc>
      </w:tr>
    </w:tbl>
    <w:p>
      <w:pPr>
        <w:spacing w:before="0" w:after="120"/>
      </w:pPr>
    </w:p>
    <w:p>
      <w:pPr>
        <w:keepNext/>
        <w:spacing w:before="120" w:after="40"/>
      </w:pPr>
      <w:r>
        <w:rPr>
          <w:rFonts w:ascii="Arial" w:hAnsi="Arial"/>
          <w:b/>
          <w:i/>
          <w:color w:val="334155"/>
          <w:sz w:val="22"/>
        </w:rPr>
        <w:t>1.3 Amostragem em Auditoria Governamental e Riscos Amostrais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Amostragem Estatística (Probabilística):</w:t>
      </w:r>
      <w:r>
        <w:rPr>
          <w:rFonts w:ascii="Arial" w:hAnsi="Arial"/>
          <w:b w:val="0"/>
          <w:i w:val="0"/>
          <w:color w:val="111827"/>
          <w:sz w:val="22"/>
        </w:rPr>
        <w:t xml:space="preserve"> Seleção aleatória de itens na qual cada item da população possui chance conhecida e diferente de zero de ser selecionado. Permite a avaliação quantitativa do risco de amostragem mediante intervalos de confiança matemáticos.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Tipos:</w:t>
      </w:r>
      <w:r>
        <w:rPr>
          <w:rFonts w:ascii="Arial" w:hAnsi="Arial"/>
          <w:b w:val="0"/>
          <w:i w:val="0"/>
          <w:color w:val="111827"/>
          <w:sz w:val="22"/>
        </w:rPr>
        <w:t xml:space="preserve"> Aleatória simples, sistemática (intervalo regular de seleção), estratificada (subdivisão da população em estratos homogêneos) e por unidade monetária (foco em valores financeiros mais expressivos).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Amostragem Não Estatística (Não Probabilística):</w:t>
      </w:r>
      <w:r>
        <w:rPr>
          <w:rFonts w:ascii="Arial" w:hAnsi="Arial"/>
          <w:b w:val="0"/>
          <w:i w:val="0"/>
          <w:color w:val="111827"/>
          <w:sz w:val="22"/>
        </w:rPr>
        <w:t xml:space="preserve"> Seleção fundamentada exclusivamente no julgamento profissional, conhecimento prévio ou intuição do auditor.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Riscos de Amostragem na FCC:</w:t>
      </w:r>
    </w:p>
    <w:p>
      <w:pPr>
        <w:spacing w:line="276" w:lineRule="auto" w:before="20" w:after="40"/>
        <w:ind w:left="992"/>
      </w:pPr>
      <w:r>
        <w:rPr>
          <w:rFonts w:ascii="Arial" w:hAnsi="Arial"/>
          <w:b/>
          <w:color w:val="2B6CB0"/>
          <w:sz w:val="22"/>
        </w:rPr>
        <w:t xml:space="preserve">• </w:t>
      </w:r>
      <w:r>
        <w:rPr>
          <w:rFonts w:ascii="Arial" w:hAnsi="Arial"/>
          <w:b w:val="0"/>
          <w:i/>
          <w:color w:val="111827"/>
          <w:sz w:val="22"/>
        </w:rPr>
        <w:t>Risco Alfa (Risco de Rejeição Incorreta):</w:t>
      </w:r>
      <w:r>
        <w:rPr>
          <w:rFonts w:ascii="Arial" w:hAnsi="Arial"/>
          <w:b w:val="0"/>
          <w:i w:val="0"/>
          <w:color w:val="111827"/>
          <w:sz w:val="22"/>
        </w:rPr>
        <w:t xml:space="preserve"> Concluir que a amostra apresenta falhas graves quando a população total está em conformidade. Afeta a </w:t>
      </w:r>
      <w:r>
        <w:rPr>
          <w:rFonts w:ascii="Arial" w:hAnsi="Arial"/>
          <w:b/>
          <w:i w:val="0"/>
          <w:color w:val="111827"/>
          <w:sz w:val="22"/>
        </w:rPr>
        <w:t>eficiência</w:t>
      </w:r>
      <w:r>
        <w:rPr>
          <w:rFonts w:ascii="Arial" w:hAnsi="Arial"/>
          <w:b w:val="0"/>
          <w:i w:val="0"/>
          <w:color w:val="111827"/>
          <w:sz w:val="22"/>
        </w:rPr>
        <w:t xml:space="preserve"> do trabalho (gera retrabalho e testes desnecessários).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Risco Beta (Risco de Aceitação Incorreta):</w:t>
      </w:r>
      <w:r>
        <w:rPr>
          <w:rFonts w:ascii="Arial" w:hAnsi="Arial"/>
          <w:b w:val="0"/>
          <w:i w:val="0"/>
          <w:color w:val="111827"/>
          <w:sz w:val="22"/>
        </w:rPr>
        <w:t xml:space="preserve"> Concluir que a amostra está adequada quando a população total contém erros relevantes graves. Afeta a </w:t>
      </w:r>
      <w:r>
        <w:rPr>
          <w:rFonts w:ascii="Arial" w:hAnsi="Arial"/>
          <w:b/>
          <w:i w:val="0"/>
          <w:color w:val="111827"/>
          <w:sz w:val="22"/>
        </w:rPr>
        <w:t>eficácia</w:t>
      </w:r>
      <w:r>
        <w:rPr>
          <w:rFonts w:ascii="Arial" w:hAnsi="Arial"/>
          <w:b w:val="0"/>
          <w:i w:val="0"/>
          <w:color w:val="111827"/>
          <w:sz w:val="22"/>
        </w:rPr>
        <w:t xml:space="preserve"> da auditoria e é o mais perigoso, pois o auditor chancela contas viciadas.</w:t>
      </w:r>
    </w:p>
    <w:p>
      <w:pPr>
        <w:keepNext/>
        <w:spacing w:before="200" w:after="80"/>
      </w:pPr>
      <w:r>
        <w:rPr>
          <w:rFonts w:ascii="Arial" w:hAnsi="Arial"/>
          <w:b/>
          <w:i w:val="0"/>
          <w:color w:val="2B6CB0"/>
          <w:sz w:val="24"/>
        </w:rPr>
        <w:t>2. Programas de Auditoria e Documentação (Papéis de Trabalho)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Programa de Auditoria:</w:t>
      </w:r>
      <w:r>
        <w:rPr>
          <w:rFonts w:ascii="Arial" w:hAnsi="Arial"/>
          <w:b w:val="0"/>
          <w:i w:val="0"/>
          <w:color w:val="111827"/>
          <w:sz w:val="22"/>
        </w:rPr>
        <w:t xml:space="preserve"> Roteiro operacional e detalhado das etapas, procedimentos e testes substantivos e de conformidade que os membros da equipe devem executar no trabalho de campo.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Papéis de Trabalho (Documentação de Auditoria):</w:t>
      </w:r>
    </w:p>
    <w:p>
      <w:pPr>
        <w:spacing w:line="276" w:lineRule="auto" w:before="20" w:after="40"/>
        <w:ind w:left="992"/>
      </w:pPr>
      <w:r>
        <w:rPr>
          <w:rFonts w:ascii="Arial" w:hAnsi="Arial"/>
          <w:b/>
          <w:color w:val="2B6CB0"/>
          <w:sz w:val="22"/>
        </w:rPr>
        <w:t xml:space="preserve">• </w:t>
      </w:r>
      <w:r>
        <w:rPr>
          <w:rFonts w:ascii="Arial" w:hAnsi="Arial"/>
          <w:b w:val="0"/>
          <w:i/>
          <w:color w:val="111827"/>
          <w:sz w:val="22"/>
        </w:rPr>
        <w:t>Finalidade:</w:t>
      </w:r>
      <w:r>
        <w:rPr>
          <w:rFonts w:ascii="Arial" w:hAnsi="Arial"/>
          <w:b w:val="0"/>
          <w:i w:val="0"/>
          <w:color w:val="111827"/>
          <w:sz w:val="22"/>
        </w:rPr>
        <w:t xml:space="preserve"> Registrar as evidências colhidas, suportar técnica e juridicamente o relatório final e comprovar o cumprimento das normas profissionais da NBASP.</w:t>
      </w:r>
    </w:p>
    <w:p>
      <w:pPr>
        <w:spacing w:line="276" w:lineRule="auto" w:before="20" w:after="40"/>
        <w:ind w:left="992"/>
      </w:pPr>
      <w:r>
        <w:rPr>
          <w:rFonts w:ascii="Arial" w:hAnsi="Arial"/>
          <w:b/>
          <w:color w:val="2B6CB0"/>
          <w:sz w:val="22"/>
        </w:rPr>
        <w:t xml:space="preserve">• </w:t>
      </w:r>
      <w:r>
        <w:rPr>
          <w:rFonts w:ascii="Arial" w:hAnsi="Arial"/>
          <w:b w:val="0"/>
          <w:i/>
          <w:color w:val="111827"/>
          <w:sz w:val="22"/>
        </w:rPr>
        <w:t>Titularidade e Custódia:</w:t>
      </w:r>
      <w:r>
        <w:rPr>
          <w:rFonts w:ascii="Arial" w:hAnsi="Arial"/>
          <w:b w:val="0"/>
          <w:i w:val="0"/>
          <w:color w:val="111827"/>
          <w:sz w:val="22"/>
        </w:rPr>
        <w:t xml:space="preserve"> São de </w:t>
      </w:r>
      <w:r>
        <w:rPr>
          <w:rFonts w:ascii="Arial" w:hAnsi="Arial"/>
          <w:b/>
          <w:i w:val="0"/>
          <w:color w:val="111827"/>
          <w:sz w:val="22"/>
        </w:rPr>
        <w:t>propriedade exclusiva do Tribunal de Contas</w:t>
      </w:r>
      <w:r>
        <w:rPr>
          <w:rFonts w:ascii="Arial" w:hAnsi="Arial"/>
          <w:b w:val="0"/>
          <w:i w:val="0"/>
          <w:color w:val="111827"/>
          <w:sz w:val="22"/>
        </w:rPr>
        <w:t>, sujeitos a sigilo legal durante a fase de instrução e arquivamento regulamentar.</w:t>
      </w:r>
    </w:p>
    <w:p>
      <w:pPr>
        <w:spacing w:line="276" w:lineRule="auto" w:before="20" w:after="40"/>
        <w:ind w:left="992"/>
      </w:pPr>
      <w:r>
        <w:rPr>
          <w:rFonts w:ascii="Arial" w:hAnsi="Arial"/>
          <w:b/>
          <w:color w:val="2B6CB0"/>
          <w:sz w:val="22"/>
        </w:rPr>
        <w:t xml:space="preserve">• </w:t>
      </w:r>
      <w:r>
        <w:rPr>
          <w:rFonts w:ascii="Arial" w:hAnsi="Arial"/>
          <w:b w:val="0"/>
          <w:i/>
          <w:color w:val="111827"/>
          <w:sz w:val="22"/>
        </w:rPr>
        <w:t>Classificação Arquivística:</w:t>
      </w:r>
    </w:p>
    <w:p>
      <w:pPr>
        <w:spacing w:line="276" w:lineRule="auto" w:before="20" w:after="40"/>
        <w:ind w:left="992"/>
      </w:pPr>
      <w:r>
        <w:rPr>
          <w:rFonts w:ascii="Arial" w:hAnsi="Arial"/>
          <w:b/>
          <w:color w:val="2B6CB0"/>
          <w:sz w:val="22"/>
        </w:rPr>
        <w:t xml:space="preserve">• </w:t>
      </w:r>
      <w:r>
        <w:rPr>
          <w:rFonts w:ascii="Arial" w:hAnsi="Arial"/>
          <w:b/>
          <w:i w:val="0"/>
          <w:color w:val="111827"/>
          <w:sz w:val="22"/>
        </w:rPr>
        <w:t>Arquivo Corrente:</w:t>
      </w:r>
      <w:r>
        <w:rPr>
          <w:rFonts w:ascii="Arial" w:hAnsi="Arial"/>
          <w:b w:val="0"/>
          <w:i w:val="0"/>
          <w:color w:val="111827"/>
          <w:sz w:val="22"/>
        </w:rPr>
        <w:t xml:space="preserve"> Guarda documentos e papéis específicos daquela auditoria em exercício financeiro determinado (ex.: notas fiscais, empenhos daquele mês e atas de medição);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Arquivo Permanente:</w:t>
      </w:r>
      <w:r>
        <w:rPr>
          <w:rFonts w:ascii="Arial" w:hAnsi="Arial"/>
          <w:b w:val="0"/>
          <w:i w:val="0"/>
          <w:color w:val="111827"/>
          <w:sz w:val="22"/>
        </w:rPr>
        <w:t xml:space="preserve"> Guarda documentos de uso contínuo por vários exercícios (ex.: lei de criação da entidade, organogramas, regimentos internos e manuais de rotina).</w:t>
      </w:r>
    </w:p>
    <w:p>
      <w:pPr>
        <w:keepNext/>
        <w:spacing w:before="200" w:after="80"/>
      </w:pPr>
      <w:r>
        <w:rPr>
          <w:rFonts w:ascii="Arial" w:hAnsi="Arial"/>
          <w:b/>
          <w:i w:val="0"/>
          <w:color w:val="2B6CB0"/>
          <w:sz w:val="24"/>
        </w:rPr>
        <w:t>3. Técnicas e Procedimentos de Auditoria Governamental</w:t>
      </w:r>
    </w:p>
    <w:p>
      <w:pPr>
        <w:keepNext/>
        <w:spacing w:before="120" w:after="40"/>
      </w:pPr>
      <w:r>
        <w:rPr>
          <w:rFonts w:ascii="Arial" w:hAnsi="Arial"/>
          <w:b/>
          <w:i/>
          <w:color w:val="334155"/>
          <w:sz w:val="22"/>
        </w:rPr>
        <w:t>3.1 Quadro Geral dos Procedimentos de Obtenção de Evidências</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Procedimento / Técnica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Conceito Operacional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 Prático de Aplicação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Exame Documental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Análise minuciosa da validade, idoneidade e legalidade formal de documentos fiscais, administrativos e contratuais.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Exame de termos de referência, certidões de regularidade, notas de empenho e notas fiscais eletrônicas.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Inspeção Física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Constatação presencial e sensorial direta da existência física e qualidade de bens, estoques ou obras públicas.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Vistoria presencial em trecho de rodovia estadual para aferir espessura de asfalto e drenagem.</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Conferência de Cálculos (Recálculo)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Reexecução aritmética independente de operações matemáticas realizadas pelo órgão auditado.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Recálculo de fórmulas de reajuste de tarifas de transporte ou índices de BDI em planilhas de obras.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Observação Direta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Acompanhamento ocular presencial de uma atividade operacional no momento exato em que é realizada.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Observação do procedimento de descarte de resíduos hospitalares pelo pessoal terceirizado.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Circularização (Confirmação Externa)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Obtenção de declaração direta por escrito de terceiros independentes alheios ao órgão fiscalizado.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Envio de ofício a banco conveniado solicitando confirmação do saldo e titularidade de conta de convênio.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Procedimentos Analíticos (Revisão Analítica)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Estudo e comparação de flutuações, índices e relações plausíveis entre dados operacionais e financeiros.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Confronto mensal entre o total de horas extras pagas e o volume de procedimentos médicos cirúrgicos realizados.</w:t>
            </w:r>
          </w:p>
        </w:tc>
      </w:tr>
    </w:tbl>
    <w:p>
      <w:pPr>
        <w:spacing w:after="120"/>
      </w:pPr>
    </w:p>
    <w:p>
      <w:pPr>
        <w:keepNext/>
        <w:spacing w:before="120" w:after="40"/>
      </w:pPr>
      <w:r>
        <w:rPr>
          <w:rFonts w:ascii="Arial" w:hAnsi="Arial"/>
          <w:b/>
          <w:i/>
          <w:color w:val="334155"/>
          <w:sz w:val="22"/>
        </w:rPr>
        <w:t>3.2 Modalidades de Circularização (Confirmação Externa)</w:t>
      </w:r>
    </w:p>
    <w:p>
      <w:pPr>
        <w:spacing w:after="120"/>
      </w:pPr>
    </w:p>
    <w:p>
      <w:pPr>
        <w:keepNext/>
        <w:spacing w:before="200" w:after="80"/>
      </w:pPr>
      <w:r>
        <w:rPr>
          <w:rFonts w:ascii="Arial" w:hAnsi="Arial"/>
          <w:b/>
          <w:i w:val="0"/>
          <w:color w:val="2B6CB0"/>
          <w:sz w:val="24"/>
        </w:rPr>
        <w:t>4. Evidências de Auditoria: Os Três Pilares da Validade</w:t>
      </w:r>
    </w:p>
    <w:p>
      <w:pPr>
        <w:spacing w:line="360" w:lineRule="auto" w:before="0" w:after="80"/>
        <w:jc w:val="both"/>
      </w:pPr>
      <w:r>
        <w:rPr>
          <w:rFonts w:ascii="Arial" w:hAnsi="Arial"/>
          <w:b w:val="0"/>
          <w:i w:val="0"/>
          <w:color w:val="111827"/>
          <w:sz w:val="24"/>
        </w:rPr>
        <w:t>As conclusões do relatório de auditoria dependem da colheita de evidências que satisfaçam cumulativamente:</w:t>
      </w:r>
    </w:p>
    <w:p>
      <w:pPr>
        <w:spacing w:line="276" w:lineRule="auto" w:before="20" w:after="40"/>
        <w:ind w:left="425"/>
      </w:pPr>
      <w:r>
        <w:rPr>
          <w:rFonts w:ascii="Arial" w:hAnsi="Arial"/>
          <w:b/>
          <w:color w:val="1B365D"/>
          <w:sz w:val="22"/>
        </w:rPr>
        <w:t xml:space="preserve">1. </w:t>
      </w:r>
      <w:r>
        <w:rPr>
          <w:rFonts w:ascii="Arial" w:hAnsi="Arial"/>
          <w:b/>
          <w:i w:val="0"/>
          <w:color w:val="111827"/>
          <w:sz w:val="22"/>
        </w:rPr>
        <w:t>Suficiência (Aspecto Quantitativo):</w:t>
      </w:r>
      <w:r>
        <w:rPr>
          <w:rFonts w:ascii="Arial" w:hAnsi="Arial"/>
          <w:b w:val="0"/>
          <w:i w:val="0"/>
          <w:color w:val="111827"/>
          <w:sz w:val="22"/>
        </w:rPr>
        <w:t xml:space="preserve"> Mede a quantidade de evidência colhida. Deve ser persuasiva o bastante para convencer uma pessoa sensata e prudente.</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Adequação / Relevância (Aspecto Qualitativo):</w:t>
      </w:r>
      <w:r>
        <w:rPr>
          <w:rFonts w:ascii="Arial" w:hAnsi="Arial"/>
          <w:b w:val="0"/>
          <w:i w:val="0"/>
          <w:color w:val="111827"/>
          <w:sz w:val="22"/>
        </w:rPr>
        <w:t xml:space="preserve"> Pertinência da evidência em relação aos objetivos dos testes e às questões de auditoria formuladas.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Confiabilidade:</w:t>
      </w:r>
      <w:r>
        <w:rPr>
          <w:rFonts w:ascii="Arial" w:hAnsi="Arial"/>
          <w:b w:val="0"/>
          <w:i w:val="0"/>
          <w:color w:val="111827"/>
          <w:sz w:val="22"/>
        </w:rPr>
        <w:t xml:space="preserve"> Grau de autenticidade da evidência.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Evidências obtidas de </w:t>
      </w:r>
      <w:r>
        <w:rPr>
          <w:rFonts w:ascii="Arial" w:hAnsi="Arial"/>
          <w:b/>
          <w:i w:val="0"/>
          <w:color w:val="111827"/>
          <w:sz w:val="22"/>
        </w:rPr>
        <w:t>fontes externas independentes</w:t>
      </w:r>
      <w:r>
        <w:rPr>
          <w:rFonts w:ascii="Arial" w:hAnsi="Arial"/>
          <w:b w:val="0"/>
          <w:i w:val="0"/>
          <w:color w:val="111827"/>
          <w:sz w:val="22"/>
        </w:rPr>
        <w:t xml:space="preserve"> são mais confiáveis do que as obtidas dentro da entidade auditada.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Evidências obtidas </w:t>
      </w:r>
      <w:r>
        <w:rPr>
          <w:rFonts w:ascii="Arial" w:hAnsi="Arial"/>
          <w:b/>
          <w:i w:val="0"/>
          <w:color w:val="111827"/>
          <w:sz w:val="22"/>
        </w:rPr>
        <w:t>diretamente pelo auditor</w:t>
      </w:r>
      <w:r>
        <w:rPr>
          <w:rFonts w:ascii="Arial" w:hAnsi="Arial"/>
          <w:b w:val="0"/>
          <w:i w:val="0"/>
          <w:color w:val="111827"/>
          <w:sz w:val="22"/>
        </w:rPr>
        <w:t xml:space="preserve"> (ex.: inspeção física pessoal) são mais confiáveis do que as obtidas indiretamente.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Documentos </w:t>
      </w:r>
      <w:r>
        <w:rPr>
          <w:rFonts w:ascii="Arial" w:hAnsi="Arial"/>
          <w:b/>
          <w:i w:val="0"/>
          <w:color w:val="111827"/>
          <w:sz w:val="22"/>
        </w:rPr>
        <w:t>originais</w:t>
      </w:r>
      <w:r>
        <w:rPr>
          <w:rFonts w:ascii="Arial" w:hAnsi="Arial"/>
          <w:b w:val="0"/>
          <w:i w:val="0"/>
          <w:color w:val="111827"/>
          <w:sz w:val="22"/>
        </w:rPr>
        <w:t xml:space="preserve"> são mais confiáveis do que fotocópias ou impressões digitalizadas.</w:t>
      </w:r>
    </w:p>
    <w:p>
      <w:pPr>
        <w:keepNext/>
        <w:spacing w:before="200" w:after="80"/>
      </w:pPr>
      <w:r>
        <w:rPr>
          <w:rFonts w:ascii="Arial" w:hAnsi="Arial"/>
          <w:b/>
          <w:i w:val="0"/>
          <w:color w:val="2B6CB0"/>
          <w:sz w:val="24"/>
        </w:rPr>
        <w:t>5. A Estrutura Anatômica do Achado de Auditoria</w:t>
      </w:r>
    </w:p>
    <w:p>
      <w:pPr>
        <w:keepNext/>
        <w:spacing w:before="120" w:after="40"/>
      </w:pPr>
      <w:r>
        <w:rPr>
          <w:rFonts w:ascii="Arial" w:hAnsi="Arial"/>
          <w:b/>
          <w:i/>
          <w:color w:val="334155"/>
          <w:sz w:val="22"/>
        </w:rPr>
        <w:t>5.1 Os Quatro Elementos do Achado</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Achado de Auditoria</w:t>
      </w:r>
      <w:r>
        <w:rPr>
          <w:rFonts w:ascii="Arial" w:hAnsi="Arial"/>
          <w:b w:val="0"/>
          <w:i w:val="0"/>
          <w:color w:val="111827"/>
          <w:sz w:val="24"/>
        </w:rPr>
        <w:t xml:space="preserve"> é a discrepância relevante identificada entre a situação real constatada e o parâmetro ideal normativo:</w:t>
      </w:r>
    </w:p>
    <w:tbl>
      <w:tblPr>
        <w:tblW w:type="auto" w:w="0"/>
        <w:jc w:val="center"/>
        <w:tblLook w:firstColumn="1" w:firstRow="1" w:lastColumn="0" w:lastRow="0" w:noHBand="0" w:noVBand="1" w:val="04A0"/>
      </w:tblPr>
      <w:tblGrid>
        <w:gridCol w:w="9071"/>
      </w:tblGrid>
      <w:tr>
        <w:tc>
          <w:tcPr>
            <w:tcW w:type="dxa" w:w="9071"/>
            <w:shd w:fill="F8FAFC"/>
            <w:tcBorders>
              <w:left w:val="single" w:sz="8" w:space="0" w:color="CBD5E1"/>
              <w:top w:val="single" w:sz="8" w:space="0" w:color="CBD5E1"/>
              <w:right w:val="single" w:sz="8" w:space="0" w:color="CBD5E1"/>
              <w:bottom w:val="single" w:sz="8" w:space="0" w:color="CBD5E1"/>
            </w:tcBorders>
            <w:tcMar>
              <w:top w:w="120" w:type="dxa"/>
              <w:bottom w:w="120" w:type="dxa"/>
              <w:left w:w="180" w:type="dxa"/>
              <w:right w:w="180" w:type="dxa"/>
            </w:tcMar>
          </w:tcPr>
          <w:p>
            <w:pPr>
              <w:spacing w:line="240" w:lineRule="auto" w:before="0" w:after="80"/>
            </w:pPr>
            <w:r>
              <w:rPr>
                <w:rFonts w:ascii="Consolas" w:hAnsi="Consolas"/>
                <w:b/>
                <w:color w:val="2B6CB0"/>
                <w:sz w:val="17"/>
              </w:rPr>
              <w:t>💻 CÓDIGO FONTE (TEXT)</w:t>
            </w:r>
          </w:p>
          <w:p>
            <w:pPr>
              <w:spacing w:line="240" w:lineRule="auto" w:before="40" w:after="40"/>
            </w:pPr>
            <w:r>
              <w:rPr>
                <w:rFonts w:ascii="Consolas" w:hAnsi="Consolas"/>
                <w:color w:val="0F172A"/>
                <w:sz w:val="18"/>
              </w:rPr>
              <w:t>┌────────────────────────────────────────────────────────────────────────┐</w:t>
              <w:br/>
              <w:t>│                        ANATOMIA DO ACHADO DE AUDITORIA                 │</w:t>
              <w:br/>
              <w:t>├───────────────────┬────────────────────────────────────────────────────┤</w:t>
              <w:br/>
              <w:t>│ 1. CRITÉRIO       │ O padrão normativo ideal ("O que deveria ser")     │</w:t>
              <w:br/>
              <w:t>│                   │ Ex.: O art. 72 da Lei 14.133/21 exige prévio ETP.  │</w:t>
              <w:br/>
              <w:t>├───────────────────┼────────────────────────────────────────────────────┤</w:t>
              <w:br/>
              <w:t>│ 2. CONDIÇÃO       │ A realidade fática encontrada ("O que é")          │</w:t>
              <w:br/>
              <w:t>│                   │ Ex.: Contratação de R$ 3 milhões executada sem ETP.│</w:t>
              <w:br/>
              <w:t>├───────────────────┼────────────────────────────────────────────────────┤</w:t>
              <w:br/>
              <w:t>│ 3. CAUSA          │ A razão explicativa do desvio ("Por que ocorreu")  │</w:t>
              <w:br/>
              <w:t>│                   │ Ex.: Falha no controle interno e falta de servidores.│</w:t>
              <w:br/>
              <w:t>├───────────────────┼────────────────────────────────────────────────────┤</w:t>
              <w:br/>
              <w:t>│ 4. EFEITO         │ A consequência real ou potencial ("Qual o impacto")│</w:t>
              <w:br/>
              <w:t>│                   │ Ex.: Superfaturamento e contratação superdimensionada.│</w:t>
              <w:br/>
              <w:t>└───────────────────┴────────────────────────────────────────────────────┘</w:t>
            </w:r>
          </w:p>
        </w:tc>
      </w:tr>
    </w:tbl>
    <w:p>
      <w:pPr>
        <w:spacing w:after="120"/>
      </w:pPr>
    </w:p>
    <w:p>
      <w:pPr>
        <w:keepNext/>
        <w:spacing w:before="120" w:after="40"/>
      </w:pPr>
      <w:r>
        <w:rPr>
          <w:rFonts w:ascii="Arial" w:hAnsi="Arial"/>
          <w:b/>
          <w:i/>
          <w:color w:val="334155"/>
          <w:sz w:val="22"/>
        </w:rPr>
        <w:t>5.2 Matriz de Responsabilização e a LINDB (Art. 28)</w:t>
      </w:r>
    </w:p>
    <w:p>
      <w:pPr>
        <w:spacing w:line="360" w:lineRule="auto" w:before="0" w:after="80"/>
        <w:jc w:val="both"/>
      </w:pPr>
      <w:r>
        <w:rPr>
          <w:rFonts w:ascii="Arial" w:hAnsi="Arial"/>
          <w:b w:val="0"/>
          <w:i w:val="0"/>
          <w:color w:val="111827"/>
          <w:sz w:val="24"/>
        </w:rPr>
        <w:t xml:space="preserve">Ao propor imputação de débito ou cominação de multas sancionatórias a agentes públicos, a equipe de auditoria deve confeccionar obrigatoriamente a </w:t>
      </w:r>
      <w:r>
        <w:rPr>
          <w:rFonts w:ascii="Arial" w:hAnsi="Arial"/>
          <w:b/>
          <w:i w:val="0"/>
          <w:color w:val="111827"/>
          <w:sz w:val="24"/>
        </w:rPr>
        <w:t>Matriz de Responsabilização</w:t>
      </w:r>
      <w:r>
        <w:rPr>
          <w:rFonts w:ascii="Arial" w:hAnsi="Arial"/>
          <w:b w:val="0"/>
          <w:i w:val="0"/>
          <w:color w:val="111827"/>
          <w:sz w:val="24"/>
        </w:rPr>
        <w:t>, demonstrando: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Identificação Individual:</w:t>
      </w:r>
      <w:r>
        <w:rPr>
          <w:rFonts w:ascii="Arial" w:hAnsi="Arial"/>
          <w:b w:val="0"/>
          <w:i w:val="0"/>
          <w:color w:val="111827"/>
          <w:sz w:val="22"/>
        </w:rPr>
        <w:t xml:space="preserve"> Nome, CPF e cargo do agente público ou privado;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Conduta:</w:t>
      </w:r>
      <w:r>
        <w:rPr>
          <w:rFonts w:ascii="Arial" w:hAnsi="Arial"/>
          <w:b w:val="0"/>
          <w:i w:val="0"/>
          <w:color w:val="111827"/>
          <w:sz w:val="22"/>
        </w:rPr>
        <w:t xml:space="preserve"> Ação ou omissão específica imputada ao gestor;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Nexo de Causalidade:</w:t>
      </w:r>
      <w:r>
        <w:rPr>
          <w:rFonts w:ascii="Arial" w:hAnsi="Arial"/>
          <w:b w:val="0"/>
          <w:i w:val="0"/>
          <w:color w:val="111827"/>
          <w:sz w:val="22"/>
        </w:rPr>
        <w:t xml:space="preserve"> Vínculo fático entre o ato praticado e o resultado lesivo gerado ao erário;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Culpabilidade:</w:t>
      </w:r>
      <w:r>
        <w:rPr>
          <w:rFonts w:ascii="Arial" w:hAnsi="Arial"/>
          <w:b w:val="0"/>
          <w:i w:val="0"/>
          <w:color w:val="111827"/>
          <w:sz w:val="22"/>
        </w:rPr>
        <w:t xml:space="preserve"> Demonstração expressa de que o agente agiu com </w:t>
      </w:r>
      <w:r>
        <w:rPr>
          <w:rFonts w:ascii="Arial" w:hAnsi="Arial"/>
          <w:b/>
          <w:i w:val="0"/>
          <w:color w:val="111827"/>
          <w:sz w:val="22"/>
        </w:rPr>
        <w:t>dolo ou erro grosseiro</w:t>
      </w:r>
      <w:r>
        <w:rPr>
          <w:rFonts w:ascii="Arial" w:hAnsi="Arial"/>
          <w:b w:val="0"/>
          <w:i w:val="0"/>
          <w:color w:val="111827"/>
          <w:sz w:val="22"/>
        </w:rPr>
        <w:t xml:space="preserve"> (culpa manifesta e inescusável), nos exatos termos do </w:t>
      </w:r>
      <w:r>
        <w:rPr>
          <w:rFonts w:ascii="Arial" w:hAnsi="Arial"/>
          <w:b/>
          <w:i w:val="0"/>
          <w:color w:val="111827"/>
          <w:sz w:val="22"/>
        </w:rPr>
        <w:t>Art. 28 da LINDB</w:t>
      </w:r>
      <w:r>
        <w:rPr>
          <w:rFonts w:ascii="Arial" w:hAnsi="Arial"/>
          <w:b w:val="0"/>
          <w:i w:val="0"/>
          <w:color w:val="111827"/>
          <w:sz w:val="22"/>
        </w:rPr>
        <w:t>.</w:t>
      </w:r>
    </w:p>
    <w:p>
      <w:pPr>
        <w:keepNext/>
        <w:spacing w:before="280" w:after="120"/>
      </w:pPr>
      <w:r>
        <w:rPr>
          <w:rFonts w:ascii="Arial" w:hAnsi="Arial"/>
          <w:b/>
          <w:i w:val="0"/>
          <w:color w:val="2C5282"/>
          <w:sz w:val="28"/>
        </w:rPr>
        <w:t>🌐 Fontes Oficiais &amp; Manuais Técnicos Recomendados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Auditoria de Conformidade do TCU</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Metodologia de elaboração de papéis de trabalho, testes de auditoria e matriz de achados.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Auditoria Operacional do TCU / IRB</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Técnicas de elaboração de matriz de planejamento e critérios de seleção MRC.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Norma Brasileira de Auditoria do Setor Público - NBASP 100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Diretrizes profissionais sobre evidências, documentação e risco de auditoria.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de Introdução às Normas do Direito Brasileiro (LINDB) - Artigo 28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Exigência de dolo ou erro grosseiro para responsabilização pessoal de agentes públicos.</w:t>
      </w:r>
    </w:p>
    <w:p>
      <w:pPr>
        <w:keepNext/>
        <w:spacing w:before="280" w:after="120"/>
      </w:pPr>
      <w:r>
        <w:rPr>
          <w:rFonts w:ascii="Arial" w:hAnsi="Arial"/>
          <w:b/>
          <w:i w:val="0"/>
          <w:color w:val="2C5282"/>
          <w:sz w:val="28"/>
        </w:rPr>
        <w:t>📝 Questões Comentadas no Padrão FCC (Justificadas de A a E)</w:t>
      </w:r>
    </w:p>
    <w:p>
      <w:pPr>
        <w:keepNext/>
        <w:spacing w:before="200" w:after="80"/>
      </w:pPr>
      <w:r>
        <w:rPr>
          <w:rFonts w:ascii="Arial" w:hAnsi="Arial"/>
          <w:b/>
          <w:i w:val="0"/>
          <w:color w:val="2B6CB0"/>
          <w:sz w:val="24"/>
        </w:rPr>
        <w:t>Questão 1 (FCC - Adaptada / TCE-RS - Auditor de Controle Externo)</w:t>
      </w:r>
    </w:p>
    <w:p>
      <w:pPr>
        <w:spacing w:line="360" w:lineRule="auto" w:before="0" w:after="80"/>
        <w:jc w:val="both"/>
      </w:pPr>
      <w:r>
        <w:rPr>
          <w:rFonts w:ascii="Arial" w:hAnsi="Arial"/>
          <w:b w:val="0"/>
          <w:i w:val="0"/>
          <w:color w:val="111827"/>
          <w:sz w:val="24"/>
        </w:rPr>
        <w:t>No âmbito dos trabalhos de fiscalização governamental conduzidos por equipe de controle externo do Tribunal de Contas, os auditores compararam o volume mensal de combustível faturado por uma secretaria de estado com a quilometragem média rodada pelos veículos no mesmo período, constatando desvios e picos anômalos de consumo em determinados meses. A técnica de auditoria utilizada pela equipe denomina-se: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Circularização 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Revisão analítica (ou procedimentos analíticos).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Inspeção física.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Conciliação contábil.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Conferência de cálculos.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Circularização consiste em obter confirmação externa formal de terceiros alheios à entidade auditada.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Os procedimentos analíticos (ou revisão analítica) compreendem a avaliação de informações financeiras e operacionais por meio de estudo e comparação das relações plausíveis entre dados financeiros e não financeiros, permitindo a detecção de flutuações, índices incoerentes ou variações atípicas que exijam investigação direcionada.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Inspeção física exige o exame presencial e sensorial da existência palpável de bens, obras ou estoques.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Conciliação contábil consiste em confrontar saldos contábeis internos com documentos de suporte (ex.: razão contábil e extrato bancário).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Conferência de cálculos consiste na mera repetição aritmética de cálculos prévios efetuados pela administração pública.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TCE-AM - Auditor de Controle Externo)</w:t>
      </w:r>
    </w:p>
    <w:p>
      <w:pPr>
        <w:spacing w:line="360" w:lineRule="auto" w:before="0" w:after="80"/>
        <w:jc w:val="both"/>
      </w:pPr>
      <w:r>
        <w:rPr>
          <w:rFonts w:ascii="Arial" w:hAnsi="Arial"/>
          <w:b w:val="0"/>
          <w:i w:val="0"/>
          <w:color w:val="111827"/>
          <w:sz w:val="24"/>
        </w:rPr>
        <w:t>Em relatório de fiscalização de obras rodoviárias, a equipe técnica do Tribunal de Contas registrou a ocorrência de fissuras e afundamentos prematuros no asfalto decorrentes da utilização de ligante betuminoso com espessura inferior à exigida nas especificações do projeto executivo aprovado pela Agência Goiana de Infraestrutura. De acordo com a metodologia de estruturação de achados de auditoria preconizada pelas normas de auditoria do setor público (NBASP), a especificação do projeto executivo e o asfalto com espessura inferior constituem,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Condição e Critério.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Causa e Efeito.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Critério e Condição.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Efeito e Causa.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Matriz de Risco e Evidência.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ordem está invertida.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causa foi a falha na dosagem ou fiscalização do executor; o efeito foram as fissuras e o prejuízo financeiro.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Na metodologia do achado de auditoria: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Critério:</w:t>
            </w:r>
            <w:r>
              <w:rPr>
                <w:rFonts w:ascii="Arial" w:hAnsi="Arial"/>
                <w:b w:val="0"/>
                <w:i w:val="0"/>
                <w:color w:val="111827"/>
                <w:sz w:val="21"/>
              </w:rPr>
              <w:t xml:space="preserve"> É o padrão normativo, contratual ou técnico ideal ("o que deveria ser") – neste caso, as especificações técnicas obrigatórias do projeto executivo aprovado.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Condição (ou Situação Encontrada):</w:t>
            </w:r>
            <w:r>
              <w:rPr>
                <w:rFonts w:ascii="Arial" w:hAnsi="Arial"/>
                <w:b w:val="0"/>
                <w:i w:val="0"/>
                <w:color w:val="111827"/>
                <w:sz w:val="21"/>
              </w:rPr>
              <w:t xml:space="preserve"> É a realidade fática verificada pelo auditor </w:t>
            </w:r>
            <w:r>
              <w:rPr>
                <w:rFonts w:ascii="Arial" w:hAnsi="Arial"/>
                <w:b w:val="0"/>
                <w:i/>
                <w:color w:val="111827"/>
                <w:sz w:val="21"/>
              </w:rPr>
              <w:t>in loco</w:t>
            </w:r>
            <w:r>
              <w:rPr>
                <w:rFonts w:ascii="Arial" w:hAnsi="Arial"/>
                <w:b w:val="0"/>
                <w:i w:val="0"/>
                <w:color w:val="111827"/>
                <w:sz w:val="21"/>
              </w:rPr>
              <w:t xml:space="preserve"> ("o que é") – neste caso, a aplicação de camada asfáltica com espessura inferior à contratada.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As deformidades e fissuras representam o efeito/impacto danoso gerado na rodovia.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Matriz de risco é ferramenta prévia de planejamento, e não elemento integrante da anatomia do achado.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3 (FCC - Adaptada / Auditor Governamental)</w:t>
      </w:r>
    </w:p>
    <w:p>
      <w:pPr>
        <w:spacing w:line="360" w:lineRule="auto" w:before="0" w:after="80"/>
        <w:jc w:val="both"/>
      </w:pPr>
      <w:r>
        <w:rPr>
          <w:rFonts w:ascii="Arial" w:hAnsi="Arial"/>
          <w:b w:val="0"/>
          <w:i w:val="0"/>
          <w:color w:val="111827"/>
          <w:sz w:val="24"/>
        </w:rPr>
        <w:t>Acerca do modelo de avaliação de risco de auditoria e dos fatores de risco considerados no planejamento das ações de controle externo,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risco de detecção é o risco de que os controles internos da entidade auditada não consigam prevenir tempestivamente uma fraude contábil relevante.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risco inerente decorre exclusivamente de erros cometidos pela própria equipe de auditores durante a aplicação de seus testes substantivos.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risco de controle e o risco inerente são intrínsecos ao ambiente do órgão auditado, cabendo ao auditor gerenciar e reduzir o risco de detecção para manter o risco global de auditoria em patamar aceitável.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Diante de controles internos eficientes e ausência de risco inerente, o auditor de controle externo pode dispensar a aplicação de quaisquer testes e aprovar as contas sumariamente.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risco de auditoria independe da extensão dos procedimentos aplicados pelo órgão de controle externo.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risco de o controle interno falhar denomina-se </w:t>
            </w:r>
            <w:r>
              <w:rPr>
                <w:rFonts w:ascii="Arial" w:hAnsi="Arial"/>
                <w:b/>
                <w:i w:val="0"/>
                <w:color w:val="111827"/>
                <w:sz w:val="21"/>
              </w:rPr>
              <w:t>Risco de Controle (RC)</w:t>
            </w:r>
            <w:r>
              <w:rPr>
                <w:rFonts w:ascii="Arial" w:hAnsi="Arial"/>
                <w:b w:val="0"/>
                <w:i w:val="0"/>
                <w:color w:val="111827"/>
                <w:sz w:val="21"/>
              </w:rPr>
              <w:t>. Risco de detecção é a falha dos procedimentos do próprio auditor.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risco inerente refere-se à suscetibilidade da própria atividade auditada ao erro antes de qualquer controle.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auditor não pode alterar o risco inerente nem o risco de controle do jurisdicionado. Portanto, ao se deparar com um órgão de elevado risco (alto risco inerente e fragilidade de controles internos), o auditor deve </w:t>
            </w:r>
            <w:r>
              <w:rPr>
                <w:rFonts w:ascii="Arial" w:hAnsi="Arial"/>
                <w:b/>
                <w:i w:val="0"/>
                <w:color w:val="111827"/>
                <w:sz w:val="21"/>
              </w:rPr>
              <w:t>reduzir o risco de detecção (RD)</w:t>
            </w:r>
            <w:r>
              <w:rPr>
                <w:rFonts w:ascii="Arial" w:hAnsi="Arial"/>
                <w:b w:val="0"/>
                <w:i w:val="0"/>
                <w:color w:val="111827"/>
                <w:sz w:val="21"/>
              </w:rPr>
              <w:t xml:space="preserve"> mediante a aplicação de testes mais profundos, com amostras maiores e maior ceticismo profissional.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Testes substantivos nunca podem ser totalmente dispensados pelas normas de auditoria governamental.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risco global de auditoria varia em proporção inversa à extensão e qualidade dos procedimentos executados pela equipe.</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Adaptada / Técnico de Controle Externo)</w:t>
      </w:r>
    </w:p>
    <w:p>
      <w:pPr>
        <w:spacing w:line="360" w:lineRule="auto" w:before="0" w:after="80"/>
        <w:jc w:val="both"/>
      </w:pPr>
      <w:r>
        <w:rPr>
          <w:rFonts w:ascii="Arial" w:hAnsi="Arial"/>
          <w:b w:val="0"/>
          <w:i w:val="0"/>
          <w:color w:val="111827"/>
          <w:sz w:val="24"/>
        </w:rPr>
        <w:t>Em relação aos papéis de trabalho (documentação de auditoria) elaborados e custodiados no âmbito dos Tribunais de Contas,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Pertencem pessoalmente ao auditor que os confeccionou, que detém o direito autoral de levá-los consigo ao se aposentar.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arquivo permanente é destinado à guarda de documentos específicos de uma única auditoria em exercício financeiro determinado, como notas fiscais daquele mês.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papéis de trabalho pertencem ao Tribunal de Contas, destinando-se a fundamentar as conclusões do relatório técnico e a comprovar a observância das normas profissionais de auditoria.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São de livre acesso público irrestrito e devem ser divulgados em tempo real na internet durante a realização dos testes de campo.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Devem ser destruídos imediatamente após a publicação da deliberação plenária terminativa do processo de controle externo.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Os papéis de trabalho são patrimônio documental oficial e institucional exclusivo do Tribunal de Contas.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arquivo que guarda os dados de uma única auditoria anual é o </w:t>
            </w:r>
            <w:r>
              <w:rPr>
                <w:rFonts w:ascii="Arial" w:hAnsi="Arial"/>
                <w:b/>
                <w:i w:val="0"/>
                <w:color w:val="111827"/>
                <w:sz w:val="21"/>
              </w:rPr>
              <w:t>arquivo corrente</w:t>
            </w:r>
            <w:r>
              <w:rPr>
                <w:rFonts w:ascii="Arial" w:hAnsi="Arial"/>
                <w:b w:val="0"/>
                <w:i w:val="0"/>
                <w:color w:val="111827"/>
                <w:sz w:val="21"/>
              </w:rPr>
              <w:t>. O arquivo permanente abriga dados de uso continuado por anos (leis de criação do órgão, organogramas, estatutos).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Conforme as normas técnicas da NBASP e Manuais de Auditoria, a documentação de auditoria pertence privativamente ao Tribunal e tem o objetivo primordial de registrar as evidências, fundamentar a opinião expressa e demonstrar a qualidade dos testes executados.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Durante a fase de instrução e coleta, os papéis de trabalho mantêm-se sob sigilo e confidencialidade profissional para resguardar a integridade das apurações.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Os papéis de trabalho devem ser mantidos sob guarda e custódia arquivística pelo prazo regulamentar para fins de segurança jurídica e eventual reexame.</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Analista Jurídico de Controle)</w:t>
      </w:r>
    </w:p>
    <w:p>
      <w:pPr>
        <w:spacing w:line="360" w:lineRule="auto" w:before="0" w:after="80"/>
        <w:jc w:val="both"/>
      </w:pPr>
      <w:r>
        <w:rPr>
          <w:rFonts w:ascii="Arial" w:hAnsi="Arial"/>
          <w:b w:val="0"/>
          <w:i w:val="0"/>
          <w:color w:val="111827"/>
          <w:sz w:val="24"/>
        </w:rPr>
        <w:t>Ao elaborar a Matriz de Responsabilização em processo de tomada de contas especial decorrente de auditoria, a unidade técnica do Tribunal de Contas imputou dever de ressarcir o erário a determinado Secretário de Estado em virtude de pagamento indevido de adicional de periculosidade a servidores administrativos.</w:t>
      </w:r>
    </w:p>
    <w:p>
      <w:pPr>
        <w:spacing w:line="360" w:lineRule="auto" w:before="0" w:after="80"/>
        <w:jc w:val="both"/>
      </w:pPr>
      <w:r>
        <w:rPr>
          <w:rFonts w:ascii="Arial" w:hAnsi="Arial"/>
          <w:b w:val="0"/>
          <w:i w:val="0"/>
          <w:color w:val="111827"/>
          <w:sz w:val="24"/>
        </w:rPr>
        <w:t>Nos termos do artigo 28 da Lei de Introdução às Normas do Direito Brasileiro (LINDB), para que o agente público responda pessoalmente por suas decisões perante o Tribunal de Contas, é necessário demonstrar que ele agiu:</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Com qualquer modalidade de culpa leve, aplicando-se a teoria do risco integral administrativo.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Com dolo ou erro grosseiro.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Sem aprovação prévia da Procuradoria-Geral do Estado, independentemente de demonstração de culpabilidade.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Exclusivamente com motivação político-partidária de oposição.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Em contrariedade a parecer técnico não vinculante emitido por estagiário do órgão.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responsabilidade pessoal sancionatória e ressarcitória do gestor perante o Tribunal de Contas não é objetiva (risco integral), exigindo elemento subjetivo qualificado. Culpa levíssima ou escusável não autoriza condenação pessoal.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art. 28 da LINDB (com redação dada pela Lei nº 13.655/2018) estabelece categoricamente: *"O agente público responderá pessoalmente por suas decisões ou opiniões técnicas em caso de </w:t>
            </w:r>
            <w:r>
              <w:rPr>
                <w:rFonts w:ascii="Arial" w:hAnsi="Arial"/>
                <w:b/>
                <w:i w:val="0"/>
                <w:color w:val="111827"/>
                <w:sz w:val="21"/>
              </w:rPr>
              <w:t>dolo ou erro grosseiro</w:t>
            </w:r>
            <w:r>
              <w:rPr>
                <w:rFonts w:ascii="Arial" w:hAnsi="Arial"/>
                <w:b w:val="0"/>
                <w:i w:val="0"/>
                <w:color w:val="111827"/>
                <w:sz w:val="21"/>
              </w:rPr>
              <w:t>."* O erro grosseiro é a culpa grave, inescusável, resultante de desatenção manifesta que o gestor médio não cometeria.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ausência de consulta jurídica isoladamente não presume a culpa grave do agente.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art. 28 exige dolo ou erro grosseiro no plano da conduta material, e não motivação partidária.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Pareceres informais não vinculantes não constituem critério objetivo para definição da responsabilidade do gestor.</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04 - Relatórios de Auditoria, Processo de Controle Externo, Tomada de Contas Especial e Sanções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Controle Externo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04_relatorios_processo_de_controle_externo_e_sancoes.md</w:t>
      </w:r>
    </w:p>
    <w:p>
      <w:pPr>
        <w:spacing w:line="240" w:lineRule="auto" w:before="20" w:after="40"/>
        <w:ind w:left="2268"/>
      </w:pPr>
      <w:r>
        <w:rPr>
          <w:rFonts w:ascii="Arial" w:hAnsi="Arial"/>
          <w:b/>
          <w:i w:val="0"/>
          <w:color w:val="4B5563"/>
          <w:sz w:val="20"/>
        </w:rPr>
        <w:t>Status:</w:t>
      </w:r>
      <w:r>
        <w:rPr>
          <w:rFonts w:ascii="Arial" w:hAnsi="Arial"/>
          <w:b w:val="0"/>
          <w:i w:val="0"/>
          <w:color w:val="4B5563"/>
          <w:sz w:val="20"/>
        </w:rPr>
        <w:t xml:space="preserve"> 🟢 Teoria Aprofundada + 5 Questões FCC Comentadas (A a E)</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Comunicação dos resultados da auditoria: atributos, estrutura e padronização dos relatórios de controle externo (clareza, concisão, precisão, objetividade, completude e tempestividade);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Deliberações do Tribunal de Contas: acórdãos colegiados, decisões monocráticas do Relator, determinações mandamentais e recomendações propositivas;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Monitoramento das deliberações e Planos de Ação formulados pelo gestor público;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Tomada de Contas Especial (TCE):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Conceito, natureza jurídica excepcional e finalidades institucionais;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Pressupostos cumulativos de instauração (ocorrência de dano ou omissão de contas, esgotamento das providências administrativas internas, valor superior ao limite de alçada e não transcurso de mais de 10 anos);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Fase interna no órgão de origem vs. Fase externa perante o Tribunal de Contas;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Hipóteses de dispensa, trancamento e arquivamento da TCE;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processo no Tribunal de Contas: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Comunicações processuais: Citação (para ressarcimento de débito) vs. Audiência (para justificativa de infração legal);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Fase recursal no processo de contas: Recurso de Reconsideração, Pedido de Reexame, Embargos de Declaração, Agravo e Recurso de Revisão;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Julgamento técnico das contas dos administradores públicos: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Contas Regulares (quitação plena);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Contas Regulares com Ressalva (quitação com determinações corretivas para falhas formais);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Contas Irregulares (dano ao erário, desfalque, desvio, infração grave à norma ou reincidência de descumprimento);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Contas Iliquidáveis (caso fortuito ou força maior que inviabilize o exame de mérito);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Regime sancionatório dos Tribunais de Contas: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Condenação em débito (natureza indenizatória reparatória);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Multas administrativas (proporcional ao débito e multa por grave infração à norma legal);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Inabilitação para o exercício de cargo em comissão ou função de confiança (até 5 anos);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Declaração de inidoneidade para participar de licitações e contratar com a Administração Pública (até 5 anos);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Reflexos eleitorais do julgamento de contas (inelegibilidade de 8 anos da Lei da Ficha Limpa - LC nº 64/90);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Prescrição no âmbito do controle externo: prescrição quinquenal (5 anos) da pretensão punitiva e ressarcitória (Tema 899 do STF e Lei nº 9.873/1999) e prescrição intercorrente trienal (3 anos).</w:t>
      </w:r>
    </w:p>
    <w:p>
      <w:pPr>
        <w:keepNext/>
        <w:spacing w:before="280" w:after="120"/>
      </w:pPr>
      <w:r>
        <w:rPr>
          <w:rFonts w:ascii="Arial" w:hAnsi="Arial"/>
          <w:b/>
          <w:i w:val="0"/>
          <w:color w:val="2C5282"/>
          <w:sz w:val="28"/>
        </w:rPr>
        <w:t>🧭 Sumário</w:t>
      </w:r>
    </w:p>
    <w:p>
      <w:pPr>
        <w:spacing w:line="276" w:lineRule="auto" w:before="20" w:after="40"/>
        <w:ind w:left="425"/>
      </w:pPr>
      <w:r>
        <w:rPr>
          <w:rFonts w:ascii="Arial" w:hAnsi="Arial"/>
          <w:b/>
          <w:color w:val="1B365D"/>
          <w:sz w:val="22"/>
        </w:rPr>
        <w:t xml:space="preserve">1. </w:t>
      </w:r>
      <w:r>
        <w:rPr>
          <w:rFonts w:ascii="Arial" w:hAnsi="Arial"/>
          <w:color w:val="2B6CB0"/>
          <w:sz w:val="22"/>
          <w:u w:val="single"/>
        </w:rPr>
        <w:t>Comunicação dos Resultados e Deliberações do Tribunal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1.1 </w:t>
      </w:r>
      <w:r>
        <w:rPr>
          <w:rFonts w:ascii="Arial" w:hAnsi="Arial"/>
          <w:color w:val="2B6CB0"/>
          <w:sz w:val="22"/>
          <w:u w:val="single"/>
        </w:rPr>
        <w:t>Atributos do Relatório de Auditoria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1.2 </w:t>
      </w:r>
      <w:r>
        <w:rPr>
          <w:rFonts w:ascii="Arial" w:hAnsi="Arial"/>
          <w:color w:val="2B6CB0"/>
          <w:sz w:val="22"/>
          <w:u w:val="single"/>
        </w:rPr>
        <w:t>Espécies de Deliberações: Determinações versus Recomendações</w:t>
      </w:r>
    </w:p>
    <w:p>
      <w:pPr>
        <w:spacing w:line="276" w:lineRule="auto" w:before="20" w:after="40"/>
        <w:ind w:left="425"/>
      </w:pPr>
      <w:r>
        <w:rPr>
          <w:rFonts w:ascii="Arial" w:hAnsi="Arial"/>
          <w:b/>
          <w:color w:val="1B365D"/>
          <w:sz w:val="22"/>
        </w:rPr>
        <w:t xml:space="preserve">2. </w:t>
      </w:r>
      <w:r>
        <w:rPr>
          <w:rFonts w:ascii="Arial" w:hAnsi="Arial"/>
          <w:color w:val="2B6CB0"/>
          <w:sz w:val="22"/>
          <w:u w:val="single"/>
        </w:rPr>
        <w:t>Tomada de Contas Especial (TCE): Rito e Pressupostos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2.1 </w:t>
      </w:r>
      <w:r>
        <w:rPr>
          <w:rFonts w:ascii="Arial" w:hAnsi="Arial"/>
          <w:color w:val="2B6CB0"/>
          <w:sz w:val="22"/>
          <w:u w:val="single"/>
        </w:rPr>
        <w:t>Natureza Jurídica e Pressupostos de Instauração Obrigatória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2.2 </w:t>
      </w:r>
      <w:r>
        <w:rPr>
          <w:rFonts w:ascii="Arial" w:hAnsi="Arial"/>
          <w:color w:val="2B6CB0"/>
          <w:sz w:val="22"/>
          <w:u w:val="single"/>
        </w:rPr>
        <w:t>Fase Interna versus Fase Externa da TCE</w:t>
      </w:r>
    </w:p>
    <w:p>
      <w:pPr>
        <w:spacing w:line="276" w:lineRule="auto" w:before="20" w:after="40"/>
        <w:ind w:left="425"/>
      </w:pPr>
      <w:r>
        <w:rPr>
          <w:rFonts w:ascii="Arial" w:hAnsi="Arial"/>
          <w:b/>
          <w:color w:val="1B365D"/>
          <w:sz w:val="22"/>
        </w:rPr>
        <w:t xml:space="preserve">3. </w:t>
      </w:r>
      <w:r>
        <w:rPr>
          <w:rFonts w:ascii="Arial" w:hAnsi="Arial"/>
          <w:color w:val="2B6CB0"/>
          <w:sz w:val="22"/>
          <w:u w:val="single"/>
        </w:rPr>
        <w:t>Comunicações Processuais: Citação versus Audiência</w:t>
      </w:r>
    </w:p>
    <w:p>
      <w:pPr>
        <w:spacing w:line="276" w:lineRule="auto" w:before="20" w:after="40"/>
        <w:ind w:left="425"/>
      </w:pPr>
      <w:r>
        <w:rPr>
          <w:rFonts w:ascii="Arial" w:hAnsi="Arial"/>
          <w:b/>
          <w:color w:val="1B365D"/>
          <w:sz w:val="22"/>
        </w:rPr>
        <w:t xml:space="preserve">4. </w:t>
      </w:r>
      <w:r>
        <w:rPr>
          <w:rFonts w:ascii="Arial" w:hAnsi="Arial"/>
          <w:color w:val="2B6CB0"/>
          <w:sz w:val="22"/>
          <w:u w:val="single"/>
        </w:rPr>
        <w:t>Julgamento das Contas de Gestão dos Administradores Públicos</w:t>
      </w:r>
    </w:p>
    <w:p>
      <w:pPr>
        <w:spacing w:line="276" w:lineRule="auto" w:before="20" w:after="40"/>
        <w:ind w:left="425"/>
      </w:pPr>
      <w:r>
        <w:rPr>
          <w:rFonts w:ascii="Arial" w:hAnsi="Arial"/>
          <w:b/>
          <w:color w:val="1B365D"/>
          <w:sz w:val="22"/>
        </w:rPr>
        <w:t xml:space="preserve">5. </w:t>
      </w:r>
      <w:r>
        <w:rPr>
          <w:rFonts w:ascii="Arial" w:hAnsi="Arial"/>
          <w:color w:val="2B6CB0"/>
          <w:sz w:val="22"/>
          <w:u w:val="single"/>
        </w:rPr>
        <w:t>Sistema Recursal no Processo de Controle Externo</w:t>
      </w:r>
    </w:p>
    <w:p>
      <w:pPr>
        <w:spacing w:line="276" w:lineRule="auto" w:before="20" w:after="40"/>
        <w:ind w:left="425"/>
      </w:pPr>
      <w:r>
        <w:rPr>
          <w:rFonts w:ascii="Arial" w:hAnsi="Arial"/>
          <w:b/>
          <w:color w:val="1B365D"/>
          <w:sz w:val="22"/>
        </w:rPr>
        <w:t xml:space="preserve">6. </w:t>
      </w:r>
      <w:r>
        <w:rPr>
          <w:rFonts w:ascii="Arial" w:hAnsi="Arial"/>
          <w:color w:val="2B6CB0"/>
          <w:sz w:val="22"/>
          <w:u w:val="single"/>
        </w:rPr>
        <w:t>Regime Sancionatório e Reflexos Eleitorais (Lei da Ficha Limpa)</w:t>
      </w:r>
    </w:p>
    <w:p>
      <w:pPr>
        <w:spacing w:line="276" w:lineRule="auto" w:before="20" w:after="40"/>
        <w:ind w:left="425"/>
      </w:pPr>
      <w:r>
        <w:rPr>
          <w:rFonts w:ascii="Arial" w:hAnsi="Arial"/>
          <w:b/>
          <w:color w:val="1B365D"/>
          <w:sz w:val="22"/>
        </w:rPr>
        <w:t xml:space="preserve">7. </w:t>
      </w:r>
      <w:r>
        <w:rPr>
          <w:rFonts w:ascii="Arial" w:hAnsi="Arial"/>
          <w:color w:val="2B6CB0"/>
          <w:sz w:val="22"/>
          <w:u w:val="single"/>
        </w:rPr>
        <w:t>Prescrição nos Tribunais de Contas: O Marco do STF (Tema 899)</w:t>
      </w:r>
    </w:p>
    <w:p>
      <w:pPr>
        <w:spacing w:line="276" w:lineRule="auto" w:before="20" w:after="40"/>
        <w:ind w:left="425"/>
      </w:pPr>
      <w:r>
        <w:rPr>
          <w:rFonts w:ascii="Arial" w:hAnsi="Arial"/>
          <w:b/>
          <w:color w:val="1B365D"/>
          <w:sz w:val="22"/>
        </w:rPr>
        <w:t xml:space="preserve">8. </w:t>
      </w:r>
      <w:r>
        <w:rPr>
          <w:rFonts w:ascii="Arial" w:hAnsi="Arial"/>
          <w:color w:val="2B6CB0"/>
          <w:sz w:val="22"/>
          <w:u w:val="single"/>
        </w:rPr>
        <w:t>Fontes Oficiais &amp; Jurisprudenciais Recomendadas</w:t>
      </w:r>
    </w:p>
    <w:p>
      <w:pPr>
        <w:spacing w:line="276" w:lineRule="auto" w:before="20" w:after="40"/>
        <w:ind w:left="425"/>
      </w:pPr>
      <w:r>
        <w:rPr>
          <w:rFonts w:ascii="Arial" w:hAnsi="Arial"/>
          <w:b/>
          <w:color w:val="1B365D"/>
          <w:sz w:val="22"/>
        </w:rPr>
        <w:t xml:space="preserve">9. </w:t>
      </w:r>
      <w:r>
        <w:rPr>
          <w:rFonts w:ascii="Arial" w:hAnsi="Arial"/>
          <w:color w:val="2B6CB0"/>
          <w:sz w:val="22"/>
          <w:u w:val="single"/>
        </w:rPr>
        <w:t>Questões Comentadas no Padrão FCC (Justificadas de A a E)</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Comunicação dos Resultados e Deliberações do Tribunal</w:t>
      </w:r>
    </w:p>
    <w:p>
      <w:pPr>
        <w:keepNext/>
        <w:spacing w:before="120" w:after="40"/>
      </w:pPr>
      <w:r>
        <w:rPr>
          <w:rFonts w:ascii="Arial" w:hAnsi="Arial"/>
          <w:b/>
          <w:i/>
          <w:color w:val="334155"/>
          <w:sz w:val="22"/>
        </w:rPr>
        <w:t>1.1 Atributos do Relatório de Auditoria</w:t>
      </w:r>
    </w:p>
    <w:p>
      <w:pPr>
        <w:spacing w:line="360" w:lineRule="auto" w:before="0" w:after="80"/>
        <w:jc w:val="both"/>
      </w:pPr>
      <w:r>
        <w:rPr>
          <w:rFonts w:ascii="Arial" w:hAnsi="Arial"/>
          <w:b w:val="0"/>
          <w:i w:val="0"/>
          <w:color w:val="111827"/>
          <w:sz w:val="24"/>
        </w:rPr>
        <w:t>A comunicação dos resultados dos trabalhos de auditoria e fiscalização deve atender aos seguintes atributos de qualidade estabelecidos na NBASP 100: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Clareza:</w:t>
      </w:r>
      <w:r>
        <w:rPr>
          <w:rFonts w:ascii="Arial" w:hAnsi="Arial"/>
          <w:b w:val="0"/>
          <w:i w:val="0"/>
          <w:color w:val="111827"/>
          <w:sz w:val="22"/>
        </w:rPr>
        <w:t xml:space="preserve"> Linguagem acessível, técnica e compreensível para os leitores e cidadãos;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Concisão:</w:t>
      </w:r>
      <w:r>
        <w:rPr>
          <w:rFonts w:ascii="Arial" w:hAnsi="Arial"/>
          <w:b w:val="0"/>
          <w:i w:val="0"/>
          <w:color w:val="111827"/>
          <w:sz w:val="22"/>
        </w:rPr>
        <w:t xml:space="preserve"> Foco direto no que é materialmente relevante, sem prolixidade inútil;</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Precisão:</w:t>
      </w:r>
      <w:r>
        <w:rPr>
          <w:rFonts w:ascii="Arial" w:hAnsi="Arial"/>
          <w:b w:val="0"/>
          <w:i w:val="0"/>
          <w:color w:val="111827"/>
          <w:sz w:val="22"/>
        </w:rPr>
        <w:t xml:space="preserve"> Informações exatas, lastreadas em evidências idôneas e documentação incontestável;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Objetividade:</w:t>
      </w:r>
      <w:r>
        <w:rPr>
          <w:rFonts w:ascii="Arial" w:hAnsi="Arial"/>
          <w:b w:val="0"/>
          <w:i w:val="0"/>
          <w:color w:val="111827"/>
          <w:sz w:val="22"/>
        </w:rPr>
        <w:t xml:space="preserve"> Neutralidade, ausência de juízos emocionais e equilíbrio na ponderação dos argumentos do auditado;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Completude:</w:t>
      </w:r>
      <w:r>
        <w:rPr>
          <w:rFonts w:ascii="Arial" w:hAnsi="Arial"/>
          <w:b w:val="0"/>
          <w:i w:val="0"/>
          <w:color w:val="111827"/>
          <w:sz w:val="22"/>
        </w:rPr>
        <w:t xml:space="preserve"> Inclusão de todos os dados necessários para o perfeito entendimento do fato e formulação do juízo de mérito;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Tempestividade:</w:t>
      </w:r>
      <w:r>
        <w:rPr>
          <w:rFonts w:ascii="Arial" w:hAnsi="Arial"/>
          <w:b w:val="0"/>
          <w:i w:val="0"/>
          <w:color w:val="111827"/>
          <w:sz w:val="22"/>
        </w:rPr>
        <w:t xml:space="preserve"> Emissão do relatório no momento oportuno, em tempo hábil para evitar o perecimento do direito ou o agravamento do dano.</w:t>
      </w:r>
    </w:p>
    <w:p>
      <w:pPr>
        <w:keepNext/>
        <w:spacing w:before="120" w:after="40"/>
      </w:pPr>
      <w:r>
        <w:rPr>
          <w:rFonts w:ascii="Arial" w:hAnsi="Arial"/>
          <w:b/>
          <w:i/>
          <w:color w:val="334155"/>
          <w:sz w:val="22"/>
        </w:rPr>
        <w:t>1.2 Espécies de Deliberações: Determinações versus Recomendações</w:t>
      </w:r>
    </w:p>
    <w:p>
      <w:pPr>
        <w:spacing w:line="360" w:lineRule="auto" w:before="0" w:after="80"/>
        <w:jc w:val="both"/>
      </w:pPr>
      <w:r>
        <w:rPr>
          <w:rFonts w:ascii="Arial" w:hAnsi="Arial"/>
          <w:b w:val="0"/>
          <w:i w:val="0"/>
          <w:color w:val="111827"/>
          <w:sz w:val="24"/>
        </w:rPr>
        <w:t>As deliberações do Tribunal de Contas proferidas no julgamento de relatórios de auditoria e processos de fiscalização dividem-se em duas categorias fundamentais: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Determinações:</w:t>
      </w:r>
      <w:r>
        <w:rPr>
          <w:rFonts w:ascii="Arial" w:hAnsi="Arial"/>
          <w:b w:val="0"/>
          <w:i w:val="0"/>
          <w:color w:val="111827"/>
          <w:sz w:val="22"/>
        </w:rPr>
        <w:t xml:space="preserve"> Provimentos mandamentais vinculantes que impõem à autoridade administrativa a obrigação jurídica de fazer ou deixar de fazer algo para sanar ilegalidade, anular ato viciado ou adequar condutas ao ordenamento jurídico. O descumprimento injustificado de determinação enseja a aplicação de multa ao gestor reincidente e julgamento de contas irregulares.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Recomendações:</w:t>
      </w:r>
      <w:r>
        <w:rPr>
          <w:rFonts w:ascii="Arial" w:hAnsi="Arial"/>
          <w:b w:val="0"/>
          <w:i w:val="0"/>
          <w:color w:val="111827"/>
          <w:sz w:val="22"/>
        </w:rPr>
        <w:t xml:space="preserve"> Provimentos pedagógicos e propositivos destinados a orientar o gestor sobre oportunidades de melhoria de desempenho, aprimoramento de rotinas gerenciais e governança pública, no campo da discricionariedade administrativa. Não possuem caráter sancionatório direto imediato.</w:t>
      </w:r>
    </w:p>
    <w:p>
      <w:pPr>
        <w:keepNext/>
        <w:spacing w:before="200" w:after="80"/>
      </w:pPr>
      <w:r>
        <w:rPr>
          <w:rFonts w:ascii="Arial" w:hAnsi="Arial"/>
          <w:b/>
          <w:i w:val="0"/>
          <w:color w:val="2B6CB0"/>
          <w:sz w:val="24"/>
        </w:rPr>
        <w:t>2. Tomada de Contas Especial (TCE): Rito e Pressupostos</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Tomada de Contas Especial (TCE)</w:t>
      </w:r>
      <w:r>
        <w:rPr>
          <w:rFonts w:ascii="Arial" w:hAnsi="Arial"/>
          <w:b w:val="0"/>
          <w:i w:val="0"/>
          <w:color w:val="111827"/>
          <w:sz w:val="24"/>
        </w:rPr>
        <w:t xml:space="preserve"> é um processo administrativo de caráter </w:t>
      </w:r>
      <w:r>
        <w:rPr>
          <w:rFonts w:ascii="Arial" w:hAnsi="Arial"/>
          <w:b/>
          <w:i w:val="0"/>
          <w:color w:val="111827"/>
          <w:sz w:val="24"/>
        </w:rPr>
        <w:t>excepcional</w:t>
      </w:r>
      <w:r>
        <w:rPr>
          <w:rFonts w:ascii="Arial" w:hAnsi="Arial"/>
          <w:b w:val="0"/>
          <w:i w:val="0"/>
          <w:color w:val="111827"/>
          <w:sz w:val="24"/>
        </w:rPr>
        <w:t>, instaurado com rito próprio para apurar fatos lesivos, identificar responsáveis, quantificar o prejuízo e obter a recomposição do erário.</w:t>
      </w:r>
    </w:p>
    <w:p>
      <w:pPr>
        <w:spacing w:after="120"/>
      </w:pPr>
    </w:p>
    <w:p>
      <w:pPr>
        <w:keepNext/>
        <w:spacing w:before="120" w:after="40"/>
      </w:pPr>
      <w:r>
        <w:rPr>
          <w:rFonts w:ascii="Arial" w:hAnsi="Arial"/>
          <w:b/>
          <w:i/>
          <w:color w:val="334155"/>
          <w:sz w:val="22"/>
        </w:rPr>
        <w:t>2.1 Natureza Jurídica e Pressupostos de Instauração Obrigatória</w:t>
      </w:r>
    </w:p>
    <w:p>
      <w:pPr>
        <w:spacing w:line="360" w:lineRule="auto" w:before="0" w:after="80"/>
        <w:jc w:val="both"/>
      </w:pPr>
      <w:r>
        <w:rPr>
          <w:rFonts w:ascii="Arial" w:hAnsi="Arial"/>
          <w:b w:val="0"/>
          <w:i w:val="0"/>
          <w:color w:val="111827"/>
          <w:sz w:val="24"/>
        </w:rPr>
        <w:t>Para a instauração e prosseguimento regular de uma TCE, exige-se o preenchimento cumulativo de quatro pressupostos: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Ocorrência do Dano ou Omissão:</w:t>
      </w:r>
      <w:r>
        <w:rPr>
          <w:rFonts w:ascii="Arial" w:hAnsi="Arial"/>
          <w:b w:val="0"/>
          <w:i w:val="0"/>
          <w:color w:val="111827"/>
          <w:sz w:val="22"/>
        </w:rPr>
        <w:t xml:space="preserve"> Caracterização de desfalque, desvio, ato de gestão ilegal/ilegítimo ou omissão no dever de prestar contas;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Esgotamento das Vias Internas:</w:t>
      </w:r>
      <w:r>
        <w:rPr>
          <w:rFonts w:ascii="Arial" w:hAnsi="Arial"/>
          <w:b w:val="0"/>
          <w:i w:val="0"/>
          <w:color w:val="111827"/>
          <w:sz w:val="22"/>
        </w:rPr>
        <w:t xml:space="preserve"> Demonstração de que a administração tentou obter o ressarcimento voluntário sem sucesso;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Limite de Alçada:</w:t>
      </w:r>
      <w:r>
        <w:rPr>
          <w:rFonts w:ascii="Arial" w:hAnsi="Arial"/>
          <w:b w:val="0"/>
          <w:i w:val="0"/>
          <w:color w:val="111827"/>
          <w:sz w:val="22"/>
        </w:rPr>
        <w:t xml:space="preserve"> O valor histórico atualizado do dano deve ser </w:t>
      </w:r>
      <w:r>
        <w:rPr>
          <w:rFonts w:ascii="Arial" w:hAnsi="Arial"/>
          <w:b/>
          <w:i w:val="0"/>
          <w:color w:val="111827"/>
          <w:sz w:val="22"/>
        </w:rPr>
        <w:t>igual ou superior ao limite mínimo de alçada</w:t>
      </w:r>
      <w:r>
        <w:rPr>
          <w:rFonts w:ascii="Arial" w:hAnsi="Arial"/>
          <w:b w:val="0"/>
          <w:i w:val="0"/>
          <w:color w:val="111827"/>
          <w:sz w:val="22"/>
        </w:rPr>
        <w:t xml:space="preserve"> fixado anualmente pelo Tribunal de Contas (evita que o custo operacional do controle supere o montante a recuperar);</w:t>
      </w:r>
    </w:p>
    <w:p>
      <w:pPr>
        <w:spacing w:line="276" w:lineRule="auto" w:before="20" w:after="40"/>
        <w:ind w:left="425"/>
      </w:pPr>
      <w:r>
        <w:rPr>
          <w:rFonts w:ascii="Arial" w:hAnsi="Arial"/>
          <w:b/>
          <w:color w:val="1B365D"/>
          <w:sz w:val="22"/>
        </w:rPr>
        <w:t xml:space="preserve">4. </w:t>
      </w:r>
      <w:r>
        <w:rPr>
          <w:rFonts w:ascii="Arial" w:hAnsi="Arial"/>
          <w:b/>
          <w:i w:val="0"/>
          <w:color w:val="111827"/>
          <w:sz w:val="22"/>
        </w:rPr>
        <w:t>Tempestividade (Regra dos 10 anos):</w:t>
      </w:r>
      <w:r>
        <w:rPr>
          <w:rFonts w:ascii="Arial" w:hAnsi="Arial"/>
          <w:b w:val="0"/>
          <w:i w:val="0"/>
          <w:color w:val="111827"/>
          <w:sz w:val="22"/>
        </w:rPr>
        <w:t xml:space="preserve"> Não deve ter decorrido prazo superior a </w:t>
      </w:r>
      <w:r>
        <w:rPr>
          <w:rFonts w:ascii="Arial" w:hAnsi="Arial"/>
          <w:b/>
          <w:i w:val="0"/>
          <w:color w:val="111827"/>
          <w:sz w:val="22"/>
        </w:rPr>
        <w:t>dez (10) anos</w:t>
      </w:r>
      <w:r>
        <w:rPr>
          <w:rFonts w:ascii="Arial" w:hAnsi="Arial"/>
          <w:b w:val="0"/>
          <w:i w:val="0"/>
          <w:color w:val="111827"/>
          <w:sz w:val="22"/>
        </w:rPr>
        <w:t xml:space="preserve"> entre a data originária do fato e a primeira notificação válida do responsável pela administração. Se decorridos mais de 10 anos sem notificação, a TCE é arquivada por comprometimento insanável da ampla defesa e do contraditório.</w:t>
      </w:r>
    </w:p>
    <w:p>
      <w:pPr>
        <w:keepNext/>
        <w:spacing w:before="120" w:after="40"/>
      </w:pPr>
      <w:r>
        <w:rPr>
          <w:rFonts w:ascii="Arial" w:hAnsi="Arial"/>
          <w:b/>
          <w:i/>
          <w:color w:val="334155"/>
          <w:sz w:val="22"/>
        </w:rPr>
        <w:t>2.2 Fase Interna versus Fase Externa da TCE</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Fase Interna (no órgão público de origem):</w:t>
      </w:r>
      <w:r>
        <w:rPr>
          <w:rFonts w:ascii="Arial" w:hAnsi="Arial"/>
          <w:b w:val="0"/>
          <w:i w:val="0"/>
          <w:color w:val="111827"/>
          <w:sz w:val="22"/>
        </w:rPr>
        <w:t xml:space="preserve"> Conduzida por comissão tomadora de contas no órgão lesado; localiza documentos, notifica o gestor para recolhimento amigável, elabora o Relatório do Tomador de Contas, recebe o Certificado de Auditoria do Controle Interno e o pronunciamento do Secretário de Estado supervisor da pasta.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Fase Externa (no Tribunal de Contas):</w:t>
      </w:r>
      <w:r>
        <w:rPr>
          <w:rFonts w:ascii="Arial" w:hAnsi="Arial"/>
          <w:b w:val="0"/>
          <w:i w:val="0"/>
          <w:color w:val="111827"/>
          <w:sz w:val="22"/>
        </w:rPr>
        <w:t xml:space="preserve"> Tem início com o ingresso formal do processo no Tribunal de Contas; são autuados os autos, realizada a instrução pela unidade técnica de fiscalização, aberta a citação do responsável para recolher o valor ou contestar, emitido parecer conclusivo do Ministério Público de Contas e realizado o julgamento definitivo pelo Plenário ou Câmara.</w:t>
      </w:r>
    </w:p>
    <w:p>
      <w:pPr>
        <w:keepNext/>
        <w:spacing w:before="200" w:after="80"/>
      </w:pPr>
      <w:r>
        <w:rPr>
          <w:rFonts w:ascii="Arial" w:hAnsi="Arial"/>
          <w:b/>
          <w:i w:val="0"/>
          <w:color w:val="2B6CB0"/>
          <w:sz w:val="24"/>
        </w:rPr>
        <w:t>3. Comunicações Processuais: Citação versus Audiência</w:t>
      </w:r>
    </w:p>
    <w:p>
      <w:pPr>
        <w:spacing w:line="360" w:lineRule="auto" w:before="0" w:after="80"/>
        <w:jc w:val="both"/>
      </w:pPr>
      <w:r>
        <w:rPr>
          <w:rFonts w:ascii="Arial" w:hAnsi="Arial"/>
          <w:b w:val="0"/>
          <w:i w:val="0"/>
          <w:color w:val="111827"/>
          <w:sz w:val="24"/>
        </w:rPr>
        <w:t>Nos processos em trâmite nos Tribunais de Contas, a intimação para defesa adota duas formas distintas conforme o conteúdo da imputação:</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Citação:</w:t>
      </w:r>
      <w:r>
        <w:rPr>
          <w:rFonts w:ascii="Arial" w:hAnsi="Arial"/>
          <w:b w:val="0"/>
          <w:i w:val="0"/>
          <w:color w:val="111827"/>
          <w:sz w:val="22"/>
        </w:rPr>
        <w:t xml:space="preserve"> Instrumento formal cabível quando há imputação de </w:t>
      </w:r>
      <w:r>
        <w:rPr>
          <w:rFonts w:ascii="Arial" w:hAnsi="Arial"/>
          <w:b/>
          <w:i w:val="0"/>
          <w:color w:val="111827"/>
          <w:sz w:val="22"/>
        </w:rPr>
        <w:t>débito patrimonial</w:t>
      </w:r>
      <w:r>
        <w:rPr>
          <w:rFonts w:ascii="Arial" w:hAnsi="Arial"/>
          <w:b w:val="0"/>
          <w:i w:val="0"/>
          <w:color w:val="111827"/>
          <w:sz w:val="22"/>
        </w:rPr>
        <w:t xml:space="preserve">. O responsável é intimado para recolher a importância devida acrescida de encargos ou apresentar </w:t>
      </w:r>
      <w:r>
        <w:rPr>
          <w:rFonts w:ascii="Arial" w:hAnsi="Arial"/>
          <w:b/>
          <w:i w:val="0"/>
          <w:color w:val="111827"/>
          <w:sz w:val="22"/>
        </w:rPr>
        <w:t>alegações de defesa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Audiência:</w:t>
      </w:r>
      <w:r>
        <w:rPr>
          <w:rFonts w:ascii="Arial" w:hAnsi="Arial"/>
          <w:b w:val="0"/>
          <w:i w:val="0"/>
          <w:color w:val="111827"/>
          <w:sz w:val="22"/>
        </w:rPr>
        <w:t xml:space="preserve"> Instrumento formal cabível quando não há imputação de débito, mas sim </w:t>
      </w:r>
      <w:r>
        <w:rPr>
          <w:rFonts w:ascii="Arial" w:hAnsi="Arial"/>
          <w:b/>
          <w:i w:val="0"/>
          <w:color w:val="111827"/>
          <w:sz w:val="22"/>
        </w:rPr>
        <w:t>irregularidade ou infração grave a norma legal/regulamentar</w:t>
      </w:r>
      <w:r>
        <w:rPr>
          <w:rFonts w:ascii="Arial" w:hAnsi="Arial"/>
          <w:b w:val="0"/>
          <w:i w:val="0"/>
          <w:color w:val="111827"/>
          <w:sz w:val="22"/>
        </w:rPr>
        <w:t xml:space="preserve">, ou descumprimento de diligência. O responsável é intimado para apresentar </w:t>
      </w:r>
      <w:r>
        <w:rPr>
          <w:rFonts w:ascii="Arial" w:hAnsi="Arial"/>
          <w:b/>
          <w:i w:val="0"/>
          <w:color w:val="111827"/>
          <w:sz w:val="22"/>
        </w:rPr>
        <w:t>razões de justificativa</w:t>
      </w:r>
      <w:r>
        <w:rPr>
          <w:rFonts w:ascii="Arial" w:hAnsi="Arial"/>
          <w:b w:val="0"/>
          <w:i w:val="0"/>
          <w:color w:val="111827"/>
          <w:sz w:val="22"/>
        </w:rPr>
        <w:t>, sujeitando-se à aplicação de multa pecuniária.</w:t>
      </w:r>
    </w:p>
    <w:p>
      <w:pPr>
        <w:keepNext/>
        <w:spacing w:before="200" w:after="80"/>
      </w:pPr>
      <w:r>
        <w:rPr>
          <w:rFonts w:ascii="Arial" w:hAnsi="Arial"/>
          <w:b/>
          <w:i w:val="0"/>
          <w:color w:val="2B6CB0"/>
          <w:sz w:val="24"/>
        </w:rPr>
        <w:t>4. Julgamento das Contas de Gestão dos Administradores Públicos</w:t>
      </w:r>
    </w:p>
    <w:p>
      <w:pPr>
        <w:spacing w:line="360" w:lineRule="auto" w:before="0" w:after="80"/>
        <w:jc w:val="both"/>
      </w:pPr>
      <w:r>
        <w:rPr>
          <w:rFonts w:ascii="Arial" w:hAnsi="Arial"/>
          <w:b w:val="0"/>
          <w:i w:val="0"/>
          <w:color w:val="111827"/>
          <w:sz w:val="24"/>
        </w:rPr>
        <w:t>O Tribunal de Contas, ao julgar em caráter definitivo as contas dos ordenadores de despesas e gestores públicos (Art. 71, II da CF/88), manifestará um dos quatro julgamentos:</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Julgamento de Mérito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Hipóteses Constitucionais e Legais</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Desfecho / Efeitos Processuais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Regulares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Contas que expressam exatidão dos demonstrativos, legalidade, legitimidade e economicidade dos atos de gestão.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Quitação plena</w:t>
            </w:r>
            <w:r>
              <w:rPr>
                <w:rFonts w:ascii="Arial" w:hAnsi="Arial"/>
                <w:b w:val="0"/>
                <w:i w:val="0"/>
                <w:color w:val="111827"/>
                <w:sz w:val="19"/>
              </w:rPr>
              <w:t xml:space="preserve"> e irrestrita ao responsável.</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Regulares com Ressalva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Constatação de falhas meramente formais ou de ordem técnica das quais </w:t>
            </w:r>
            <w:r>
              <w:rPr>
                <w:rFonts w:ascii="Arial" w:hAnsi="Arial"/>
                <w:b/>
                <w:i w:val="0"/>
                <w:color w:val="111827"/>
                <w:sz w:val="19"/>
              </w:rPr>
              <w:t>não resulte dano ao erário</w:t>
            </w:r>
            <w:r>
              <w:rPr>
                <w:rFonts w:ascii="Arial" w:hAnsi="Arial"/>
                <w:b w:val="0"/>
                <w:i w:val="0"/>
                <w:color w:val="111827"/>
                <w:sz w:val="19"/>
              </w:rPr>
              <w:t xml:space="preserve"> nem grave infração à norma.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Quitação</w:t>
            </w:r>
            <w:r>
              <w:rPr>
                <w:rFonts w:ascii="Arial" w:hAnsi="Arial"/>
                <w:b w:val="0"/>
                <w:i w:val="0"/>
                <w:color w:val="111827"/>
                <w:sz w:val="19"/>
              </w:rPr>
              <w:t xml:space="preserve"> com expedição de determinações e recomendações para prevenir reincidência.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Irregulares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Omissão no dever de prestar contas;&lt;br&gt;b) Gestão ilegal, ilegítima ou antieconômica;&lt;br&gt;c) Grave infração a norma legal ou regulamentar;&lt;br&gt;d) Desfalque, desvio de bens ou dano injustificado ao erário.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Condenação em </w:t>
            </w:r>
            <w:r>
              <w:rPr>
                <w:rFonts w:ascii="Arial" w:hAnsi="Arial"/>
                <w:b/>
                <w:i w:val="0"/>
                <w:color w:val="111827"/>
                <w:sz w:val="19"/>
              </w:rPr>
              <w:t>débito</w:t>
            </w:r>
            <w:r>
              <w:rPr>
                <w:rFonts w:ascii="Arial" w:hAnsi="Arial"/>
                <w:b w:val="0"/>
                <w:i w:val="0"/>
                <w:color w:val="111827"/>
                <w:sz w:val="19"/>
              </w:rPr>
              <w:t xml:space="preserve">, aplicação de </w:t>
            </w:r>
            <w:r>
              <w:rPr>
                <w:rFonts w:ascii="Arial" w:hAnsi="Arial"/>
                <w:b/>
                <w:i w:val="0"/>
                <w:color w:val="111827"/>
                <w:sz w:val="19"/>
              </w:rPr>
              <w:t>multa</w:t>
            </w:r>
            <w:r>
              <w:rPr>
                <w:rFonts w:ascii="Arial" w:hAnsi="Arial"/>
                <w:b w:val="0"/>
                <w:i w:val="0"/>
                <w:color w:val="111827"/>
                <w:sz w:val="19"/>
              </w:rPr>
              <w:t>, inabilitação temporária para cargos públicos e inclusão na lista da Justiça Eleitoral (</w:t>
            </w:r>
            <w:r>
              <w:rPr>
                <w:rFonts w:ascii="Arial" w:hAnsi="Arial"/>
                <w:b/>
                <w:i w:val="0"/>
                <w:color w:val="111827"/>
                <w:sz w:val="19"/>
              </w:rPr>
              <w:t>inelegibilidade por 8 anos</w:t>
            </w:r>
            <w:r>
              <w:rPr>
                <w:rFonts w:ascii="Arial" w:hAnsi="Arial"/>
                <w:b w:val="0"/>
                <w:i w:val="0"/>
                <w:color w:val="111827"/>
                <w:sz w:val="19"/>
              </w:rPr>
              <w:t xml:space="preserve"> pela LC 64/90).</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Iliquidáveis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Caso fortuito ou força maior comprovadamente alheio à vontade do gestor que impeça materialmente o julgamento de mérito (ex.: incêndio ou inundação que destrua acervo documental).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Trancamento das contas</w:t>
            </w:r>
            <w:r>
              <w:rPr>
                <w:rFonts w:ascii="Arial" w:hAnsi="Arial"/>
                <w:b w:val="0"/>
                <w:i w:val="0"/>
                <w:color w:val="111827"/>
                <w:sz w:val="19"/>
              </w:rPr>
              <w:t xml:space="preserve"> e arquivamento do processo. (Se surgirem novos elementos no prazo de 5 anos, o processo pode ser reaberto).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omissão no dever de prestar contas </w:t>
            </w:r>
            <w:r>
              <w:rPr>
                <w:rFonts w:ascii="Arial" w:hAnsi="Arial"/>
                <w:b/>
                <w:i w:val="0"/>
                <w:color w:val="111827"/>
                <w:sz w:val="21"/>
              </w:rPr>
              <w:t>NÃO torna as contas iliquidáveis</w:t>
            </w:r>
            <w:r>
              <w:rPr>
                <w:rFonts w:ascii="Arial" w:hAnsi="Arial"/>
                <w:b w:val="0"/>
                <w:i w:val="0"/>
                <w:color w:val="111827"/>
                <w:sz w:val="21"/>
              </w:rPr>
              <w:t xml:space="preserve">! Omissão no dever de prestar contas acarreta o julgamento de </w:t>
            </w:r>
            <w:r>
              <w:rPr>
                <w:rFonts w:ascii="Arial" w:hAnsi="Arial"/>
                <w:b/>
                <w:i w:val="0"/>
                <w:color w:val="111827"/>
                <w:sz w:val="21"/>
              </w:rPr>
              <w:t>contas IRREGULARES</w:t>
            </w:r>
            <w:r>
              <w:rPr>
                <w:rFonts w:ascii="Arial" w:hAnsi="Arial"/>
                <w:b w:val="0"/>
                <w:i w:val="0"/>
                <w:color w:val="111827"/>
                <w:sz w:val="21"/>
              </w:rPr>
              <w:t>, com presunção de débito e aplicação de multa ao gestor omisso. Contas iliquidáveis exigem comprovação de motivo de força maior absolutamente inimputável ao agente.</w:t>
            </w:r>
          </w:p>
        </w:tc>
      </w:tr>
    </w:tbl>
    <w:p>
      <w:pPr>
        <w:spacing w:before="0" w:after="120"/>
      </w:pPr>
    </w:p>
    <w:p>
      <w:pPr>
        <w:keepNext/>
        <w:spacing w:before="200" w:after="80"/>
      </w:pPr>
      <w:r>
        <w:rPr>
          <w:rFonts w:ascii="Arial" w:hAnsi="Arial"/>
          <w:b/>
          <w:i w:val="0"/>
          <w:color w:val="2B6CB0"/>
          <w:sz w:val="24"/>
        </w:rPr>
        <w:t>5. Sistema Recursal no Processo de Controle Externo</w:t>
      </w:r>
    </w:p>
    <w:p>
      <w:pPr>
        <w:spacing w:line="360" w:lineRule="auto" w:before="0" w:after="80"/>
        <w:jc w:val="both"/>
      </w:pPr>
      <w:r>
        <w:rPr>
          <w:rFonts w:ascii="Arial" w:hAnsi="Arial"/>
          <w:b w:val="0"/>
          <w:i w:val="0"/>
          <w:color w:val="111827"/>
          <w:sz w:val="24"/>
        </w:rPr>
        <w:t>A legislação orgânica dos Tribunais de Contas (Lei nº 16.168/2007 do TCE-GO e Lei 8.443/92) prevê os seguintes recursos: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Recurso de Reconsideração:</w:t>
      </w:r>
      <w:r>
        <w:rPr>
          <w:rFonts w:ascii="Arial" w:hAnsi="Arial"/>
          <w:b w:val="0"/>
          <w:i w:val="0"/>
          <w:color w:val="111827"/>
          <w:sz w:val="22"/>
        </w:rPr>
        <w:t xml:space="preserve"> Cabível contra decisão definitiva proferida em </w:t>
      </w:r>
      <w:r>
        <w:rPr>
          <w:rFonts w:ascii="Arial" w:hAnsi="Arial"/>
          <w:b/>
          <w:i w:val="0"/>
          <w:color w:val="111827"/>
          <w:sz w:val="22"/>
        </w:rPr>
        <w:t>processo de contas</w:t>
      </w:r>
      <w:r>
        <w:rPr>
          <w:rFonts w:ascii="Arial" w:hAnsi="Arial"/>
          <w:b w:val="0"/>
          <w:i w:val="0"/>
          <w:color w:val="111827"/>
          <w:sz w:val="22"/>
        </w:rPr>
        <w:t xml:space="preserve"> (Prestação ou Tomada de Contas). Possui efeito suspensivo.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Pedido de Reexame:</w:t>
      </w:r>
      <w:r>
        <w:rPr>
          <w:rFonts w:ascii="Arial" w:hAnsi="Arial"/>
          <w:b w:val="0"/>
          <w:i w:val="0"/>
          <w:color w:val="111827"/>
          <w:sz w:val="22"/>
        </w:rPr>
        <w:t xml:space="preserve"> Cabível contra decisão de mérito em </w:t>
      </w:r>
      <w:r>
        <w:rPr>
          <w:rFonts w:ascii="Arial" w:hAnsi="Arial"/>
          <w:b/>
          <w:i w:val="0"/>
          <w:color w:val="111827"/>
          <w:sz w:val="22"/>
        </w:rPr>
        <w:t>processos de fiscalização</w:t>
      </w:r>
      <w:r>
        <w:rPr>
          <w:rFonts w:ascii="Arial" w:hAnsi="Arial"/>
          <w:b w:val="0"/>
          <w:i w:val="0"/>
          <w:color w:val="111827"/>
          <w:sz w:val="22"/>
        </w:rPr>
        <w:t xml:space="preserve"> (auditoria, inspeção, acompanhamento e denúncias/representações). Possui efeito suspensivo.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Recurso de Revisão:</w:t>
      </w:r>
      <w:r>
        <w:rPr>
          <w:rFonts w:ascii="Arial" w:hAnsi="Arial"/>
          <w:b w:val="0"/>
          <w:i w:val="0"/>
          <w:color w:val="111827"/>
          <w:sz w:val="22"/>
        </w:rPr>
        <w:t xml:space="preserve"> Assemelha-se a uma </w:t>
      </w:r>
      <w:r>
        <w:rPr>
          <w:rFonts w:ascii="Arial" w:hAnsi="Arial"/>
          <w:b/>
          <w:i w:val="0"/>
          <w:color w:val="111827"/>
          <w:sz w:val="22"/>
        </w:rPr>
        <w:t>ação rescisória</w:t>
      </w:r>
      <w:r>
        <w:rPr>
          <w:rFonts w:ascii="Arial" w:hAnsi="Arial"/>
          <w:b w:val="0"/>
          <w:i w:val="0"/>
          <w:color w:val="111827"/>
          <w:sz w:val="22"/>
        </w:rPr>
        <w:t xml:space="preserve">. Cabível uma única vez, no prazo decadencial de </w:t>
      </w:r>
      <w:r>
        <w:rPr>
          <w:rFonts w:ascii="Arial" w:hAnsi="Arial"/>
          <w:b/>
          <w:i w:val="0"/>
          <w:color w:val="111827"/>
          <w:sz w:val="22"/>
        </w:rPr>
        <w:t>cinco (5) anos</w:t>
      </w:r>
      <w:r>
        <w:rPr>
          <w:rFonts w:ascii="Arial" w:hAnsi="Arial"/>
          <w:b w:val="0"/>
          <w:i w:val="0"/>
          <w:color w:val="111827"/>
          <w:sz w:val="22"/>
        </w:rPr>
        <w:t xml:space="preserve"> do trânsito em julgado, com base em erro de cálculo, falsidade documental comprovada ou superveniência de documentos novos com eficácia probatória. Não tem efeito suspensivo.</w:t>
      </w:r>
    </w:p>
    <w:p>
      <w:pPr>
        <w:keepNext/>
        <w:spacing w:before="200" w:after="80"/>
      </w:pPr>
      <w:r>
        <w:rPr>
          <w:rFonts w:ascii="Arial" w:hAnsi="Arial"/>
          <w:b/>
          <w:i w:val="0"/>
          <w:color w:val="2B6CB0"/>
          <w:sz w:val="24"/>
        </w:rPr>
        <w:t>6. Regime Sancionatório e Reflexos Eleitorais (Lei da Ficha Limpa)</w:t>
      </w:r>
    </w:p>
    <w:p>
      <w:pPr>
        <w:spacing w:line="360" w:lineRule="auto" w:before="0" w:after="80"/>
        <w:jc w:val="both"/>
      </w:pPr>
      <w:r>
        <w:rPr>
          <w:rFonts w:ascii="Arial" w:hAnsi="Arial"/>
          <w:b w:val="0"/>
          <w:i w:val="0"/>
          <w:color w:val="111827"/>
          <w:sz w:val="24"/>
        </w:rPr>
        <w:t>As sanções administrativas dos Tribunais de Contas incluem:</w:t>
      </w:r>
    </w:p>
    <w:p>
      <w:pPr>
        <w:spacing w:line="276" w:lineRule="auto" w:before="20" w:after="40"/>
        <w:ind w:left="425"/>
      </w:pPr>
      <w:r>
        <w:rPr>
          <w:rFonts w:ascii="Arial" w:hAnsi="Arial"/>
          <w:b/>
          <w:color w:val="1B365D"/>
          <w:sz w:val="22"/>
        </w:rPr>
        <w:t xml:space="preserve">1. </w:t>
      </w:r>
      <w:r>
        <w:rPr>
          <w:rFonts w:ascii="Arial" w:hAnsi="Arial"/>
          <w:b/>
          <w:i w:val="0"/>
          <w:color w:val="111827"/>
          <w:sz w:val="22"/>
        </w:rPr>
        <w:t>Imputação de Débito:</w:t>
      </w:r>
      <w:r>
        <w:rPr>
          <w:rFonts w:ascii="Arial" w:hAnsi="Arial"/>
          <w:b w:val="0"/>
          <w:i w:val="0"/>
          <w:color w:val="111827"/>
          <w:sz w:val="22"/>
        </w:rPr>
        <w:t xml:space="preserve"> Condenação à devolução integral do valor do dano ou desvio, acrescido de correção monetária e juros de mora (constitui título executivo extrajudicial - art. 71, § 3º da CF);</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Multa Proporcional ao Dano:</w:t>
      </w:r>
      <w:r>
        <w:rPr>
          <w:rFonts w:ascii="Arial" w:hAnsi="Arial"/>
          <w:b w:val="0"/>
          <w:i w:val="0"/>
          <w:color w:val="111827"/>
          <w:sz w:val="22"/>
        </w:rPr>
        <w:t xml:space="preserve"> Aplicável nos casos de dano ao erário, no percentual de até 100% do valor atualizado do prejuízo;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Multa por Infração à Norma Legal:</w:t>
      </w:r>
      <w:r>
        <w:rPr>
          <w:rFonts w:ascii="Arial" w:hAnsi="Arial"/>
          <w:b w:val="0"/>
          <w:i w:val="0"/>
          <w:color w:val="111827"/>
          <w:sz w:val="22"/>
        </w:rPr>
        <w:t xml:space="preserve"> Penalidade cominada por grave infração a normas contábeis, financeiras, orçamentárias ou operacionais, independentemente da ocorrência de prejuízo monetário;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Inabilitação para Exercício de Cargo em Comissão:</w:t>
      </w:r>
      <w:r>
        <w:rPr>
          <w:rFonts w:ascii="Arial" w:hAnsi="Arial"/>
          <w:b w:val="0"/>
          <w:i w:val="0"/>
          <w:color w:val="111827"/>
          <w:sz w:val="22"/>
        </w:rPr>
        <w:t xml:space="preserve"> Penalidade de inabilitação temporária, por período de </w:t>
      </w:r>
      <w:r>
        <w:rPr>
          <w:rFonts w:ascii="Arial" w:hAnsi="Arial"/>
          <w:b/>
          <w:i w:val="0"/>
          <w:color w:val="111827"/>
          <w:sz w:val="22"/>
        </w:rPr>
        <w:t>até 5 anos</w:t>
      </w:r>
      <w:r>
        <w:rPr>
          <w:rFonts w:ascii="Arial" w:hAnsi="Arial"/>
          <w:b w:val="0"/>
          <w:i w:val="0"/>
          <w:color w:val="111827"/>
          <w:sz w:val="22"/>
        </w:rPr>
        <w:t>, para o exercício de cargo em comissão ou função de confiança na Administração Pública;</w:t>
      </w:r>
    </w:p>
    <w:p>
      <w:pPr>
        <w:spacing w:line="276" w:lineRule="auto" w:before="20" w:after="40"/>
        <w:ind w:left="425"/>
      </w:pPr>
      <w:r>
        <w:rPr>
          <w:rFonts w:ascii="Arial" w:hAnsi="Arial"/>
          <w:b/>
          <w:color w:val="1B365D"/>
          <w:sz w:val="22"/>
        </w:rPr>
        <w:t xml:space="preserve">5. </w:t>
      </w:r>
      <w:r>
        <w:rPr>
          <w:rFonts w:ascii="Arial" w:hAnsi="Arial"/>
          <w:b/>
          <w:i w:val="0"/>
          <w:color w:val="111827"/>
          <w:sz w:val="22"/>
        </w:rPr>
        <w:t>Declaração de Inidoneidade para Licitar e Contratar:</w:t>
      </w:r>
      <w:r>
        <w:rPr>
          <w:rFonts w:ascii="Arial" w:hAnsi="Arial"/>
          <w:b w:val="0"/>
          <w:i w:val="0"/>
          <w:color w:val="111827"/>
          <w:sz w:val="22"/>
        </w:rPr>
        <w:t xml:space="preserve"> Penalidade aplicada a licitantes e empresas que fraudarem licitações ou cometerem ilícitos graves, com eficácia de </w:t>
      </w:r>
      <w:r>
        <w:rPr>
          <w:rFonts w:ascii="Arial" w:hAnsi="Arial"/>
          <w:b/>
          <w:i w:val="0"/>
          <w:color w:val="111827"/>
          <w:sz w:val="22"/>
        </w:rPr>
        <w:t>até 5 anos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6. </w:t>
      </w:r>
      <w:r>
        <w:rPr>
          <w:rFonts w:ascii="Arial" w:hAnsi="Arial"/>
          <w:b/>
          <w:i w:val="0"/>
          <w:color w:val="111827"/>
          <w:sz w:val="22"/>
        </w:rPr>
        <w:t>Reflexos Eleitorais (Art. 1º, I, "g" da LC nº 64/90 - Lei da Ficha Limpa):</w:t>
      </w:r>
      <w:r>
        <w:rPr>
          <w:rFonts w:ascii="Arial" w:hAnsi="Arial"/>
          <w:b w:val="0"/>
          <w:i w:val="0"/>
          <w:color w:val="111827"/>
          <w:sz w:val="22"/>
        </w:rPr>
        <w:t xml:space="preserve"> São inelegíveis para qualquer cargo político os que tiverem suas contas relativas ao exercício de cargos ou funções públicas rejeitadas por </w:t>
      </w:r>
      <w:r>
        <w:rPr>
          <w:rFonts w:ascii="Arial" w:hAnsi="Arial"/>
          <w:b/>
          <w:i w:val="0"/>
          <w:color w:val="111827"/>
          <w:sz w:val="22"/>
        </w:rPr>
        <w:t>irregularidade insanável que configure ato doloso de improbidade administrativa</w:t>
      </w:r>
      <w:r>
        <w:rPr>
          <w:rFonts w:ascii="Arial" w:hAnsi="Arial"/>
          <w:b w:val="0"/>
          <w:i w:val="0"/>
          <w:color w:val="111827"/>
          <w:sz w:val="22"/>
        </w:rPr>
        <w:t xml:space="preserve">, por decisão irrecorrível do órgão competente, para as eleições que se realizarem nos </w:t>
      </w:r>
      <w:r>
        <w:rPr>
          <w:rFonts w:ascii="Arial" w:hAnsi="Arial"/>
          <w:b/>
          <w:i w:val="0"/>
          <w:color w:val="111827"/>
          <w:sz w:val="22"/>
        </w:rPr>
        <w:t>oito (8) anos seguintes</w:t>
      </w:r>
      <w:r>
        <w:rPr>
          <w:rFonts w:ascii="Arial" w:hAnsi="Arial"/>
          <w:b w:val="0"/>
          <w:i w:val="0"/>
          <w:color w:val="111827"/>
          <w:sz w:val="22"/>
        </w:rPr>
        <w:t>, salvo se suspensa ou anulada pelo Poder Judiciário.</w:t>
      </w:r>
    </w:p>
    <w:p>
      <w:pPr>
        <w:keepNext/>
        <w:spacing w:before="200" w:after="80"/>
      </w:pPr>
      <w:r>
        <w:rPr>
          <w:rFonts w:ascii="Arial" w:hAnsi="Arial"/>
          <w:b/>
          <w:i w:val="0"/>
          <w:color w:val="2B6CB0"/>
          <w:sz w:val="24"/>
        </w:rPr>
        <w:t>7. Prescrição nos Tribunais de Contas: O Marco do STF (Tema 899)</w:t>
      </w:r>
    </w:p>
    <w:p>
      <w:pPr>
        <w:spacing w:line="360" w:lineRule="auto" w:before="0" w:after="80"/>
        <w:jc w:val="both"/>
      </w:pPr>
      <w:r>
        <w:rPr>
          <w:rFonts w:ascii="Arial" w:hAnsi="Arial"/>
          <w:b w:val="0"/>
          <w:i w:val="0"/>
          <w:color w:val="111827"/>
          <w:sz w:val="24"/>
        </w:rPr>
        <w:t>A disciplina da prescrição nas ações perante os Tribunais de Contas é orientada pelas seguintes diretrizes: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Tema 899 do STF (RE 636.886):</w:t>
      </w:r>
      <w:r>
        <w:rPr>
          <w:rFonts w:ascii="Arial" w:hAnsi="Arial"/>
          <w:b w:val="0"/>
          <w:i w:val="0"/>
          <w:color w:val="111827"/>
          <w:sz w:val="22"/>
        </w:rPr>
        <w:t xml:space="preserve"> O Supremo Tribunal Federal pacificou que a pretensão de ressarcimento ao erário fundada em decisão de Tribunal de Contas é </w:t>
      </w:r>
      <w:r>
        <w:rPr>
          <w:rFonts w:ascii="Arial" w:hAnsi="Arial"/>
          <w:b/>
          <w:i w:val="0"/>
          <w:color w:val="111827"/>
          <w:sz w:val="22"/>
        </w:rPr>
        <w:t>prescritível</w:t>
      </w:r>
      <w:r>
        <w:rPr>
          <w:rFonts w:ascii="Arial" w:hAnsi="Arial"/>
          <w:b w:val="0"/>
          <w:i w:val="0"/>
          <w:color w:val="111827"/>
          <w:sz w:val="22"/>
        </w:rPr>
        <w:t xml:space="preserve">, aplicando-se o prazo </w:t>
      </w:r>
      <w:r>
        <w:rPr>
          <w:rFonts w:ascii="Arial" w:hAnsi="Arial"/>
          <w:b/>
          <w:i w:val="0"/>
          <w:color w:val="111827"/>
          <w:sz w:val="22"/>
        </w:rPr>
        <w:t>quinquenal (5 anos)</w:t>
      </w:r>
      <w:r>
        <w:rPr>
          <w:rFonts w:ascii="Arial" w:hAnsi="Arial"/>
          <w:b w:val="0"/>
          <w:i w:val="0"/>
          <w:color w:val="111827"/>
          <w:sz w:val="22"/>
        </w:rPr>
        <w:t xml:space="preserve"> do Decreto nº 20.910/1932 e da Lei nº 9.873/1999.</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Prescrição Principal:</w:t>
      </w:r>
      <w:r>
        <w:rPr>
          <w:rFonts w:ascii="Arial" w:hAnsi="Arial"/>
          <w:b w:val="0"/>
          <w:i w:val="0"/>
          <w:color w:val="111827"/>
          <w:sz w:val="22"/>
        </w:rPr>
        <w:t xml:space="preserve"> Prescrevem em </w:t>
      </w:r>
      <w:r>
        <w:rPr>
          <w:rFonts w:ascii="Arial" w:hAnsi="Arial"/>
          <w:b/>
          <w:i w:val="0"/>
          <w:color w:val="111827"/>
          <w:sz w:val="22"/>
        </w:rPr>
        <w:t>5 (cinco) anos</w:t>
      </w:r>
      <w:r>
        <w:rPr>
          <w:rFonts w:ascii="Arial" w:hAnsi="Arial"/>
          <w:b w:val="0"/>
          <w:i w:val="0"/>
          <w:color w:val="111827"/>
          <w:sz w:val="22"/>
        </w:rPr>
        <w:t xml:space="preserve"> a pretensão punitiva (aplicação de multas, inabilitação e inidoneidade) e a pretensão ressarcitória (imputação de débito) nos Tribunais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Prescrição Intercorrente:</w:t>
      </w:r>
      <w:r>
        <w:rPr>
          <w:rFonts w:ascii="Arial" w:hAnsi="Arial"/>
          <w:b w:val="0"/>
          <w:i w:val="0"/>
          <w:color w:val="111827"/>
          <w:sz w:val="22"/>
        </w:rPr>
        <w:t xml:space="preserve"> Opera-se a prescrição intercorrente no prazo de </w:t>
      </w:r>
      <w:r>
        <w:rPr>
          <w:rFonts w:ascii="Arial" w:hAnsi="Arial"/>
          <w:b/>
          <w:i w:val="0"/>
          <w:color w:val="111827"/>
          <w:sz w:val="22"/>
        </w:rPr>
        <w:t>3 (três) anos</w:t>
      </w:r>
      <w:r>
        <w:rPr>
          <w:rFonts w:ascii="Arial" w:hAnsi="Arial"/>
          <w:b w:val="0"/>
          <w:i w:val="0"/>
          <w:color w:val="111827"/>
          <w:sz w:val="22"/>
        </w:rPr>
        <w:t xml:space="preserve"> caso o processo administrativo fique paralisado, pendente de despacho ou instrução processual injustificada.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Marcos Interruptivos da Prescrição:</w:t>
      </w:r>
      <w:r>
        <w:rPr>
          <w:rFonts w:ascii="Arial" w:hAnsi="Arial"/>
          <w:b w:val="0"/>
          <w:i w:val="0"/>
          <w:color w:val="111827"/>
          <w:sz w:val="22"/>
        </w:rPr>
        <w:t xml:space="preserve"> Interrompem a contagem do prazo prescricional: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notificação ou citação do responsável para apresentar defesa;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Qualquer ato inequívoco de apuração do fato praticado pela autoridade competente;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decisão condenatória recorrível proferida pelo órgão colegiado.</w:t>
      </w:r>
    </w:p>
    <w:p>
      <w:pPr>
        <w:keepNext/>
        <w:spacing w:before="280" w:after="120"/>
      </w:pPr>
      <w:r>
        <w:rPr>
          <w:rFonts w:ascii="Arial" w:hAnsi="Arial"/>
          <w:b/>
          <w:i w:val="0"/>
          <w:color w:val="2C5282"/>
          <w:sz w:val="28"/>
        </w:rPr>
        <w:t>🌐 Fontes Oficiais &amp; Jurisprudenciais Recomendadas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Estadual nº 16.168/2007 (Lei Orgânica do TCE-GO)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Arts. 45 a 85 (Do processo de contas, recursos regimentais e regime de sanções).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Regimento Interno do TCE-GO (Resolução nº 22/2008)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Tramitação processual, prazos recursais e procedimentos de Tomada de Contas Especial.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Instrução Normativa TCU nº 71/2012</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Regulamenta a instauração e organização das Tomadas de Contas Especiais no setor público.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Tema 899 de Repercussão Geral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Tese vinculante sobre a prescritibilidade das ações de cobrança fundadas em títulos executivos dos TCs.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Complementar Federal nº 64/1990 (Lei das Inelegibilidades / Lei da Ficha Limpa)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 1º, inciso I, alínea "g" (inelegibilidade decorrente de rejeição de contas por irregularidade insanável).</w:t>
      </w:r>
    </w:p>
    <w:p>
      <w:pPr>
        <w:keepNext/>
        <w:spacing w:before="280" w:after="120"/>
      </w:pPr>
      <w:r>
        <w:rPr>
          <w:rFonts w:ascii="Arial" w:hAnsi="Arial"/>
          <w:b/>
          <w:i w:val="0"/>
          <w:color w:val="2C5282"/>
          <w:sz w:val="28"/>
        </w:rPr>
        <w:t>📝 Questões Comentadas no Padrão FCC (Justificadas de A a E)</w:t>
      </w:r>
    </w:p>
    <w:p>
      <w:pPr>
        <w:keepNext/>
        <w:spacing w:before="200" w:after="80"/>
      </w:pPr>
      <w:r>
        <w:rPr>
          <w:rFonts w:ascii="Arial" w:hAnsi="Arial"/>
          <w:b/>
          <w:i w:val="0"/>
          <w:color w:val="2B6CB0"/>
          <w:sz w:val="24"/>
        </w:rPr>
        <w:t>Questão 1 (FCC - Adaptada / TCE-PI - Auditor de Controle Externo)</w:t>
      </w:r>
    </w:p>
    <w:p>
      <w:pPr>
        <w:spacing w:line="360" w:lineRule="auto" w:before="0" w:after="80"/>
        <w:jc w:val="both"/>
      </w:pPr>
      <w:r>
        <w:rPr>
          <w:rFonts w:ascii="Arial" w:hAnsi="Arial"/>
          <w:b w:val="0"/>
          <w:i w:val="0"/>
          <w:color w:val="111827"/>
          <w:sz w:val="24"/>
        </w:rPr>
        <w:t>A respeito da Tomada de Contas Especial (TCE) perante o sistema constitucional e processual dos Tribunais de Contas,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Tomada de Contas Especial constitui procedimento ordinário de fiscalização anual a que se submetem compulsoriamente todos os dirigentes de autarquias estaduais ao término de cada exercício financeiro.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autoridade administrativa competente deve instaurar de imediato a TCE tão logo verifique qualquer indício de dano, sendo-lhe expressamente vedada a adoção de medidas administrativas internas prévias para obtenção do ressarcimento amigável.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instauração da TCE é medida excepcional de apuração de responsabilidades, que pressupõe o esgotamento prévio das providências administrativas internas para recomposição do erário e a demonstração cabal da ocorrência de prejuízo de valor superior ao limite de alçada legalmente fixado.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Caso o dano apurado decorra de desfalque praticado por particular sem vínculo estatutário com o poder público, o Tribunal de Contas não possui competência jurisdicional para julgar a respectiva TCE, devendo os autos ser remetidos com exclusividade à autoridade policial.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citação do responsável no bojo da Tomada de Contas Especial dispensa a individualização da conduta e a indicação do valor nominal do débito atribuído, bastando a descrição genérica do fato apurado pela comissão tomadora.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procedimento ordinário anual é a Prestação/Tomada de Contas Ordinária. A TCE é processo administrativo de caráter extraordinário e excepcional vocacionado a apurar dano ao erário e buscar reparação patrimonial.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autoridade administrativa deve, primeiramente, esgotar todas as providências administrativas internas no âmbito do próprio órgão para tentar reaver os valores amigavelmente antes de instaurar a TCE.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A TCE é instrumento de exceção. A sua regular deflagração exige simultaneamente: a) ocorrência de dano; b) esgotamento das vias administrativas prévias sem êxito; c) valor do dano superior ao limite de alçada normativo do Tribunal; e d) não transcurso de mais de dez anos entre o fato e a primeira notificação válida do agente.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art. 70, parágrafo único e o art. 71, II da CF/88 conferem competência ampla ao Tribunal de Contas para julgar particulares que derem causa a perda, extravio ou outra irregularidade de que resulte dano ao erário.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Para resguardar a ampla defesa e o contraditório, o mandado de citação deve obrigatoriamente delimitar o valor atualizado do débito, o período dos fatos e a conduta individualizada atribuída ao responsável.</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Adaptada / TCE-AM - Auditor de Controle Externo)</w:t>
      </w:r>
    </w:p>
    <w:p>
      <w:pPr>
        <w:spacing w:line="360" w:lineRule="auto" w:before="0" w:after="80"/>
        <w:jc w:val="both"/>
      </w:pPr>
      <w:r>
        <w:rPr>
          <w:rFonts w:ascii="Arial" w:hAnsi="Arial"/>
          <w:b w:val="0"/>
          <w:i w:val="0"/>
          <w:color w:val="111827"/>
          <w:sz w:val="24"/>
        </w:rPr>
        <w:t>Um Tribunal de Contas estadual, ao analisar o processo de prestação de contas de determinado dirigente de fundação pública estadual, constatou a ocorrência de grave infração a normas orçamentárias e regulamentares da Lei nº 4.320/1964 e da Lei de Responsabilidade Fiscal, todavia sem comprovação de desfalque ou locupletamento ilícito com dano patrimonial aos cofres públicos.</w:t>
      </w:r>
    </w:p>
    <w:p>
      <w:pPr>
        <w:spacing w:line="360" w:lineRule="auto" w:before="0" w:after="80"/>
        <w:jc w:val="both"/>
      </w:pPr>
      <w:r>
        <w:rPr>
          <w:rFonts w:ascii="Arial" w:hAnsi="Arial"/>
          <w:b w:val="0"/>
          <w:i w:val="0"/>
          <w:color w:val="111827"/>
          <w:sz w:val="24"/>
        </w:rPr>
        <w:t>Diante de tal quadro, à luz da legislação de regência e da jurisprudência consolidada, o Tribunal de Contas deverá:</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Considerar as contas iliquidáveis, determinando o trancamento do processo e seu arquivamento definitivo na Secretaria.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Julgar as contas irregulares, sendo cabível a aplicação de penalidade de multa por grave infração à norma legal, ainda que não subsista débito patrimonial a ser imputado.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Julgar as contas regulares com ressalva, haja vista que a ausência de prejuízo financeiro efetivo afasta a possibilidade de juízo terminativo de irregularidade.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Declarar extinta a punibilidade, reconhecendo a imprescritibilidade privativa do processo administrativo de contas públicas.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Deixar de julgar as contas e remeter os autos à Procuradoria-Geral do Estado para ajuizamento de ação de improbidade administrativa perante o Poder Judiciário.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Contas iliquidáveis decorrem de caso fortuito ou força maior comprovada (ex.: enchente destruindo arquivos) que impeça materialmente o julgamento.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Conforme o art. 71, II e VIII da CF/88 e a Lei Orgânica do TCE-GO (art. 59, III), as contas de gestão serão julgadas </w:t>
            </w:r>
            <w:r>
              <w:rPr>
                <w:rFonts w:ascii="Arial" w:hAnsi="Arial"/>
                <w:b/>
                <w:i w:val="0"/>
                <w:color w:val="111827"/>
                <w:sz w:val="21"/>
              </w:rPr>
              <w:t>irregulares</w:t>
            </w:r>
            <w:r>
              <w:rPr>
                <w:rFonts w:ascii="Arial" w:hAnsi="Arial"/>
                <w:b w:val="0"/>
                <w:i w:val="0"/>
                <w:color w:val="111827"/>
                <w:sz w:val="21"/>
              </w:rPr>
              <w:t xml:space="preserve"> quando comprovada a prática de grave infração a norma legal ou regulamentar de natureza contábil, financeira ou orçamentária, aplicando-se multa sancionatória ao gestor, mesmo na hipótese em que não tenha havido dano ao erário.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Grave infração a norma legal impede o juízo de regularidade com ressalva, o qual se reserva estritamente a falhas formais de menor relevância que não comprometam a legitimidade da gestão.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Pretensões punitivas do Tribunal de Contas prescrevem no prazo de cinco anos (Tema 899 do STF).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julgamento técnico das contas dos administradores de fundações públicas é competência constitucional privativa e irrenunciável do Tribunal de Contas (art. 71, II).</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Analista de Controle Externo)</w:t>
      </w:r>
    </w:p>
    <w:p>
      <w:pPr>
        <w:spacing w:line="360" w:lineRule="auto" w:before="0" w:after="80"/>
        <w:jc w:val="both"/>
      </w:pPr>
      <w:r>
        <w:rPr>
          <w:rFonts w:ascii="Arial" w:hAnsi="Arial"/>
          <w:b w:val="0"/>
          <w:i w:val="0"/>
          <w:color w:val="111827"/>
          <w:sz w:val="24"/>
        </w:rPr>
        <w:t>Em processo de controle externo instaurado no Tribunal de Contas para apurar irregularidades em contrato administrativo estadual, a equipe técnica concluiu que determinada cláusula editalícia violou a Lei de Licitações, porém sem constatação de sobrepreço ou superfaturamento nos pagamentos realizados à empreiteira.</w:t>
      </w:r>
    </w:p>
    <w:p>
      <w:pPr>
        <w:spacing w:line="360" w:lineRule="auto" w:before="0" w:after="80"/>
        <w:jc w:val="both"/>
      </w:pPr>
      <w:r>
        <w:rPr>
          <w:rFonts w:ascii="Arial" w:hAnsi="Arial"/>
          <w:b w:val="0"/>
          <w:i w:val="0"/>
          <w:color w:val="111827"/>
          <w:sz w:val="24"/>
        </w:rPr>
        <w:t>Para oportunizar a manifestação formal do gestor que subscreveu o edital impugnado, o ato de comunicação processual adequado a ser determinado pelo Relator é 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Citação, para recolhimento da multa fixada de plano em vinte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Audiência, para apresentação de razões de justificativa no prazo regimental.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Interpelação judicial perante a Vara da Fazenda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Notificação cartorária para confissão de dívida.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Citação por edital com prazo de cinco dias sob pena de revelia e prisão civil.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citação é reservada a processos em que há imputação de débito e pretensão de ressarcimento por dano ao erário.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w:t>
            </w:r>
            <w:r>
              <w:rPr>
                <w:rFonts w:ascii="Arial" w:hAnsi="Arial"/>
                <w:b/>
                <w:i w:val="0"/>
                <w:color w:val="111827"/>
                <w:sz w:val="21"/>
              </w:rPr>
              <w:t>Audiência</w:t>
            </w:r>
            <w:r>
              <w:rPr>
                <w:rFonts w:ascii="Arial" w:hAnsi="Arial"/>
                <w:b w:val="0"/>
                <w:i w:val="0"/>
                <w:color w:val="111827"/>
                <w:sz w:val="21"/>
              </w:rPr>
              <w:t xml:space="preserve"> é o instrumento processual próprio de chamamento aos autos utilizado pelo Tribunal de Contas quando se imputa ao responsável a prática de infração à norma legal ou regulamentar sem dano patrimonial apurado, conferindo-lhe prazo para apresentar </w:t>
            </w:r>
            <w:r>
              <w:rPr>
                <w:rFonts w:ascii="Arial" w:hAnsi="Arial"/>
                <w:b/>
                <w:i w:val="0"/>
                <w:color w:val="111827"/>
                <w:sz w:val="21"/>
              </w:rPr>
              <w:t>razões de justificativa</w:t>
            </w:r>
            <w:r>
              <w:rPr>
                <w:rFonts w:ascii="Arial" w:hAnsi="Arial"/>
                <w:b w:val="0"/>
                <w:i w:val="0"/>
                <w:color w:val="111827"/>
                <w:sz w:val="21"/>
              </w:rPr>
              <w:t xml:space="preserve"> antes de eventual cominação de multa.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Trata-se de procedimento administrativo de controle externo, prescindindo de interpelação perante o Poder Judiciário.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Inaplicável aos processos de controle externo.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Tribunais de Contas não decretam prisão civil e a citação é medida voltada para cobrança de dano.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Procuradoria Legislativa)</w:t>
      </w:r>
    </w:p>
    <w:p>
      <w:pPr>
        <w:spacing w:line="360" w:lineRule="auto" w:before="0" w:after="80"/>
        <w:jc w:val="both"/>
      </w:pPr>
      <w:r>
        <w:rPr>
          <w:rFonts w:ascii="Arial" w:hAnsi="Arial"/>
          <w:b w:val="0"/>
          <w:i w:val="0"/>
          <w:color w:val="111827"/>
          <w:sz w:val="24"/>
        </w:rPr>
        <w:t>Contra acórdão proferido pelo Plenário do Tribunal de Contas que julgou irregulares as contas de determinado administrador público e imputou-lhe débito em processo de Tomada de Contas Especial, o responsável inconformado poderá interpor, no prazo regulamentar de quinze dias e com efeito suspensivo: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Recurso de Revisão.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Pedido de Reexame.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Recurso de Reconsideração.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Apelação Cível Administrativa.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Mandado de Segurança perante o Tribunal de Justiça.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Recurso de Revisão tem natureza de ação rescisória, cabível no prazo decadencial de 5 anos do trânsito em julgado, sem efeito suspensivo.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Pedido de Reexame é o recurso cabível contra decisões de mérito em </w:t>
            </w:r>
            <w:r>
              <w:rPr>
                <w:rFonts w:ascii="Arial" w:hAnsi="Arial"/>
                <w:b/>
                <w:i w:val="0"/>
                <w:color w:val="111827"/>
                <w:sz w:val="21"/>
              </w:rPr>
              <w:t>processos de fiscalização</w:t>
            </w:r>
            <w:r>
              <w:rPr>
                <w:rFonts w:ascii="Arial" w:hAnsi="Arial"/>
                <w:b w:val="0"/>
                <w:i w:val="0"/>
                <w:color w:val="111827"/>
                <w:sz w:val="21"/>
              </w:rPr>
              <w:t xml:space="preserve"> (auditorias, inspeções, acompanhamentos), e não em processos de contas.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Nos termos da Lei Orgânica dos Tribunais de Contas (art. 76 da Lei nº 16.168/2007 do TCE-GO e art. 33 da Lei 8.443/92), o recurso cabível contra acórdão definitivo proferido em </w:t>
            </w:r>
            <w:r>
              <w:rPr>
                <w:rFonts w:ascii="Arial" w:hAnsi="Arial"/>
                <w:b/>
                <w:i w:val="0"/>
                <w:color w:val="111827"/>
                <w:sz w:val="21"/>
              </w:rPr>
              <w:t>processo de contas</w:t>
            </w:r>
            <w:r>
              <w:rPr>
                <w:rFonts w:ascii="Arial" w:hAnsi="Arial"/>
                <w:b w:val="0"/>
                <w:i w:val="0"/>
                <w:color w:val="111827"/>
                <w:sz w:val="21"/>
              </w:rPr>
              <w:t xml:space="preserve"> (Prestação de Contas ou Tomada de Contas Especial) é o </w:t>
            </w:r>
            <w:r>
              <w:rPr>
                <w:rFonts w:ascii="Arial" w:hAnsi="Arial"/>
                <w:b/>
                <w:i w:val="0"/>
                <w:color w:val="111827"/>
                <w:sz w:val="21"/>
              </w:rPr>
              <w:t>Recurso de Reconsideração</w:t>
            </w:r>
            <w:r>
              <w:rPr>
                <w:rFonts w:ascii="Arial" w:hAnsi="Arial"/>
                <w:b w:val="0"/>
                <w:i w:val="0"/>
                <w:color w:val="111827"/>
                <w:sz w:val="21"/>
              </w:rPr>
              <w:t>, dotado de efeito suspensivo.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Recurso inexistente no processo de controle externo.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MS é remédio jurisdicional, e não via recursal administrativa interna contra decisão definitiva de contas.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Analista de Gestão Pública)</w:t>
      </w:r>
    </w:p>
    <w:p>
      <w:pPr>
        <w:spacing w:line="360" w:lineRule="auto" w:before="0" w:after="80"/>
        <w:jc w:val="both"/>
      </w:pPr>
      <w:r>
        <w:rPr>
          <w:rFonts w:ascii="Arial" w:hAnsi="Arial"/>
          <w:b w:val="0"/>
          <w:i w:val="0"/>
          <w:color w:val="111827"/>
          <w:sz w:val="24"/>
        </w:rPr>
        <w:t>Acerca dos reflexos eleitorais decorrentes das decisões terminativas proferidas pelos Tribunais de Contas, consoante o disposto na Lei Complementar nº 64/1990 (com as alterações da Lei da Ficha Limpa) e a jurisprudência sumulada do TSE: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julgamento que considera contas regulares com ressalva atrai automaticamente a inelegibilidade do gestor pelo prazo de quatro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São inelegíveis para qualquer cargo os que tiverem suas contas relativas ao exercício de cargos ou funções públicas rejeitadas por irregularidade insanável que configure ato doloso de improbidade administrativa, por decisão irrecorrível do órgão competente, salvo se suspensa pelo Poder Judiciário.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Toda e qualquer reprovação de contas em Tribunal de Contas gera inelegibilidade irrecorrível, sendo vedada qualquer apreciação do processo pelo Poder Judiciário.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decisões dos Tribunais de Contas não produzem efeitos eleitorais, cabendo exclusivamente à Justiça Eleitoral apurar danos patrimoniais e desvios de conduta.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inelegibilidade decorrente da rejeição de contas perdura por até vinte anos contados da data da notificação inicial no Tribunal de Contas.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Regularidade com ressalva não gera inelegibilidade, pois representa quitação das contas com identificação de meras falhas formais.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Reproduz a literalidade do art. 1º, inciso I, alínea "g" da Lei Complementar nº 64/1990: são inelegíveis </w:t>
            </w:r>
            <w:r>
              <w:rPr>
                <w:rFonts w:ascii="Arial" w:hAnsi="Arial"/>
                <w:b w:val="0"/>
                <w:i/>
                <w:color w:val="111827"/>
                <w:sz w:val="21"/>
              </w:rPr>
              <w:t>"os que tiverem suas contas relativas ao exercício de cargos ou funções públicas rejeitadas por irregularidade insanável que configure ato doloso de improbidade administrativa, e por decisão irrecorrível do órgão competente, salvo se esta houver sido suspensa ou anulada pelo Poder Judiciário, para as eleições que se realizarem nos 8 (oito) anos seguintes"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Pelo princípio da inafastabilidade da jurisdição (art. 5º, XXXV da CF), o Poder Judiciário pode apreciar a legalidade formal e material dos julgamentos dos TCs.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As decisões dos Tribunais de Contas constituem o fundamento primordial da cláusula de inelegibilidade do art. 1º, I, "g" da LC 64/90.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prazo legal de inelegibilidade é de </w:t>
            </w:r>
            <w:r>
              <w:rPr>
                <w:rFonts w:ascii="Arial" w:hAnsi="Arial"/>
                <w:b/>
                <w:i w:val="0"/>
                <w:color w:val="111827"/>
                <w:sz w:val="21"/>
              </w:rPr>
              <w:t>oito (8) anos</w:t>
            </w:r>
            <w:r>
              <w:rPr>
                <w:rFonts w:ascii="Arial" w:hAnsi="Arial"/>
                <w:b w:val="0"/>
                <w:i w:val="0"/>
                <w:color w:val="111827"/>
                <w:sz w:val="21"/>
              </w:rPr>
              <w:t xml:space="preserve"> contados da data da decisão irrecorrível.</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01 - Orçamento Público, Princípios, Ciclo Orçamentário, PPA, LDO, LOA e Orçamento Impositivo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Administração Financeira e Orçamentária (AFO)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01_orcamento_publico_principios_e_ciclo_ppa_ldo_loa.md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Orçamento público: conceito, natureza jurídica e evolução histórica dos modelos (Orçamento Tradicional/Clássico, de Desempenho, Base-Zero e Orçamento-Programa);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Princípios orçamentários fundamentais: unidade/totalidade, universalidade, anualidade/periodicidade, exclusividade, orçamento bruto, não afetação da receita de impostos, legalidade, clareza e equilíbrio;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sistema orçamentário na Constituição Federal de 1988 (Artigo 165):</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Plano Plurianual (PPA): vigência quadrienal, diretrizes, objetivos e metas (DOM), despesas de capital e programas de duração continuada;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Lei de Diretrizes Orçamentárias (LDO): elo entre PPA e LOA, metas e prioridades, Anexo de Metas Fiscais (AMF) e Anexo de Riscos Fiscais (ARF) da LRF;</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Lei Orçamentária Anual (LOA): estrutura tríplice integrada (Orçamento Fiscal, da Seguridade Social e de Investimento das Estatais);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Ciclo orçamentário e processo legislativo: elaboração da proposta, apreciação na Comissão Mista, emendas parlamentares, votação, sanção/veto, execução e controle;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Emendas parlamentares e o Orçamento Impositivo: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Emendas individuais (Art. 166, §§ 9º e 11 da CF/88): limite percentual de 2% da RCL e aplicação obrigatória de 50% em saúde;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Emendas de bancada estadual impositivas (Art. 166, §§ 12 e 13);</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As modalidades do Artigo 166-A da CF/88: Transferências especiais ("emendas PIX") vs. transferências com finalidade definida;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Impedimentos de ordem técnica e contingenciamento proporcional na execução impositiva.</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Conceito, Natureza Jurídica e Evolução dos Modelos Orçamentários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Conceito e Natureza Jurídica do Orçamento Público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Modelos Orçamentários e Comparativo Evolutivo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Princípios Orçamentários: O Núcleo Normativo e Doutrinário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Princípio da Unidade ou Totalidade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Princípio da Universalidade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Princípio da Anualidade ou Periodicidade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Princípio da Exclusividade Orçamentária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Princípio do Orçamento Bruto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2.6 Princípio da Não Afetação (Não Vinculação) da Receita de Impostos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2.7 Princípios do Equilíbrio, Legalidade, Clareza e Publicidade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O Sistema Orçamentário Constitucional: PPA, LDO e LOA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Plano Plurianual (PPA): Planejamento Estratégico de Médio Prazo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Lei de Diretrizes Orçamentárias (LDO): O Elo Tático e as Exigências da LRF</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Lei Orçamentária Anual (LOA): A Estrutura Tríplice Integrada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Ciclo Orçamentário e Processo Legislativo Orçamentário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As Quatro Etapas do Ciclo Orçamentário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Processo Legislativo e a Tramitação na CMO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Prazos Constitucionais de Envio e Devolução (ADCT)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Emendas Parlamentares e o Regime do Orçamento Impositivo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Emendas Individuais Impositivas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Emendas de Bancada Estadual Impositivas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Transferências Especiais ("Emendas PIX") e com Finalidade Definida (Art. 166-A)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5.4 Limitações e Impedimentos Técnicos na Execução Obrigatória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Oficiais &amp; Normativas Recomendadas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no Padrão FCC</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Conceito, Natureza Jurídica e Evolução dos Modelos Orçamentários</w:t>
      </w:r>
    </w:p>
    <w:p>
      <w:pPr>
        <w:keepNext/>
        <w:spacing w:before="120" w:after="40"/>
      </w:pPr>
      <w:r>
        <w:rPr>
          <w:rFonts w:ascii="Arial" w:hAnsi="Arial"/>
          <w:b/>
          <w:i/>
          <w:color w:val="334155"/>
          <w:sz w:val="22"/>
        </w:rPr>
        <w:t>1.1 Conceito e Natureza Jurídica do Orçamento Público</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orçamento público</w:t>
      </w:r>
      <w:r>
        <w:rPr>
          <w:rFonts w:ascii="Arial" w:hAnsi="Arial"/>
          <w:b w:val="0"/>
          <w:i w:val="0"/>
          <w:color w:val="111827"/>
          <w:sz w:val="24"/>
        </w:rPr>
        <w:t xml:space="preserve"> é o ato formal pelo qual o Poder Executivo estima as receitas e fixa e autoriza as despesas governamentais para um período determinado (geralmente coincidente com o ano civil), consubstanciando o plano financeiro de ação do Estado.</w:t>
      </w:r>
    </w:p>
    <w:p>
      <w:pPr>
        <w:spacing w:line="360" w:lineRule="auto" w:before="0" w:after="80"/>
        <w:jc w:val="both"/>
      </w:pPr>
      <w:r>
        <w:rPr>
          <w:rFonts w:ascii="Arial" w:hAnsi="Arial"/>
          <w:b w:val="0"/>
          <w:i w:val="0"/>
          <w:color w:val="111827"/>
          <w:sz w:val="24"/>
        </w:rPr>
        <w:t xml:space="preserve">Quanto à sua </w:t>
      </w:r>
      <w:r>
        <w:rPr>
          <w:rFonts w:ascii="Arial" w:hAnsi="Arial"/>
          <w:b/>
          <w:i w:val="0"/>
          <w:color w:val="111827"/>
          <w:sz w:val="24"/>
        </w:rPr>
        <w:t>natureza jurídica</w:t>
      </w:r>
      <w:r>
        <w:rPr>
          <w:rFonts w:ascii="Arial" w:hAnsi="Arial"/>
          <w:b w:val="0"/>
          <w:i w:val="0"/>
          <w:color w:val="111827"/>
          <w:sz w:val="24"/>
        </w:rPr>
        <w:t xml:space="preserve">, vigora no Supremo Tribunal Federal (STF) a compreensão de que as leis orçamentárias (PPA, LDO e LOA) possuem natureza de </w:t>
      </w:r>
      <w:r>
        <w:rPr>
          <w:rFonts w:ascii="Arial" w:hAnsi="Arial"/>
          <w:b/>
          <w:i w:val="0"/>
          <w:color w:val="111827"/>
          <w:sz w:val="24"/>
        </w:rPr>
        <w:t>lei em sentido formal</w:t>
      </w:r>
      <w:r>
        <w:rPr>
          <w:rFonts w:ascii="Arial" w:hAnsi="Arial"/>
          <w:b w:val="0"/>
          <w:i w:val="0"/>
          <w:color w:val="111827"/>
          <w:sz w:val="24"/>
        </w:rPr>
        <w:t xml:space="preserve"> (ou formal-material especial):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Veiculam autorização legal para a prática de despesas e previsão de receitas;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Não criam, em regra, direitos subjetivos imediatos aos cidadãos (com exceção das regras cogentes de execução orçamentária impositiva criadas pelas Emendas Constitucionais nº 86/2015, 100/2019, 105/2019 e 126/2022);</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STF admite o controle concentrado de constitucionalidade (ADI) contra dispositivos de leis orçamentárias quando apresentarem efeitos concretos e lesividade direta a preceitos constitucionais fundamentais.</w:t>
      </w:r>
    </w:p>
    <w:p>
      <w:pPr>
        <w:keepNext/>
        <w:spacing w:before="120" w:after="40"/>
      </w:pPr>
      <w:r>
        <w:rPr>
          <w:rFonts w:ascii="Arial" w:hAnsi="Arial"/>
          <w:b/>
          <w:i/>
          <w:color w:val="334155"/>
          <w:sz w:val="22"/>
        </w:rPr>
        <w:t>1.2 Modelos Orçamentários e Comparativo Evolutivo</w:t>
      </w:r>
    </w:p>
    <w:p>
      <w:pPr>
        <w:spacing w:line="360" w:lineRule="auto" w:before="0" w:after="80"/>
        <w:jc w:val="both"/>
      </w:pPr>
      <w:r>
        <w:rPr>
          <w:rFonts w:ascii="Arial" w:hAnsi="Arial"/>
          <w:b w:val="0"/>
          <w:i w:val="0"/>
          <w:color w:val="111827"/>
          <w:sz w:val="24"/>
        </w:rPr>
        <w:t>A evolução histórica do orçamento público evidencia a transição de um mero instrumento contábil-financeiro de contenção do gasto para um instrumento tático e estratégico de desenvolvimento econômico-social:</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Orçamento Tradicional ou Clássico: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Preponderou no Estado Liberal (séculos XIX e início do XX);</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Instrumento de controle de legalidade política e financeira do Poder Legislativo sobre o Poder Executivo;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Foco exclusivo no </w:t>
      </w:r>
      <w:r>
        <w:rPr>
          <w:rFonts w:ascii="Arial" w:hAnsi="Arial"/>
          <w:b/>
          <w:i w:val="0"/>
          <w:color w:val="111827"/>
          <w:sz w:val="22"/>
        </w:rPr>
        <w:t>objeto do gasto</w:t>
      </w:r>
      <w:r>
        <w:rPr>
          <w:rFonts w:ascii="Arial" w:hAnsi="Arial"/>
          <w:b w:val="0"/>
          <w:i w:val="0"/>
          <w:color w:val="111827"/>
          <w:sz w:val="22"/>
        </w:rPr>
        <w:t xml:space="preserve"> (insumos: salários, móveis, material de expediente) — </w:t>
      </w:r>
      <w:r>
        <w:rPr>
          <w:rFonts w:ascii="Arial" w:hAnsi="Arial"/>
          <w:b w:val="0"/>
          <w:i/>
          <w:color w:val="111827"/>
          <w:sz w:val="22"/>
        </w:rPr>
        <w:t>"o que a administração compra"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Completa dissociação entre o orçamento e qualquer planejamento de longo prazo; não há mensuração de benefícios sociais ou metas de desempenho.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Orçamento de Desempenho (Funcional):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Surge no período pós-Segunda Guerra Mundial (relatórios da Comissão Hoover nos EUA);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Foco nas </w:t>
      </w:r>
      <w:r>
        <w:rPr>
          <w:rFonts w:ascii="Arial" w:hAnsi="Arial"/>
          <w:b/>
          <w:i w:val="0"/>
          <w:color w:val="111827"/>
          <w:sz w:val="22"/>
        </w:rPr>
        <w:t>coisas que o governo faz</w:t>
      </w:r>
      <w:r>
        <w:rPr>
          <w:rFonts w:ascii="Arial" w:hAnsi="Arial"/>
          <w:b w:val="0"/>
          <w:i w:val="0"/>
          <w:color w:val="111827"/>
          <w:sz w:val="22"/>
        </w:rPr>
        <w:t xml:space="preserve"> (serviços e produtos) em vez de apenas no que compra — </w:t>
      </w:r>
      <w:r>
        <w:rPr>
          <w:rFonts w:ascii="Arial" w:hAnsi="Arial"/>
          <w:b w:val="0"/>
          <w:i/>
          <w:color w:val="111827"/>
          <w:sz w:val="22"/>
        </w:rPr>
        <w:t>"o que a administração faz"</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Embora introduza a ideia de desempenho e atividade operacional, continuava desvinculado de um planejamento governamental estratégico de longo prazo.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Orçamento Base-Zero (OBZ) ou Estratégico: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Criado por Peter Pyhrr e disseminado na década de 1970;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Caracteriza-se pela </w:t>
      </w:r>
      <w:r>
        <w:rPr>
          <w:rFonts w:ascii="Arial" w:hAnsi="Arial"/>
          <w:b/>
          <w:i w:val="0"/>
          <w:color w:val="111827"/>
          <w:sz w:val="22"/>
        </w:rPr>
        <w:t>inexistência de direito adquirido à manutenção de despesas</w:t>
      </w:r>
      <w:r>
        <w:rPr>
          <w:rFonts w:ascii="Arial" w:hAnsi="Arial"/>
          <w:b w:val="0"/>
          <w:i w:val="0"/>
          <w:color w:val="111827"/>
          <w:sz w:val="22"/>
        </w:rPr>
        <w:t xml:space="preserve"> do exercício anterior (rompimento com a abordagem incrementalista);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cada novo ciclo orçamentário, todas as atividades e programas devem ser justificados desde a sua base ("marco zero"), competindo entre si em pacotes de decisão hierarquizados por custo-benefício.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Orçamento-Programa:</w:t>
      </w:r>
    </w:p>
    <w:p>
      <w:pPr>
        <w:spacing w:line="276" w:lineRule="auto" w:before="20" w:after="40"/>
        <w:ind w:left="992"/>
      </w:pPr>
      <w:r>
        <w:rPr>
          <w:rFonts w:ascii="Arial" w:hAnsi="Arial"/>
          <w:b/>
          <w:color w:val="2B6CB0"/>
          <w:sz w:val="22"/>
        </w:rPr>
        <w:t xml:space="preserve">• </w:t>
      </w:r>
      <w:r>
        <w:rPr>
          <w:rFonts w:ascii="Arial" w:hAnsi="Arial"/>
          <w:b/>
          <w:i w:val="0"/>
          <w:color w:val="111827"/>
          <w:sz w:val="22"/>
        </w:rPr>
        <w:t>Modelo adotado no ordenamento brasileiro</w:t>
      </w:r>
      <w:r>
        <w:rPr>
          <w:rFonts w:ascii="Arial" w:hAnsi="Arial"/>
          <w:b w:val="0"/>
          <w:i w:val="0"/>
          <w:color w:val="111827"/>
          <w:sz w:val="22"/>
        </w:rPr>
        <w:t xml:space="preserve"> desde o Decreto-Lei nº 200/1967 e consolidado na CF/88 e pela Portaria MOG nº 42/1999;</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a expressão financeira de programas de trabalho do governo voltados para objetivos e metas claros;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Foco nos </w:t>
      </w:r>
      <w:r>
        <w:rPr>
          <w:rFonts w:ascii="Arial" w:hAnsi="Arial"/>
          <w:b/>
          <w:i w:val="0"/>
          <w:color w:val="111827"/>
          <w:sz w:val="22"/>
        </w:rPr>
        <w:t>resultados sociais e de impacto</w:t>
      </w:r>
      <w:r>
        <w:rPr>
          <w:rFonts w:ascii="Arial" w:hAnsi="Arial"/>
          <w:b w:val="0"/>
          <w:i w:val="0"/>
          <w:color w:val="111827"/>
          <w:sz w:val="22"/>
        </w:rPr>
        <w:t xml:space="preserve"> — </w:t>
      </w:r>
      <w:r>
        <w:rPr>
          <w:rFonts w:ascii="Arial" w:hAnsi="Arial"/>
          <w:b w:val="0"/>
          <w:i/>
          <w:color w:val="111827"/>
          <w:sz w:val="22"/>
        </w:rPr>
        <w:t>"para que a administração gasta"</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Integração indissociável entre planejamento, programação e orçamentação (concretizada no tríptico PPA, LDO e LOA);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Utilização de indicadores físicos, metas quantitativas e avaliação contínua de eficácia, eficiência e efetividade.</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Orçamento Tradicional / Clássico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Orçamento-Programa (Modelo CF/88)</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Principal Objetivo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Controle legal e contábil do gasto público.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Concretização de políticas públicas e resultados sociais.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Foco Central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que o governo compra (insumos/objetos).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Para que o governo gasta (objetivos e programas).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Planejamento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Inexistente / Desconectado.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Indissociável e estruturante (PPA, LDO e LOA).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Estrutura dos Gastos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Elementos de despesa e órgãos executores.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Programas, ações, projetos, atividades e operações especiais.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Métrica de Avaliação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Cumprimento da dotação orçamentária estrita.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Indicadores de eficácia, eficiência e impacto social.</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FCC costuma afirmar que o Orçamento de Desempenho e o Orçamento-Programa são expressões sinônimas. Cuidado! O Orçamento de Desempenho deu o primeiro passo ao focar nas atividades/ações, mas pecou por não possuir conexão com o planejamento global integrado. Somente o Orçamento-Programa consolida a tríade </w:t>
            </w:r>
            <w:r>
              <w:rPr>
                <w:rFonts w:ascii="Arial" w:hAnsi="Arial"/>
                <w:b w:val="0"/>
                <w:i/>
                <w:color w:val="111827"/>
                <w:sz w:val="21"/>
              </w:rPr>
              <w:t>planejamento-programação-orçamento</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2. Princípios Orçamentários: O Núcleo Normativo e Doutrinário</w:t>
      </w:r>
    </w:p>
    <w:p>
      <w:pPr>
        <w:spacing w:line="360" w:lineRule="auto" w:before="0" w:after="80"/>
        <w:jc w:val="both"/>
      </w:pPr>
      <w:r>
        <w:rPr>
          <w:rFonts w:ascii="Arial" w:hAnsi="Arial"/>
          <w:b w:val="0"/>
          <w:i w:val="0"/>
          <w:color w:val="111827"/>
          <w:sz w:val="24"/>
        </w:rPr>
        <w:t>Os princípios orçamentários constituem diretrizes materiais e processuais que asseguram a higidez, a transparência, a consistência e o controle fiscal da lei orçamentária.</w:t>
      </w:r>
    </w:p>
    <w:p>
      <w:pPr>
        <w:spacing w:after="120"/>
      </w:pPr>
    </w:p>
    <w:p>
      <w:pPr>
        <w:keepNext/>
        <w:spacing w:before="120" w:after="40"/>
      </w:pPr>
      <w:r>
        <w:rPr>
          <w:rFonts w:ascii="Arial" w:hAnsi="Arial"/>
          <w:b/>
          <w:i/>
          <w:color w:val="334155"/>
          <w:sz w:val="22"/>
        </w:rPr>
        <w:t>2.1 Princípio da Unidade ou Totalidade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Cada ente da Federação (União, cada Estado, DF e cada Município) deve possuir </w:t>
      </w:r>
      <w:r>
        <w:rPr>
          <w:rFonts w:ascii="Arial" w:hAnsi="Arial"/>
          <w:b/>
          <w:i w:val="0"/>
          <w:color w:val="111827"/>
          <w:sz w:val="22"/>
        </w:rPr>
        <w:t>uma única lei orçamentária anual</w:t>
      </w:r>
      <w:r>
        <w:rPr>
          <w:rFonts w:ascii="Arial" w:hAnsi="Arial"/>
          <w:b w:val="0"/>
          <w:i w:val="0"/>
          <w:color w:val="111827"/>
          <w:sz w:val="22"/>
        </w:rPr>
        <w:t xml:space="preserve"> para cada exercício financeiro.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doutrina moderna (e a banca FCC) distingue a </w:t>
      </w:r>
      <w:r>
        <w:rPr>
          <w:rFonts w:ascii="Arial" w:hAnsi="Arial"/>
          <w:b w:val="0"/>
          <w:i/>
          <w:color w:val="111827"/>
          <w:sz w:val="22"/>
        </w:rPr>
        <w:t>Unidade clássica</w:t>
      </w:r>
      <w:r>
        <w:rPr>
          <w:rFonts w:ascii="Arial" w:hAnsi="Arial"/>
          <w:b w:val="0"/>
          <w:i w:val="0"/>
          <w:color w:val="111827"/>
          <w:sz w:val="22"/>
        </w:rPr>
        <w:t xml:space="preserve"> (que defendia a existência física de um só documento) da </w:t>
      </w:r>
      <w:r>
        <w:rPr>
          <w:rFonts w:ascii="Arial" w:hAnsi="Arial"/>
          <w:b w:val="0"/>
          <w:i/>
          <w:color w:val="111827"/>
          <w:sz w:val="22"/>
        </w:rPr>
        <w:t>Totalidade orçamentária</w:t>
      </w:r>
      <w:r>
        <w:rPr>
          <w:rFonts w:ascii="Arial" w:hAnsi="Arial"/>
          <w:b w:val="0"/>
          <w:i w:val="0"/>
          <w:color w:val="111827"/>
          <w:sz w:val="22"/>
        </w:rPr>
        <w:t xml:space="preserve"> (prevista no art. 165, § 5º da CF/88): embora a LOA congregue três esferas distintas (Orçamento Fiscal, da Seguridade Social e de Investimento das Estatais), todas integram formal e organicamente uma </w:t>
      </w:r>
      <w:r>
        <w:rPr>
          <w:rFonts w:ascii="Arial" w:hAnsi="Arial"/>
          <w:b/>
          <w:i w:val="0"/>
          <w:color w:val="111827"/>
          <w:sz w:val="22"/>
        </w:rPr>
        <w:t>única e consolidada peça legislativa</w:t>
      </w:r>
      <w:r>
        <w:rPr>
          <w:rFonts w:ascii="Arial" w:hAnsi="Arial"/>
          <w:b w:val="0"/>
          <w:i w:val="0"/>
          <w:color w:val="111827"/>
          <w:sz w:val="22"/>
        </w:rPr>
        <w:t>.</w:t>
      </w:r>
    </w:p>
    <w:p>
      <w:pPr>
        <w:keepNext/>
        <w:spacing w:before="120" w:after="40"/>
      </w:pPr>
      <w:r>
        <w:rPr>
          <w:rFonts w:ascii="Arial" w:hAnsi="Arial"/>
          <w:b/>
          <w:i/>
          <w:color w:val="334155"/>
          <w:sz w:val="22"/>
        </w:rPr>
        <w:t>2.2 Princípio da Universalidade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Lei Orçamentária Anual deve conter </w:t>
      </w:r>
      <w:r>
        <w:rPr>
          <w:rFonts w:ascii="Arial" w:hAnsi="Arial"/>
          <w:b/>
          <w:i w:val="0"/>
          <w:color w:val="111827"/>
          <w:sz w:val="22"/>
        </w:rPr>
        <w:t>todas as receitas e todas as despesas</w:t>
      </w:r>
      <w:r>
        <w:rPr>
          <w:rFonts w:ascii="Arial" w:hAnsi="Arial"/>
          <w:b w:val="0"/>
          <w:i w:val="0"/>
          <w:color w:val="111827"/>
          <w:sz w:val="22"/>
        </w:rPr>
        <w:t xml:space="preserve"> de todos os Poderes, órgãos, fundos e entidades da administração direta e indireta (arts. 2º, 3º e 4º da Lei nº 4.320/1964 e art. 165, § 5º da CF/88).</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Nenhuma despesa ou receita pública pode ser omitida do orçamento nem tratada "extracontabilmente".</w:t>
      </w:r>
    </w:p>
    <w:p>
      <w:pPr>
        <w:spacing w:line="276" w:lineRule="auto" w:before="20" w:after="40"/>
        <w:ind w:left="425"/>
      </w:pPr>
      <w:r>
        <w:rPr>
          <w:rFonts w:ascii="Arial" w:hAnsi="Arial"/>
          <w:b/>
          <w:color w:val="2B6CB0"/>
          <w:sz w:val="22"/>
        </w:rPr>
        <w:t xml:space="preserve">• </w:t>
      </w:r>
      <w:r>
        <w:rPr>
          <w:rFonts w:ascii="Arial" w:hAnsi="Arial"/>
          <w:b w:val="0"/>
          <w:i/>
          <w:color w:val="111827"/>
          <w:sz w:val="22"/>
        </w:rPr>
        <w:t>Ressalva importante:</w:t>
      </w:r>
      <w:r>
        <w:rPr>
          <w:rFonts w:ascii="Arial" w:hAnsi="Arial"/>
          <w:b w:val="0"/>
          <w:i w:val="0"/>
          <w:color w:val="111827"/>
          <w:sz w:val="22"/>
        </w:rPr>
        <w:t xml:space="preserve"> As entradas compensatórias puramente financeiras (ingressos extraorçamentários, como fianças, cauções, depósitos judiciais e restos a pagar processados) não se sujeitam à autorização orçamentária prévia, pois não representam receita orçamentária pertencente em definitivo ao patrimônio estatal.</w:t>
      </w:r>
    </w:p>
    <w:p>
      <w:pPr>
        <w:keepNext/>
        <w:spacing w:before="120" w:after="40"/>
      </w:pPr>
      <w:r>
        <w:rPr>
          <w:rFonts w:ascii="Arial" w:hAnsi="Arial"/>
          <w:b/>
          <w:i/>
          <w:color w:val="334155"/>
          <w:sz w:val="22"/>
        </w:rPr>
        <w:t>2.3 Princípio da Anualidade ou Periodicidade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As estimativas de receita e as fixações de despesa devem corresponder a um período determinado de tempo. No Brasil, o exercício financeiro </w:t>
      </w:r>
      <w:r>
        <w:rPr>
          <w:rFonts w:ascii="Arial" w:hAnsi="Arial"/>
          <w:b/>
          <w:i w:val="0"/>
          <w:color w:val="111827"/>
          <w:sz w:val="22"/>
        </w:rPr>
        <w:t>coincide rigorosamente com o ano civil</w:t>
      </w:r>
      <w:r>
        <w:rPr>
          <w:rFonts w:ascii="Arial" w:hAnsi="Arial"/>
          <w:b w:val="0"/>
          <w:i w:val="0"/>
          <w:color w:val="111827"/>
          <w:sz w:val="22"/>
        </w:rPr>
        <w:t>: tem início em 1º de janeiro e encerra-se em 31 de dezembro (art. 34 da Lei nº 4.320/1964).</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Exceção Constitucional à Anualidade:</w:t>
      </w:r>
      <w:r>
        <w:rPr>
          <w:rFonts w:ascii="Arial" w:hAnsi="Arial"/>
          <w:b w:val="0"/>
          <w:i w:val="0"/>
          <w:color w:val="111827"/>
          <w:sz w:val="22"/>
        </w:rPr>
        <w:t xml:space="preserve"> A reabertura dos saldos de </w:t>
      </w:r>
      <w:r>
        <w:rPr>
          <w:rFonts w:ascii="Arial" w:hAnsi="Arial"/>
          <w:b/>
          <w:i w:val="0"/>
          <w:color w:val="111827"/>
          <w:sz w:val="22"/>
        </w:rPr>
        <w:t>créditos adicionais especiais e extraordinários</w:t>
      </w:r>
      <w:r>
        <w:rPr>
          <w:rFonts w:ascii="Arial" w:hAnsi="Arial"/>
          <w:b w:val="0"/>
          <w:i w:val="0"/>
          <w:color w:val="111827"/>
          <w:sz w:val="22"/>
        </w:rPr>
        <w:t xml:space="preserve"> promulgados nos últimos quatro meses do exercício financeiro (de 1º de setembro a 31 de dezembro). Nesses casos, os saldos não executados podem ser reabertos nos limites dos seus saldos no exercício financeiro seguinte, com vigência estendida até o fim deste (art. 167, § 2º da CF/88).</w:t>
      </w:r>
    </w:p>
    <w:p>
      <w:pPr>
        <w:spacing w:line="276" w:lineRule="auto" w:before="20" w:after="40"/>
        <w:ind w:left="425"/>
      </w:pPr>
      <w:r>
        <w:rPr>
          <w:rFonts w:ascii="Arial" w:hAnsi="Arial"/>
          <w:b/>
          <w:color w:val="2B6CB0"/>
          <w:sz w:val="22"/>
        </w:rPr>
        <w:t xml:space="preserve">• </w:t>
      </w:r>
      <w:r>
        <w:rPr>
          <w:rFonts w:ascii="Arial" w:hAnsi="Arial"/>
          <w:b w:val="0"/>
          <w:i/>
          <w:color w:val="111827"/>
          <w:sz w:val="22"/>
        </w:rPr>
        <w:t>Atenção:</w:t>
      </w:r>
      <w:r>
        <w:rPr>
          <w:rFonts w:ascii="Arial" w:hAnsi="Arial"/>
          <w:b w:val="0"/>
          <w:i w:val="0"/>
          <w:color w:val="111827"/>
          <w:sz w:val="22"/>
        </w:rPr>
        <w:t xml:space="preserve"> Créditos suplementares </w:t>
      </w:r>
      <w:r>
        <w:rPr>
          <w:rFonts w:ascii="Arial" w:hAnsi="Arial"/>
          <w:b/>
          <w:i w:val="0"/>
          <w:color w:val="111827"/>
          <w:sz w:val="22"/>
        </w:rPr>
        <w:t>nunca</w:t>
      </w:r>
      <w:r>
        <w:rPr>
          <w:rFonts w:ascii="Arial" w:hAnsi="Arial"/>
          <w:b w:val="0"/>
          <w:i w:val="0"/>
          <w:color w:val="111827"/>
          <w:sz w:val="22"/>
        </w:rPr>
        <w:t xml:space="preserve"> podem ser reabertos no exercício seguinte; extinguem-se impreterivelmente em 31 de dezembro.</w:t>
      </w:r>
    </w:p>
    <w:p>
      <w:pPr>
        <w:keepNext/>
        <w:spacing w:before="120" w:after="40"/>
      </w:pPr>
      <w:r>
        <w:rPr>
          <w:rFonts w:ascii="Arial" w:hAnsi="Arial"/>
          <w:b/>
          <w:i/>
          <w:color w:val="334155"/>
          <w:sz w:val="22"/>
        </w:rPr>
        <w:t>2.4 Princípio da Exclusividade Orçamentária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Previsto expressamente no art. 165, § 8º da CF/88: a LOA não conterá dispositivo estranho à previsão da receita e à fixação da despesa.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Destina-se a impedir os chamados "rabilongos" ou "caudas orçamentárias" (disposições casuísticas de direito material, administrativo ou penal enxertadas na lei de orçamento).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As Duas Únicas Exceções Constitucionais Permitidas na Própria LOA:</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 xml:space="preserve">Autorização para a </w:t>
      </w:r>
      <w:r>
        <w:rPr>
          <w:rFonts w:ascii="Arial" w:hAnsi="Arial"/>
          <w:b/>
          <w:i w:val="0"/>
          <w:color w:val="111827"/>
          <w:sz w:val="22"/>
        </w:rPr>
        <w:t>abertura de créditos suplementares</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 xml:space="preserve">Autorização para a </w:t>
      </w:r>
      <w:r>
        <w:rPr>
          <w:rFonts w:ascii="Arial" w:hAnsi="Arial"/>
          <w:b/>
          <w:i w:val="0"/>
          <w:color w:val="111827"/>
          <w:sz w:val="22"/>
        </w:rPr>
        <w:t>contratação de operações de crédito</w:t>
      </w:r>
      <w:r>
        <w:rPr>
          <w:rFonts w:ascii="Arial" w:hAnsi="Arial"/>
          <w:b w:val="0"/>
          <w:i w:val="0"/>
          <w:color w:val="111827"/>
          <w:sz w:val="22"/>
        </w:rPr>
        <w:t>, ainda que por antecipação de receita orçamentária (ARO), nos termos da lei.</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LOA pode autorizar a abertura de créditos </w:t>
            </w:r>
            <w:r>
              <w:rPr>
                <w:rFonts w:ascii="Arial" w:hAnsi="Arial"/>
                <w:b/>
                <w:i w:val="0"/>
                <w:color w:val="111827"/>
                <w:sz w:val="21"/>
              </w:rPr>
              <w:t>suplementares</w:t>
            </w:r>
            <w:r>
              <w:rPr>
                <w:rFonts w:ascii="Arial" w:hAnsi="Arial"/>
                <w:b w:val="0"/>
                <w:i w:val="0"/>
                <w:color w:val="111827"/>
                <w:sz w:val="21"/>
              </w:rPr>
              <w:t xml:space="preserve">, mas </w:t>
            </w:r>
            <w:r>
              <w:rPr>
                <w:rFonts w:ascii="Arial" w:hAnsi="Arial"/>
                <w:b/>
                <w:i w:val="0"/>
                <w:color w:val="111827"/>
                <w:sz w:val="21"/>
              </w:rPr>
              <w:t>JAMAIS pode autorizar a abertura de créditos especiais ou extraordinários</w:t>
            </w:r>
            <w:r>
              <w:rPr>
                <w:rFonts w:ascii="Arial" w:hAnsi="Arial"/>
                <w:b w:val="0"/>
                <w:i w:val="0"/>
                <w:color w:val="111827"/>
                <w:sz w:val="21"/>
              </w:rPr>
              <w:t>! Créditos especiais dependem de projeto de lei específico subsequente, e créditos extraordinários decorrem de ato executivo de urgência (Medida Provisória na União ou Decreto nos entes sem MP).</w:t>
            </w:r>
          </w:p>
        </w:tc>
      </w:tr>
    </w:tbl>
    <w:p>
      <w:pPr>
        <w:spacing w:before="0" w:after="120"/>
      </w:pPr>
    </w:p>
    <w:p>
      <w:pPr>
        <w:keepNext/>
        <w:spacing w:before="120" w:after="40"/>
      </w:pPr>
      <w:r>
        <w:rPr>
          <w:rFonts w:ascii="Arial" w:hAnsi="Arial"/>
          <w:b/>
          <w:i/>
          <w:color w:val="334155"/>
          <w:sz w:val="22"/>
        </w:rPr>
        <w:t>2.5 Princípio do Orçamento Bruto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Estatuído no art. 6º da Lei nº 4.320/1964: todas as receitas e despesas constarão da lei de orçamento pelos seus </w:t>
      </w:r>
      <w:r>
        <w:rPr>
          <w:rFonts w:ascii="Arial" w:hAnsi="Arial"/>
          <w:b/>
          <w:i w:val="0"/>
          <w:color w:val="111827"/>
          <w:sz w:val="22"/>
        </w:rPr>
        <w:t>valores brutos totais</w:t>
      </w:r>
      <w:r>
        <w:rPr>
          <w:rFonts w:ascii="Arial" w:hAnsi="Arial"/>
          <w:b w:val="0"/>
          <w:i w:val="0"/>
          <w:color w:val="111827"/>
          <w:sz w:val="22"/>
        </w:rPr>
        <w:t>, vedada qualquer dedução pecuniária preliminar.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Não é admitido compensar a receita com as despesas cobradas para sua arrecadação (ex.: registrar no orçamento apenas o valor líquido arrecadado de um imposto após descontar as taxas bancárias de cobrança).</w:t>
      </w:r>
    </w:p>
    <w:p>
      <w:pPr>
        <w:keepNext/>
        <w:spacing w:before="120" w:after="40"/>
      </w:pPr>
      <w:r>
        <w:rPr>
          <w:rFonts w:ascii="Arial" w:hAnsi="Arial"/>
          <w:b/>
          <w:i/>
          <w:color w:val="334155"/>
          <w:sz w:val="22"/>
        </w:rPr>
        <w:t>2.6 Princípio da Não Afetação (Não Vinculação) da Receita de Impostos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Previsto no art. 167, IV da CF/88: é vedada a vinculação de receita de </w:t>
      </w:r>
      <w:r>
        <w:rPr>
          <w:rFonts w:ascii="Arial" w:hAnsi="Arial"/>
          <w:b/>
          <w:i w:val="0"/>
          <w:color w:val="111827"/>
          <w:sz w:val="22"/>
        </w:rPr>
        <w:t>impostos</w:t>
      </w:r>
      <w:r>
        <w:rPr>
          <w:rFonts w:ascii="Arial" w:hAnsi="Arial"/>
          <w:b w:val="0"/>
          <w:i w:val="0"/>
          <w:color w:val="111827"/>
          <w:sz w:val="22"/>
        </w:rPr>
        <w:t xml:space="preserve"> a órgão, fundo ou despesa.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Alcance Restrito aos Impostos:</w:t>
      </w:r>
      <w:r>
        <w:rPr>
          <w:rFonts w:ascii="Arial" w:hAnsi="Arial"/>
          <w:b w:val="0"/>
          <w:i w:val="0"/>
          <w:color w:val="111827"/>
          <w:sz w:val="22"/>
        </w:rPr>
        <w:t xml:space="preserve"> A vedação atinge </w:t>
      </w:r>
      <w:r>
        <w:rPr>
          <w:rFonts w:ascii="Arial" w:hAnsi="Arial"/>
          <w:b/>
          <w:i w:val="0"/>
          <w:color w:val="111827"/>
          <w:sz w:val="22"/>
        </w:rPr>
        <w:t>exclusivamente os impostos</w:t>
      </w:r>
      <w:r>
        <w:rPr>
          <w:rFonts w:ascii="Arial" w:hAnsi="Arial"/>
          <w:b w:val="0"/>
          <w:i w:val="0"/>
          <w:color w:val="111827"/>
          <w:sz w:val="22"/>
        </w:rPr>
        <w:t>! As taxas, contribuições de melhoria e contribuições especiais (como contribuições previdenciárias e COSIP) podem ser e frequentemente são constitucionalmente vinculadas a seus fins específicos.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Exceções Constitucionais Expressas (Art. 167, IV):</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 xml:space="preserve">Destinação a ações e serviços públicos de </w:t>
      </w:r>
      <w:r>
        <w:rPr>
          <w:rFonts w:ascii="Arial" w:hAnsi="Arial"/>
          <w:b/>
          <w:i w:val="0"/>
          <w:color w:val="111827"/>
          <w:sz w:val="22"/>
        </w:rPr>
        <w:t>saúde</w:t>
      </w:r>
      <w:r>
        <w:rPr>
          <w:rFonts w:ascii="Arial" w:hAnsi="Arial"/>
          <w:b w:val="0"/>
          <w:i w:val="0"/>
          <w:color w:val="111827"/>
          <w:sz w:val="22"/>
        </w:rPr>
        <w:t xml:space="preserve"> (art. 198, § 2º);</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 xml:space="preserve">Manutenção e desenvolvimento do </w:t>
      </w:r>
      <w:r>
        <w:rPr>
          <w:rFonts w:ascii="Arial" w:hAnsi="Arial"/>
          <w:b/>
          <w:i w:val="0"/>
          <w:color w:val="111827"/>
          <w:sz w:val="22"/>
        </w:rPr>
        <w:t>ensino</w:t>
      </w:r>
      <w:r>
        <w:rPr>
          <w:rFonts w:ascii="Arial" w:hAnsi="Arial"/>
          <w:b w:val="0"/>
          <w:i w:val="0"/>
          <w:color w:val="111827"/>
          <w:sz w:val="22"/>
        </w:rPr>
        <w:t xml:space="preserve"> (art. 212);</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 xml:space="preserve">Realização de atividades da </w:t>
      </w:r>
      <w:r>
        <w:rPr>
          <w:rFonts w:ascii="Arial" w:hAnsi="Arial"/>
          <w:b/>
          <w:i w:val="0"/>
          <w:color w:val="111827"/>
          <w:sz w:val="22"/>
        </w:rPr>
        <w:t>administração tributária</w:t>
      </w:r>
      <w:r>
        <w:rPr>
          <w:rFonts w:ascii="Arial" w:hAnsi="Arial"/>
          <w:b w:val="0"/>
          <w:i w:val="0"/>
          <w:color w:val="111827"/>
          <w:sz w:val="22"/>
        </w:rPr>
        <w:t xml:space="preserve"> (art. 37, XXII);</w:t>
      </w:r>
    </w:p>
    <w:p>
      <w:pPr>
        <w:spacing w:line="276" w:lineRule="auto" w:before="20" w:after="40"/>
        <w:ind w:left="992"/>
      </w:pPr>
      <w:r>
        <w:rPr>
          <w:rFonts w:ascii="Arial" w:hAnsi="Arial"/>
          <w:b/>
          <w:color w:val="1B365D"/>
          <w:sz w:val="22"/>
        </w:rPr>
        <w:t xml:space="preserve">4. </w:t>
      </w:r>
      <w:r>
        <w:rPr>
          <w:rFonts w:ascii="Arial" w:hAnsi="Arial"/>
          <w:b w:val="0"/>
          <w:i w:val="0"/>
          <w:color w:val="111827"/>
          <w:sz w:val="22"/>
        </w:rPr>
        <w:t>Repartição constitucional de receitas tributárias (FPE, FPM, repartição de ICMS e IPVA);</w:t>
      </w:r>
    </w:p>
    <w:p>
      <w:pPr>
        <w:spacing w:line="276" w:lineRule="auto" w:before="20" w:after="40"/>
        <w:ind w:left="992"/>
      </w:pPr>
      <w:r>
        <w:rPr>
          <w:rFonts w:ascii="Arial" w:hAnsi="Arial"/>
          <w:b/>
          <w:color w:val="1B365D"/>
          <w:sz w:val="22"/>
        </w:rPr>
        <w:t xml:space="preserve">5. </w:t>
      </w:r>
      <w:r>
        <w:rPr>
          <w:rFonts w:ascii="Arial" w:hAnsi="Arial"/>
          <w:b w:val="0"/>
          <w:i w:val="0"/>
          <w:color w:val="111827"/>
          <w:sz w:val="22"/>
        </w:rPr>
        <w:t>Prestação de garantias às operações de crédito por antecipação de receita e garantias prestadas à União.</w:t>
      </w:r>
    </w:p>
    <w:p>
      <w:pPr>
        <w:keepNext/>
        <w:spacing w:before="120" w:after="40"/>
      </w:pPr>
      <w:r>
        <w:rPr>
          <w:rFonts w:ascii="Arial" w:hAnsi="Arial"/>
          <w:b/>
          <w:i/>
          <w:color w:val="334155"/>
          <w:sz w:val="22"/>
        </w:rPr>
        <w:t>2.7 Princípios do Equilíbrio, Legalidade, Clareza e Publicidade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Equilíbrio Orçamentário:</w:t>
      </w:r>
      <w:r>
        <w:rPr>
          <w:rFonts w:ascii="Arial" w:hAnsi="Arial"/>
          <w:b w:val="0"/>
          <w:i w:val="0"/>
          <w:color w:val="111827"/>
          <w:sz w:val="22"/>
        </w:rPr>
        <w:t xml:space="preserve"> Igualdade formal entre receitas estimadas e despesas fixadas na lei orçamentária. No aspecto material moderno, exige gestão fiscal prudente para geração de superávits primários e controle da dívida consolidada líquida (LRF).</w:t>
      </w:r>
    </w:p>
    <w:p>
      <w:pPr>
        <w:spacing w:line="276" w:lineRule="auto" w:before="20" w:after="40"/>
        <w:ind w:left="425"/>
      </w:pPr>
      <w:r>
        <w:rPr>
          <w:rFonts w:ascii="Arial" w:hAnsi="Arial"/>
          <w:b/>
          <w:color w:val="2B6CB0"/>
          <w:sz w:val="22"/>
        </w:rPr>
        <w:t xml:space="preserve">• </w:t>
      </w:r>
      <w:r>
        <w:rPr>
          <w:rFonts w:ascii="Arial" w:hAnsi="Arial"/>
          <w:b/>
          <w:i w:val="0"/>
          <w:color w:val="111827"/>
          <w:sz w:val="22"/>
        </w:rPr>
        <w:t>Legalidade Orçamentária:</w:t>
      </w:r>
      <w:r>
        <w:rPr>
          <w:rFonts w:ascii="Arial" w:hAnsi="Arial"/>
          <w:b w:val="0"/>
          <w:i w:val="0"/>
          <w:color w:val="111827"/>
          <w:sz w:val="22"/>
        </w:rPr>
        <w:t xml:space="preserve"> A aprovação do orçamento, de seus créditos adicionais e do plano plurianual depende obrigatoriamente de lei formal de iniciativa privativa do Executivo (art. 165 da CF/88).</w:t>
      </w:r>
    </w:p>
    <w:p>
      <w:pPr>
        <w:spacing w:line="276" w:lineRule="auto" w:before="20" w:after="40"/>
        <w:ind w:left="425"/>
      </w:pPr>
      <w:r>
        <w:rPr>
          <w:rFonts w:ascii="Arial" w:hAnsi="Arial"/>
          <w:b/>
          <w:color w:val="2B6CB0"/>
          <w:sz w:val="22"/>
        </w:rPr>
        <w:t xml:space="preserve">• </w:t>
      </w:r>
      <w:r>
        <w:rPr>
          <w:rFonts w:ascii="Arial" w:hAnsi="Arial"/>
          <w:b/>
          <w:i w:val="0"/>
          <w:color w:val="111827"/>
          <w:sz w:val="22"/>
        </w:rPr>
        <w:t>Clareza e Transparência:</w:t>
      </w:r>
      <w:r>
        <w:rPr>
          <w:rFonts w:ascii="Arial" w:hAnsi="Arial"/>
          <w:b w:val="0"/>
          <w:i w:val="0"/>
          <w:color w:val="111827"/>
          <w:sz w:val="22"/>
        </w:rPr>
        <w:t xml:space="preserve"> O orçamento deve ser apresentado em linguagem compreensível para permitir a fiscalização pela sociedade e pelos órgãos de controle externo (art. 48 da LRF).</w:t>
      </w:r>
    </w:p>
    <w:p>
      <w:pPr>
        <w:keepNext/>
        <w:spacing w:before="200" w:after="80"/>
      </w:pPr>
      <w:r>
        <w:rPr>
          <w:rFonts w:ascii="Arial" w:hAnsi="Arial"/>
          <w:b/>
          <w:i w:val="0"/>
          <w:color w:val="2B6CB0"/>
          <w:sz w:val="24"/>
        </w:rPr>
        <w:t>3. O Sistema Orçamentário Constitucional: PPA, LDO e LOA</w:t>
      </w:r>
    </w:p>
    <w:p>
      <w:pPr>
        <w:spacing w:line="360" w:lineRule="auto" w:before="0" w:after="80"/>
        <w:jc w:val="both"/>
      </w:pPr>
      <w:r>
        <w:rPr>
          <w:rFonts w:ascii="Arial" w:hAnsi="Arial"/>
          <w:b w:val="0"/>
          <w:i w:val="0"/>
          <w:color w:val="111827"/>
          <w:sz w:val="24"/>
        </w:rPr>
        <w:t>A Constituição Federal de 1988 estabeleceu um modelo tripartite harmônico de planejamento e finanças públicas estruturado no artigo 165:</w:t>
      </w:r>
    </w:p>
    <w:p>
      <w:pPr>
        <w:spacing w:after="120"/>
      </w:pPr>
    </w:p>
    <w:p>
      <w:pPr>
        <w:keepNext/>
        <w:spacing w:before="120" w:after="40"/>
      </w:pPr>
      <w:r>
        <w:rPr>
          <w:rFonts w:ascii="Arial" w:hAnsi="Arial"/>
          <w:b/>
          <w:i/>
          <w:color w:val="334155"/>
          <w:sz w:val="22"/>
        </w:rPr>
        <w:t>3.1 Plano Plurianual (PPA): Planejamento Estratégico de Médio Prazo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Matriz Constitucional (Art. 165, § 1º):</w:t>
      </w:r>
      <w:r>
        <w:rPr>
          <w:rFonts w:ascii="Arial" w:hAnsi="Arial"/>
          <w:b w:val="0"/>
          <w:i w:val="0"/>
          <w:color w:val="111827"/>
          <w:sz w:val="22"/>
        </w:rPr>
        <w:t xml:space="preserve"> Estabelece, de forma regionalizada, as </w:t>
      </w:r>
      <w:r>
        <w:rPr>
          <w:rFonts w:ascii="Arial" w:hAnsi="Arial"/>
          <w:b/>
          <w:i w:val="0"/>
          <w:color w:val="111827"/>
          <w:sz w:val="22"/>
        </w:rPr>
        <w:t>Diretrizes, Objetivos e Metas (DOM)</w:t>
      </w:r>
      <w:r>
        <w:rPr>
          <w:rFonts w:ascii="Arial" w:hAnsi="Arial"/>
          <w:b w:val="0"/>
          <w:i w:val="0"/>
          <w:color w:val="111827"/>
          <w:sz w:val="22"/>
        </w:rPr>
        <w:t xml:space="preserve"> da administração pública federal, estadual ou municipal para as </w:t>
      </w:r>
      <w:r>
        <w:rPr>
          <w:rFonts w:ascii="Arial" w:hAnsi="Arial"/>
          <w:b/>
          <w:i w:val="0"/>
          <w:color w:val="111827"/>
          <w:sz w:val="22"/>
        </w:rPr>
        <w:t>despesas de capital</w:t>
      </w:r>
      <w:r>
        <w:rPr>
          <w:rFonts w:ascii="Arial" w:hAnsi="Arial"/>
          <w:b w:val="0"/>
          <w:i w:val="0"/>
          <w:color w:val="111827"/>
          <w:sz w:val="22"/>
        </w:rPr>
        <w:t xml:space="preserve"> e outras delas decorrentes e para as relativas aos </w:t>
      </w:r>
      <w:r>
        <w:rPr>
          <w:rFonts w:ascii="Arial" w:hAnsi="Arial"/>
          <w:b/>
          <w:i w:val="0"/>
          <w:color w:val="111827"/>
          <w:sz w:val="22"/>
        </w:rPr>
        <w:t>programas de duração continuada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Regra de Bloqueio Orçamentário (Art. 167, § 1º da CF/88):</w:t>
      </w:r>
      <w:r>
        <w:rPr>
          <w:rFonts w:ascii="Arial" w:hAnsi="Arial"/>
          <w:b w:val="0"/>
          <w:i w:val="0"/>
          <w:color w:val="111827"/>
          <w:sz w:val="22"/>
        </w:rPr>
        <w:t xml:space="preserve"> Nenhum investimento cuja execução ultrapasse um exercício financeiro poderá ser iniciado sem prévia inclusão no PPA, ou sem lei que autorize a inclusão, sob pena de crime de responsabilidade.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Vigência Quadrienal Descasada do Mandato:</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O PPA vigora por 4 anos: inicia-se no segundo ano do mandato do governante eleito e encerra-se no final do primeiro ano do mandato do sucessor (art. 35, § 2º, I do ADCT). Essa regra assegura a transição republicana e impede descontinuidade administrativa de projetos estratégicos.</w:t>
      </w:r>
    </w:p>
    <w:p>
      <w:pPr>
        <w:keepNext/>
        <w:spacing w:before="120" w:after="40"/>
      </w:pPr>
      <w:r>
        <w:rPr>
          <w:rFonts w:ascii="Arial" w:hAnsi="Arial"/>
          <w:b/>
          <w:i/>
          <w:color w:val="334155"/>
          <w:sz w:val="22"/>
        </w:rPr>
        <w:t>3.2 Lei de Diretrizes Orçamentárias (LDO): O Elo Tático e as Exigências da LRF</w:t>
      </w:r>
    </w:p>
    <w:p>
      <w:pPr>
        <w:spacing w:line="276" w:lineRule="auto" w:before="20" w:after="40"/>
        <w:ind w:left="425"/>
      </w:pPr>
      <w:r>
        <w:rPr>
          <w:rFonts w:ascii="Arial" w:hAnsi="Arial"/>
          <w:b/>
          <w:color w:val="2B6CB0"/>
          <w:sz w:val="22"/>
        </w:rPr>
        <w:t xml:space="preserve">• </w:t>
      </w:r>
      <w:r>
        <w:rPr>
          <w:rFonts w:ascii="Arial" w:hAnsi="Arial"/>
          <w:b/>
          <w:i w:val="0"/>
          <w:color w:val="111827"/>
          <w:sz w:val="22"/>
        </w:rPr>
        <w:t>Matriz Constitucional (Art. 165, § 2º):</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Compreende as </w:t>
      </w:r>
      <w:r>
        <w:rPr>
          <w:rFonts w:ascii="Arial" w:hAnsi="Arial"/>
          <w:b/>
          <w:i w:val="0"/>
          <w:color w:val="111827"/>
          <w:sz w:val="22"/>
        </w:rPr>
        <w:t>metas e prioridades</w:t>
      </w:r>
      <w:r>
        <w:rPr>
          <w:rFonts w:ascii="Arial" w:hAnsi="Arial"/>
          <w:b w:val="0"/>
          <w:i w:val="0"/>
          <w:color w:val="111827"/>
          <w:sz w:val="22"/>
        </w:rPr>
        <w:t xml:space="preserve"> da administração pública;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Estabelece as diretrizes de política fiscal e suas metas, em consonância com a trajetória sustentável da dívida pública;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Orienta a elaboração da LOA;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Dispõe sobre as alterações na legislação tributária;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Regula a concessão de quaisquer vantagens ou aumentos de remuneração a servidores.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Conteúdo Obrigatório pela LRF (Art. 4º):</w:t>
      </w:r>
    </w:p>
    <w:p>
      <w:pPr>
        <w:spacing w:line="276" w:lineRule="auto" w:before="20" w:after="40"/>
        <w:ind w:left="992"/>
      </w:pPr>
      <w:r>
        <w:rPr>
          <w:rFonts w:ascii="Arial" w:hAnsi="Arial"/>
          <w:b/>
          <w:color w:val="2B6CB0"/>
          <w:sz w:val="22"/>
        </w:rPr>
        <w:t xml:space="preserve">• </w:t>
      </w:r>
      <w:r>
        <w:rPr>
          <w:rFonts w:ascii="Arial" w:hAnsi="Arial"/>
          <w:b/>
          <w:i w:val="0"/>
          <w:color w:val="111827"/>
          <w:sz w:val="22"/>
        </w:rPr>
        <w:t>Anexo de Metas Fiscais (AMF):</w:t>
      </w:r>
      <w:r>
        <w:rPr>
          <w:rFonts w:ascii="Arial" w:hAnsi="Arial"/>
          <w:b w:val="0"/>
          <w:i w:val="0"/>
          <w:color w:val="111827"/>
          <w:sz w:val="22"/>
        </w:rPr>
        <w:t xml:space="preserve"> Estabelece metas anuais, em valores correntes e constantes, relativas a receitas, despesas, resultado nominal e primário e montante da dívida pública, para o </w:t>
      </w:r>
      <w:r>
        <w:rPr>
          <w:rFonts w:ascii="Arial" w:hAnsi="Arial"/>
          <w:b/>
          <w:i w:val="0"/>
          <w:color w:val="111827"/>
          <w:sz w:val="22"/>
        </w:rPr>
        <w:t>exercício a que se referir e para os dois seguintes (triênio fiscal)</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Anexo de Riscos Fiscais (ARF):</w:t>
      </w:r>
      <w:r>
        <w:rPr>
          <w:rFonts w:ascii="Arial" w:hAnsi="Arial"/>
          <w:b w:val="0"/>
          <w:i w:val="0"/>
          <w:color w:val="111827"/>
          <w:sz w:val="22"/>
        </w:rPr>
        <w:t xml:space="preserve"> Avalia os passivos contingentes e outros riscos capazes de afetar as contas públicas (ex.: demandas judiciais de grande repercussão, avais concedidos), informando as providências a serem tomadas caso se concretizem.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Critérios e formas de limitação de empenho e movimentação financeira (contingenciamento de gastos).</w:t>
      </w:r>
    </w:p>
    <w:p>
      <w:pPr>
        <w:keepNext/>
        <w:spacing w:before="120" w:after="40"/>
      </w:pPr>
      <w:r>
        <w:rPr>
          <w:rFonts w:ascii="Arial" w:hAnsi="Arial"/>
          <w:b/>
          <w:i/>
          <w:color w:val="334155"/>
          <w:sz w:val="22"/>
        </w:rPr>
        <w:t>3.3 Lei Orçamentária Anual (LOA): A Estrutura Tríplice Integrada</w:t>
      </w:r>
    </w:p>
    <w:p>
      <w:pPr>
        <w:spacing w:line="360" w:lineRule="auto" w:before="0" w:after="80"/>
        <w:jc w:val="both"/>
      </w:pPr>
      <w:r>
        <w:rPr>
          <w:rFonts w:ascii="Arial" w:hAnsi="Arial"/>
          <w:b w:val="0"/>
          <w:i w:val="0"/>
          <w:color w:val="111827"/>
          <w:sz w:val="24"/>
        </w:rPr>
        <w:t>A LOA (art. 165, § 5º da CF/88) materializa o plano anual de receitas e despesas mediante três esferas integradas: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Orçamento Fiscal:</w:t>
      </w:r>
      <w:r>
        <w:rPr>
          <w:rFonts w:ascii="Arial" w:hAnsi="Arial"/>
          <w:b w:val="0"/>
          <w:i w:val="0"/>
          <w:color w:val="111827"/>
          <w:sz w:val="22"/>
        </w:rPr>
        <w:t xml:space="preserve"> Abrange os Poderes do ente federativo, seus fundos, órgãos e entidades da administração direta e indireta, inclusive fundações instituídas e mantidas pelo poder público.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Orçamento da Seguridade Social:</w:t>
      </w:r>
      <w:r>
        <w:rPr>
          <w:rFonts w:ascii="Arial" w:hAnsi="Arial"/>
          <w:b w:val="0"/>
          <w:i w:val="0"/>
          <w:color w:val="111827"/>
          <w:sz w:val="22"/>
        </w:rPr>
        <w:t xml:space="preserve"> Abrange todas as entidades e órgãos a ela vinculados, da administração direta ou indireta, bem como os fundos e fundações instituídos e mantidos pelo poder público, contemplando as áreas de </w:t>
      </w:r>
      <w:r>
        <w:rPr>
          <w:rFonts w:ascii="Arial" w:hAnsi="Arial"/>
          <w:b/>
          <w:i w:val="0"/>
          <w:color w:val="111827"/>
          <w:sz w:val="22"/>
        </w:rPr>
        <w:t>Saúde, Previdência Social e Assistência Social</w:t>
      </w:r>
      <w:r>
        <w:rPr>
          <w:rFonts w:ascii="Arial" w:hAnsi="Arial"/>
          <w:b w:val="0"/>
          <w:i w:val="0"/>
          <w:color w:val="111827"/>
          <w:sz w:val="22"/>
        </w:rPr>
        <w:t xml:space="preserve"> (Art. 195 da CF/88).</w:t>
      </w:r>
    </w:p>
    <w:p>
      <w:pPr>
        <w:spacing w:line="276" w:lineRule="auto" w:before="20" w:after="40"/>
        <w:ind w:left="425"/>
      </w:pPr>
      <w:r>
        <w:rPr>
          <w:rFonts w:ascii="Arial" w:hAnsi="Arial"/>
          <w:b/>
          <w:color w:val="1B365D"/>
          <w:sz w:val="22"/>
        </w:rPr>
        <w:t xml:space="preserve">3. </w:t>
      </w:r>
      <w:r>
        <w:rPr>
          <w:rFonts w:ascii="Arial" w:hAnsi="Arial"/>
          <w:b/>
          <w:i w:val="0"/>
          <w:color w:val="111827"/>
          <w:sz w:val="22"/>
        </w:rPr>
        <w:t>Orçamento de Investimento das Estatais:</w:t>
      </w:r>
      <w:r>
        <w:rPr>
          <w:rFonts w:ascii="Arial" w:hAnsi="Arial"/>
          <w:b w:val="0"/>
          <w:i w:val="0"/>
          <w:color w:val="111827"/>
          <w:sz w:val="22"/>
        </w:rPr>
        <w:t xml:space="preserve"> Abrange as empresas em que o Estado, direta ou indiretamente, detenha a </w:t>
      </w:r>
      <w:r>
        <w:rPr>
          <w:rFonts w:ascii="Arial" w:hAnsi="Arial"/>
          <w:b/>
          <w:i w:val="0"/>
          <w:color w:val="111827"/>
          <w:sz w:val="22"/>
        </w:rPr>
        <w:t>maioria do capital social com direito a voto</w:t>
      </w:r>
      <w:r>
        <w:rPr>
          <w:rFonts w:ascii="Arial" w:hAnsi="Arial"/>
          <w:b w:val="0"/>
          <w:i w:val="0"/>
          <w:color w:val="111827"/>
          <w:sz w:val="22"/>
        </w:rPr>
        <w:t>.</w:t>
      </w:r>
    </w:p>
    <w:p>
      <w:pPr>
        <w:keepNext/>
        <w:spacing w:before="200" w:after="80"/>
      </w:pPr>
      <w:r>
        <w:rPr>
          <w:rFonts w:ascii="Arial" w:hAnsi="Arial"/>
          <w:b/>
          <w:i w:val="0"/>
          <w:color w:val="2B6CB0"/>
          <w:sz w:val="24"/>
        </w:rPr>
        <w:t>4. Ciclo Orçamentário e Processo Legislativo Orçamentário</w:t>
      </w:r>
    </w:p>
    <w:p>
      <w:pPr>
        <w:keepNext/>
        <w:spacing w:before="120" w:after="40"/>
      </w:pPr>
      <w:r>
        <w:rPr>
          <w:rFonts w:ascii="Arial" w:hAnsi="Arial"/>
          <w:b/>
          <w:i/>
          <w:color w:val="334155"/>
          <w:sz w:val="22"/>
        </w:rPr>
        <w:t>4.1 As Quatro Etapas do Ciclo Orçamentário</w:t>
      </w:r>
    </w:p>
    <w:p>
      <w:pPr>
        <w:spacing w:line="360" w:lineRule="auto" w:before="0" w:after="80"/>
        <w:jc w:val="both"/>
      </w:pPr>
      <w:r>
        <w:rPr>
          <w:rFonts w:ascii="Arial" w:hAnsi="Arial"/>
          <w:b w:val="0"/>
          <w:i w:val="0"/>
          <w:color w:val="111827"/>
          <w:sz w:val="24"/>
        </w:rPr>
        <w:t>O ciclo orçamentário é um processo contínuo e dinâmico desdobrado em quatro fases sequenciais: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Elaboração da Proposta:</w:t>
      </w:r>
      <w:r>
        <w:rPr>
          <w:rFonts w:ascii="Arial" w:hAnsi="Arial"/>
          <w:b w:val="0"/>
          <w:i w:val="0"/>
          <w:color w:val="111827"/>
          <w:sz w:val="22"/>
        </w:rPr>
        <w:t xml:space="preserve"> Competência privativa do Chefe do Poder Executivo, que consolida suas propostas e as demandas orçamentárias dos demais Poderes e órgãos autônomos (Legislativo, Judiciário, Ministério Público e Defensoria Pública), nos limites estipulados pela LDO.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Discussão, Votação e Aprovação:</w:t>
      </w:r>
      <w:r>
        <w:rPr>
          <w:rFonts w:ascii="Arial" w:hAnsi="Arial"/>
          <w:b w:val="0"/>
          <w:i w:val="0"/>
          <w:color w:val="111827"/>
          <w:sz w:val="22"/>
        </w:rPr>
        <w:t xml:space="preserve"> Conduzida no âmbito do Poder Legislativo, iniciando-se por comissão mista e culminando com votação em plenário e envio para sanção ou veto.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Execução Orçamentária e Financeira:</w:t>
      </w:r>
      <w:r>
        <w:rPr>
          <w:rFonts w:ascii="Arial" w:hAnsi="Arial"/>
          <w:b w:val="0"/>
          <w:i w:val="0"/>
          <w:color w:val="111827"/>
          <w:sz w:val="22"/>
        </w:rPr>
        <w:t xml:space="preserve"> Arrecadação de receitas, emissão de empenhos, liquidação e pagamento das despesas públicas.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Controle e Avaliação:</w:t>
      </w:r>
      <w:r>
        <w:rPr>
          <w:rFonts w:ascii="Arial" w:hAnsi="Arial"/>
          <w:b w:val="0"/>
          <w:i w:val="0"/>
          <w:color w:val="111827"/>
          <w:sz w:val="22"/>
        </w:rPr>
        <w:t xml:space="preserve"> Fiscalização contábil, financeira, orçamentária, operacional e patrimonial exercida pelos sistemas de controle interno e pelo controle externo (Poder Legislativo auxiliado pelo Tribunal de Contas).</w:t>
      </w:r>
    </w:p>
    <w:p>
      <w:pPr>
        <w:keepNext/>
        <w:spacing w:before="120" w:after="40"/>
      </w:pPr>
      <w:r>
        <w:rPr>
          <w:rFonts w:ascii="Arial" w:hAnsi="Arial"/>
          <w:b/>
          <w:i/>
          <w:color w:val="334155"/>
          <w:sz w:val="22"/>
        </w:rPr>
        <w:t>4.2 Processo Legislativo e a Tramitação na CMO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No âmbito federal, os projetos de lei do PPA, LDO, LOA e de créditos adicionais são examinados e relatados pela </w:t>
      </w:r>
      <w:r>
        <w:rPr>
          <w:rFonts w:ascii="Arial" w:hAnsi="Arial"/>
          <w:b/>
          <w:i w:val="0"/>
          <w:color w:val="111827"/>
          <w:sz w:val="22"/>
        </w:rPr>
        <w:t>Comissão Mista Permanente de Deputados e Senadores (Comissão Mista de Planos, Orçamentos Públicos e Fiscalização - CMO)</w:t>
      </w:r>
      <w:r>
        <w:rPr>
          <w:rFonts w:ascii="Arial" w:hAnsi="Arial"/>
          <w:b w:val="0"/>
          <w:i w:val="0"/>
          <w:color w:val="111827"/>
          <w:sz w:val="22"/>
        </w:rPr>
        <w:t xml:space="preserve"> (art. 166, § 1º da CF/88).</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Regras para Apresentação de Emendas à LOA (Art. 166, § 3º):</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As emendas parlamentares ao projeto de LOA só podem ser aprovadas caso: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Sejam compatíveis com o PPA e com a LDO; 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Indiquem os recursos necessários, admitidos apenas os provenientes de anulação de despesa, </w:t>
      </w:r>
      <w:r>
        <w:rPr>
          <w:rFonts w:ascii="Arial" w:hAnsi="Arial"/>
          <w:b/>
          <w:i w:val="0"/>
          <w:color w:val="111827"/>
          <w:sz w:val="22"/>
        </w:rPr>
        <w:t>excluídas as relativas 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Dotações para pessoal e seus encargos;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Serviço da dívida;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Transferências tributárias constitucionais para Estados e Municípios; OU</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Sejam relacionadas com a correção de erros ou omissões, ou com os dispositivos do texto do projeto de lei.</w:t>
      </w:r>
    </w:p>
    <w:p>
      <w:pPr>
        <w:keepNext/>
        <w:spacing w:before="120" w:after="40"/>
      </w:pPr>
      <w:r>
        <w:rPr>
          <w:rFonts w:ascii="Arial" w:hAnsi="Arial"/>
          <w:b/>
          <w:i/>
          <w:color w:val="334155"/>
          <w:sz w:val="22"/>
        </w:rPr>
        <w:t>4.3 Prazos Constitucionais de Envio e Devolução (ADCT)</w:t>
      </w:r>
    </w:p>
    <w:p>
      <w:pPr>
        <w:spacing w:line="360" w:lineRule="auto" w:before="0" w:after="80"/>
        <w:jc w:val="both"/>
      </w:pPr>
      <w:r>
        <w:rPr>
          <w:rFonts w:ascii="Arial" w:hAnsi="Arial"/>
          <w:b w:val="0"/>
          <w:i w:val="0"/>
          <w:color w:val="111827"/>
          <w:sz w:val="24"/>
        </w:rPr>
        <w:t>Enquanto não editada a Lei Complementar prevista no art. 165, § 9º da CF/88, vigoram na esfera federal os prazos do art. 35, § 2º do ADCT:</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Instrumento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Prazo Limite de Envio pelo Executivo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Prazo Limite de Devolução pelo Legislativo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PPA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Até 4 meses antes do encerramento do exercício financeiro (</w:t>
            </w:r>
            <w:r>
              <w:rPr>
                <w:rFonts w:ascii="Arial" w:hAnsi="Arial"/>
                <w:b/>
                <w:i w:val="0"/>
                <w:color w:val="111827"/>
                <w:sz w:val="19"/>
              </w:rPr>
              <w:t>31 de agosto</w:t>
            </w:r>
            <w:r>
              <w:rPr>
                <w:rFonts w:ascii="Arial" w:hAnsi="Arial"/>
                <w:b w:val="0"/>
                <w:i w:val="0"/>
                <w:color w:val="111827"/>
                <w:sz w:val="19"/>
              </w:rPr>
              <w:t>) do primeiro ano de mandato.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Até o encerramento da sessão legislativa (</w:t>
            </w:r>
            <w:r>
              <w:rPr>
                <w:rFonts w:ascii="Arial" w:hAnsi="Arial"/>
                <w:b/>
                <w:i w:val="0"/>
                <w:color w:val="111827"/>
                <w:sz w:val="19"/>
              </w:rPr>
              <w:t>22 de dezembro</w:t>
            </w:r>
            <w:r>
              <w:rPr>
                <w:rFonts w:ascii="Arial" w:hAnsi="Arial"/>
                <w:b w:val="0"/>
                <w:i w:val="0"/>
                <w:color w:val="111827"/>
                <w:sz w:val="19"/>
              </w:rPr>
              <w: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LDO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Até 8 meses e meio antes do encerramento do exercício financeiro (</w:t>
            </w:r>
            <w:r>
              <w:rPr>
                <w:rFonts w:ascii="Arial" w:hAnsi="Arial"/>
                <w:b/>
                <w:i w:val="0"/>
                <w:color w:val="111827"/>
                <w:sz w:val="19"/>
              </w:rPr>
              <w:t>15 de abril</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Até o encerramento do primeiro período da sessão legislativa (</w:t>
            </w:r>
            <w:r>
              <w:rPr>
                <w:rFonts w:ascii="Arial" w:hAnsi="Arial"/>
                <w:b/>
                <w:i w:val="0"/>
                <w:color w:val="111827"/>
                <w:sz w:val="19"/>
              </w:rPr>
              <w:t>17 de julho</w:t>
            </w:r>
            <w:r>
              <w:rPr>
                <w:rFonts w:ascii="Arial" w:hAnsi="Arial"/>
                <w:b w:val="0"/>
                <w:i w:val="0"/>
                <w:color w:val="111827"/>
                <w:sz w:val="19"/>
              </w:rPr>
              <w:t xml:space="preserve"> - a sessão não pode ser interrompida sem sua aprovação).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LOA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Até 4 meses antes do encerramento do exercício financeiro (</w:t>
            </w:r>
            <w:r>
              <w:rPr>
                <w:rFonts w:ascii="Arial" w:hAnsi="Arial"/>
                <w:b/>
                <w:i w:val="0"/>
                <w:color w:val="111827"/>
                <w:sz w:val="19"/>
              </w:rPr>
              <w:t>31 de agosto</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Até o encerramento da sessão legislativa (</w:t>
            </w:r>
            <w:r>
              <w:rPr>
                <w:rFonts w:ascii="Arial" w:hAnsi="Arial"/>
                <w:b/>
                <w:i w:val="0"/>
                <w:color w:val="111827"/>
                <w:sz w:val="19"/>
              </w:rPr>
              <w:t>22 de dezembro</w:t>
            </w:r>
            <w:r>
              <w:rPr>
                <w:rFonts w:ascii="Arial" w:hAnsi="Arial"/>
                <w:b w:val="0"/>
                <w:i w:val="0"/>
                <w:color w:val="111827"/>
                <w:sz w:val="19"/>
              </w:rPr>
              <w:t>).</w:t>
            </w:r>
          </w:p>
        </w:tc>
      </w:tr>
    </w:tbl>
    <w:p>
      <w:pPr>
        <w:spacing w:after="120"/>
      </w:pPr>
    </w:p>
    <w:p>
      <w:pPr>
        <w:keepNext/>
        <w:spacing w:before="200" w:after="80"/>
      </w:pPr>
      <w:r>
        <w:rPr>
          <w:rFonts w:ascii="Arial" w:hAnsi="Arial"/>
          <w:b/>
          <w:i w:val="0"/>
          <w:color w:val="2B6CB0"/>
          <w:sz w:val="24"/>
        </w:rPr>
        <w:t>5. Emendas Parlamentares e o Regime do Orçamento Impositivo</w:t>
      </w:r>
    </w:p>
    <w:p>
      <w:pPr>
        <w:spacing w:line="360" w:lineRule="auto" w:before="0" w:after="80"/>
        <w:jc w:val="both"/>
      </w:pPr>
      <w:r>
        <w:rPr>
          <w:rFonts w:ascii="Arial" w:hAnsi="Arial"/>
          <w:b w:val="0"/>
          <w:i w:val="0"/>
          <w:color w:val="111827"/>
          <w:sz w:val="24"/>
        </w:rPr>
        <w:t xml:space="preserve">Historicamente meramente autorizativo, o orçamento brasileiro adquiriu feição </w:t>
      </w:r>
      <w:r>
        <w:rPr>
          <w:rFonts w:ascii="Arial" w:hAnsi="Arial"/>
          <w:b/>
          <w:i w:val="0"/>
          <w:color w:val="111827"/>
          <w:sz w:val="24"/>
        </w:rPr>
        <w:t>parcialmente impositiva</w:t>
      </w:r>
      <w:r>
        <w:rPr>
          <w:rFonts w:ascii="Arial" w:hAnsi="Arial"/>
          <w:b w:val="0"/>
          <w:i w:val="0"/>
          <w:color w:val="111827"/>
          <w:sz w:val="24"/>
        </w:rPr>
        <w:t xml:space="preserve"> por meio de reformas constitucionais sucessivas:</w:t>
      </w:r>
    </w:p>
    <w:p>
      <w:pPr>
        <w:spacing w:after="120"/>
      </w:pPr>
    </w:p>
    <w:p>
      <w:pPr>
        <w:keepNext/>
        <w:spacing w:before="120" w:after="40"/>
      </w:pPr>
      <w:r>
        <w:rPr>
          <w:rFonts w:ascii="Arial" w:hAnsi="Arial"/>
          <w:b/>
          <w:i/>
          <w:color w:val="334155"/>
          <w:sz w:val="22"/>
        </w:rPr>
        <w:t>5.1 Emendas Individuais Impositivas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Percentual Vinculante (Art. 166, § 9º):</w:t>
      </w:r>
      <w:r>
        <w:rPr>
          <w:rFonts w:ascii="Arial" w:hAnsi="Arial"/>
          <w:b w:val="0"/>
          <w:i w:val="0"/>
          <w:color w:val="111827"/>
          <w:sz w:val="22"/>
        </w:rPr>
        <w:t xml:space="preserve"> As emendas individuais ao projeto de LOA serão aprovadas no limite de </w:t>
      </w:r>
      <w:r>
        <w:rPr>
          <w:rFonts w:ascii="Arial" w:hAnsi="Arial"/>
          <w:b/>
          <w:i w:val="0"/>
          <w:color w:val="111827"/>
          <w:sz w:val="22"/>
        </w:rPr>
        <w:t>2% da Receita Corrente Líquida (RCL)</w:t>
      </w:r>
      <w:r>
        <w:rPr>
          <w:rFonts w:ascii="Arial" w:hAnsi="Arial"/>
          <w:b w:val="0"/>
          <w:i w:val="0"/>
          <w:color w:val="111827"/>
          <w:sz w:val="22"/>
        </w:rPr>
        <w:t xml:space="preserve"> do exercício anterior.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Vinculação à Saúde:</w:t>
      </w:r>
      <w:r>
        <w:rPr>
          <w:rFonts w:ascii="Arial" w:hAnsi="Arial"/>
          <w:b w:val="0"/>
          <w:i w:val="0"/>
          <w:color w:val="111827"/>
          <w:sz w:val="22"/>
        </w:rPr>
        <w:t xml:space="preserve"> A </w:t>
      </w:r>
      <w:r>
        <w:rPr>
          <w:rFonts w:ascii="Arial" w:hAnsi="Arial"/>
          <w:b/>
          <w:i w:val="0"/>
          <w:color w:val="111827"/>
          <w:sz w:val="22"/>
        </w:rPr>
        <w:t>metade (50%)</w:t>
      </w:r>
      <w:r>
        <w:rPr>
          <w:rFonts w:ascii="Arial" w:hAnsi="Arial"/>
          <w:b w:val="0"/>
          <w:i w:val="0"/>
          <w:color w:val="111827"/>
          <w:sz w:val="22"/>
        </w:rPr>
        <w:t xml:space="preserve"> desse percentual deve ser destinada obrigatoriamente a </w:t>
      </w:r>
      <w:r>
        <w:rPr>
          <w:rFonts w:ascii="Arial" w:hAnsi="Arial"/>
          <w:b/>
          <w:i w:val="0"/>
          <w:color w:val="111827"/>
          <w:sz w:val="22"/>
        </w:rPr>
        <w:t>ações e serviços públicos de saúde (ASPS)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Vedação de Compensação:</w:t>
      </w:r>
      <w:r>
        <w:rPr>
          <w:rFonts w:ascii="Arial" w:hAnsi="Arial"/>
          <w:b w:val="0"/>
          <w:i w:val="0"/>
          <w:color w:val="111827"/>
          <w:sz w:val="22"/>
        </w:rPr>
        <w:t xml:space="preserve"> Os recursos de emendas individuais não podem ser utilizados pelo Poder Executivo para abater ou integralizar o piso constitucional mínimo obrigatório que o ente deve aplicar em saúde (art. 166, § 10).</w:t>
      </w:r>
    </w:p>
    <w:p>
      <w:pPr>
        <w:keepNext/>
        <w:spacing w:before="120" w:after="40"/>
      </w:pPr>
      <w:r>
        <w:rPr>
          <w:rFonts w:ascii="Arial" w:hAnsi="Arial"/>
          <w:b/>
          <w:i/>
          <w:color w:val="334155"/>
          <w:sz w:val="22"/>
        </w:rPr>
        <w:t>5.2 Emendas de Bancada Estadual Impositivas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Percentual Vinculante (Art. 166, § 12):</w:t>
      </w:r>
      <w:r>
        <w:rPr>
          <w:rFonts w:ascii="Arial" w:hAnsi="Arial"/>
          <w:b w:val="0"/>
          <w:i w:val="0"/>
          <w:color w:val="111827"/>
          <w:sz w:val="22"/>
        </w:rPr>
        <w:t xml:space="preserve"> A aprovação e execução orçamentária e financeira das emendas de bancada de parlamentares de Estado ou do DF são obrigatórias até o limite de </w:t>
      </w:r>
      <w:r>
        <w:rPr>
          <w:rFonts w:ascii="Arial" w:hAnsi="Arial"/>
          <w:b/>
          <w:i w:val="0"/>
          <w:color w:val="111827"/>
          <w:sz w:val="22"/>
        </w:rPr>
        <w:t>1% da Receita Corrente Líquida</w:t>
      </w:r>
      <w:r>
        <w:rPr>
          <w:rFonts w:ascii="Arial" w:hAnsi="Arial"/>
          <w:b w:val="0"/>
          <w:i w:val="0"/>
          <w:color w:val="111827"/>
          <w:sz w:val="22"/>
        </w:rPr>
        <w:t xml:space="preserve"> do exercício anterior.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Destinam-se precipuamente a investimentos estruturantes e despesas de capital de interesse regional.</w:t>
      </w:r>
    </w:p>
    <w:p>
      <w:pPr>
        <w:keepNext/>
        <w:spacing w:before="120" w:after="40"/>
      </w:pPr>
      <w:r>
        <w:rPr>
          <w:rFonts w:ascii="Arial" w:hAnsi="Arial"/>
          <w:b/>
          <w:i/>
          <w:color w:val="334155"/>
          <w:sz w:val="22"/>
        </w:rPr>
        <w:t>5.3 Transferências Especiais ("Emendas PIX") e com Finalidade Definida (Art. 166-A)</w:t>
      </w:r>
    </w:p>
    <w:p>
      <w:pPr>
        <w:spacing w:line="360" w:lineRule="auto" w:before="0" w:after="80"/>
        <w:jc w:val="both"/>
      </w:pPr>
      <w:r>
        <w:rPr>
          <w:rFonts w:ascii="Arial" w:hAnsi="Arial"/>
          <w:b w:val="0"/>
          <w:i w:val="0"/>
          <w:color w:val="111827"/>
          <w:sz w:val="24"/>
        </w:rPr>
        <w:t>A Emenda Constitucional nº 105/2019 introduziu o art. 166-A na Carta Magna, disciplinando duas modalidades para repasse direto de recursos federais de emendas individuais a Estados, DF e Municípios: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Transferência Especial ("Emenda PIX"):</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recurso financeiro é repassado </w:t>
      </w:r>
      <w:r>
        <w:rPr>
          <w:rFonts w:ascii="Arial" w:hAnsi="Arial"/>
          <w:b/>
          <w:i w:val="0"/>
          <w:color w:val="111827"/>
          <w:sz w:val="22"/>
        </w:rPr>
        <w:t>diretamente ao ente federado recebedor, sem a necessidade de celebração de convênio</w:t>
      </w:r>
      <w:r>
        <w:rPr>
          <w:rFonts w:ascii="Arial" w:hAnsi="Arial"/>
          <w:b w:val="0"/>
          <w:i w:val="0"/>
          <w:color w:val="111827"/>
          <w:sz w:val="22"/>
        </w:rPr>
        <w:t>, contrato de repasse ou instrumento congênere;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Os recursos passam a pertencer ao ente federado no ato da efetivação da transferência financeira;</w:t>
      </w:r>
    </w:p>
    <w:p>
      <w:pPr>
        <w:spacing w:line="276" w:lineRule="auto" w:before="20" w:after="40"/>
        <w:ind w:left="992"/>
      </w:pPr>
      <w:r>
        <w:rPr>
          <w:rFonts w:ascii="Arial" w:hAnsi="Arial"/>
          <w:b/>
          <w:color w:val="2B6CB0"/>
          <w:sz w:val="22"/>
        </w:rPr>
        <w:t xml:space="preserve">• </w:t>
      </w:r>
      <w:r>
        <w:rPr>
          <w:rFonts w:ascii="Arial" w:hAnsi="Arial"/>
          <w:b/>
          <w:i w:val="0"/>
          <w:color w:val="111827"/>
          <w:sz w:val="22"/>
        </w:rPr>
        <w:t>Vedações Constitucionais Absolutas:</w:t>
      </w:r>
      <w:r>
        <w:rPr>
          <w:rFonts w:ascii="Arial" w:hAnsi="Arial"/>
          <w:b w:val="0"/>
          <w:i w:val="0"/>
          <w:color w:val="111827"/>
          <w:sz w:val="22"/>
        </w:rPr>
        <w:t xml:space="preserve"> Não podem ser aplicados em: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Despesas com pessoal e encargos sociais;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Pagamento de encargos do serviço da dívida pública consolidada.</w:t>
      </w:r>
    </w:p>
    <w:p>
      <w:pPr>
        <w:spacing w:line="276" w:lineRule="auto" w:before="20" w:after="40"/>
        <w:ind w:left="992"/>
      </w:pPr>
      <w:r>
        <w:rPr>
          <w:rFonts w:ascii="Arial" w:hAnsi="Arial"/>
          <w:b/>
          <w:color w:val="2B6CB0"/>
          <w:sz w:val="22"/>
        </w:rPr>
        <w:t xml:space="preserve">• </w:t>
      </w:r>
      <w:r>
        <w:rPr>
          <w:rFonts w:ascii="Arial" w:hAnsi="Arial"/>
          <w:b/>
          <w:i w:val="0"/>
          <w:color w:val="111827"/>
          <w:sz w:val="22"/>
        </w:rPr>
        <w:t>Mínimo de 70% em Capital:</w:t>
      </w:r>
      <w:r>
        <w:rPr>
          <w:rFonts w:ascii="Arial" w:hAnsi="Arial"/>
          <w:b w:val="0"/>
          <w:i w:val="0"/>
          <w:color w:val="111827"/>
          <w:sz w:val="22"/>
        </w:rPr>
        <w:t xml:space="preserve"> Pelo menos </w:t>
      </w:r>
      <w:r>
        <w:rPr>
          <w:rFonts w:ascii="Arial" w:hAnsi="Arial"/>
          <w:b/>
          <w:i w:val="0"/>
          <w:color w:val="111827"/>
          <w:sz w:val="22"/>
        </w:rPr>
        <w:t>70% (setenta por cento)</w:t>
      </w:r>
      <w:r>
        <w:rPr>
          <w:rFonts w:ascii="Arial" w:hAnsi="Arial"/>
          <w:b w:val="0"/>
          <w:i w:val="0"/>
          <w:color w:val="111827"/>
          <w:sz w:val="22"/>
        </w:rPr>
        <w:t xml:space="preserve"> das transferências especiais devem ser aplicadas em </w:t>
      </w:r>
      <w:r>
        <w:rPr>
          <w:rFonts w:ascii="Arial" w:hAnsi="Arial"/>
          <w:b/>
          <w:i w:val="0"/>
          <w:color w:val="111827"/>
          <w:sz w:val="22"/>
        </w:rPr>
        <w:t>despesas de capital</w:t>
      </w:r>
      <w:r>
        <w:rPr>
          <w:rFonts w:ascii="Arial" w:hAnsi="Arial"/>
          <w:b w:val="0"/>
          <w:i w:val="0"/>
          <w:color w:val="111827"/>
          <w:sz w:val="22"/>
        </w:rPr>
        <w:t xml:space="preserve"> (investimentos, obras, aquisição de equipamentos), sendo permitido o máximo de 30% em despesas correntes de custeio operacional.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Transferência com Finalidade Definida: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Os recursos são expressamente vinculados à programação e ao objeto estabelecido na emenda parlamentar;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Devem ser aplicados nas áreas de competência constitucional associadas ao objeto, sujeitando-se à prestação de contas vinculada e acompanhamento pelo Tribunal de Contas da União (TCU).</w:t>
      </w:r>
    </w:p>
    <w:p>
      <w:pPr>
        <w:keepNext/>
        <w:spacing w:before="120" w:after="40"/>
      </w:pPr>
      <w:r>
        <w:rPr>
          <w:rFonts w:ascii="Arial" w:hAnsi="Arial"/>
          <w:b/>
          <w:i/>
          <w:color w:val="334155"/>
          <w:sz w:val="22"/>
        </w:rPr>
        <w:t>5.4 Limitações e Impedimentos Técnicos na Execução Obrigatória</w:t>
      </w:r>
    </w:p>
    <w:p>
      <w:pPr>
        <w:spacing w:line="360" w:lineRule="auto" w:before="0" w:after="80"/>
        <w:jc w:val="both"/>
      </w:pPr>
      <w:r>
        <w:rPr>
          <w:rFonts w:ascii="Arial" w:hAnsi="Arial"/>
          <w:b w:val="0"/>
          <w:i w:val="0"/>
          <w:color w:val="111827"/>
          <w:sz w:val="24"/>
        </w:rPr>
        <w:t>A execução obrigatória do orçamento impositivo não é irrestrita: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Contingenciamento Proporcional:</w:t>
      </w:r>
      <w:r>
        <w:rPr>
          <w:rFonts w:ascii="Arial" w:hAnsi="Arial"/>
          <w:b w:val="0"/>
          <w:i w:val="0"/>
          <w:color w:val="111827"/>
          <w:sz w:val="22"/>
        </w:rPr>
        <w:t xml:space="preserve"> Se a estimativa de receita e da despesa demonstrar que o cumprimento das metas de resultado primário ou nominal pode ser comprometido, o montante das emendas impositivas poderá ser reduzido </w:t>
      </w:r>
      <w:r>
        <w:rPr>
          <w:rFonts w:ascii="Arial" w:hAnsi="Arial"/>
          <w:b/>
          <w:i w:val="0"/>
          <w:color w:val="111827"/>
          <w:sz w:val="22"/>
        </w:rPr>
        <w:t>na mesma proporção da limitação de empenho aplicada às demais despesas discricionárias</w:t>
      </w:r>
      <w:r>
        <w:rPr>
          <w:rFonts w:ascii="Arial" w:hAnsi="Arial"/>
          <w:b w:val="0"/>
          <w:i w:val="0"/>
          <w:color w:val="111827"/>
          <w:sz w:val="22"/>
        </w:rPr>
        <w:t xml:space="preserve"> (art. 166, § 18 da CF/88);</w:t>
      </w:r>
    </w:p>
    <w:p>
      <w:pPr>
        <w:spacing w:line="276" w:lineRule="auto" w:before="20" w:after="40"/>
        <w:ind w:left="425"/>
      </w:pPr>
      <w:r>
        <w:rPr>
          <w:rFonts w:ascii="Arial" w:hAnsi="Arial"/>
          <w:b/>
          <w:color w:val="2B6CB0"/>
          <w:sz w:val="22"/>
        </w:rPr>
        <w:t xml:space="preserve">• </w:t>
      </w:r>
      <w:r>
        <w:rPr>
          <w:rFonts w:ascii="Arial" w:hAnsi="Arial"/>
          <w:b/>
          <w:i w:val="0"/>
          <w:color w:val="111827"/>
          <w:sz w:val="22"/>
        </w:rPr>
        <w:t>Impedimentos de Ordem Técnica:</w:t>
      </w:r>
      <w:r>
        <w:rPr>
          <w:rFonts w:ascii="Arial" w:hAnsi="Arial"/>
          <w:b w:val="0"/>
          <w:i w:val="0"/>
          <w:color w:val="111827"/>
          <w:sz w:val="22"/>
        </w:rPr>
        <w:t xml:space="preserve"> Justificativas formais do Poder Executivo (ex.: ausência de projeto de engenharia, desapropriação pendente, irregularidade cadastral insuperável) suspendem a obrigatoriedade da execução, cabendo ao parlamento indicar remanejamento em prazos legais fixados.</w:t>
      </w:r>
    </w:p>
    <w:p>
      <w:pPr>
        <w:keepNext/>
        <w:spacing w:before="280" w:after="120"/>
      </w:pPr>
      <w:r>
        <w:rPr>
          <w:rFonts w:ascii="Arial" w:hAnsi="Arial"/>
          <w:b/>
          <w:i w:val="0"/>
          <w:color w:val="2C5282"/>
          <w:sz w:val="28"/>
        </w:rPr>
        <w:t>🌐 Fontes Oficiais &amp; Normativas Recomendadas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Federal de 1988 - Artigos 165 a 169 (Dos Orçamentos)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Estatuto constitucional de PPA, LDO, LOA, emendas parlamentares e orçamento impositivo.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4.320/1964 (Normas Gerais de Direito Financeiro)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Princípios orçamentários, estrutura legal do orçamento e créditos adicionais.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Complementar Federal nº 101/2000 (Lei de Responsabilidade Fiscal)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Normas orçamentárias de responsabilidade, Anexo de Metas Fiscais (AMF) e Anexo de Riscos Fiscais (ARF).</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Contabilidade Aplicada ao Setor Público (MCASP) - STN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Parte I: Procedimentos Contábeis Orçamentários.</w:t>
      </w:r>
    </w:p>
    <w:p>
      <w:pPr>
        <w:keepNext/>
        <w:spacing w:before="280" w:after="120"/>
      </w:pPr>
      <w:r>
        <w:rPr>
          <w:rFonts w:ascii="Arial" w:hAnsi="Arial"/>
          <w:b/>
          <w:i w:val="0"/>
          <w:color w:val="2C5282"/>
          <w:sz w:val="28"/>
        </w:rPr>
        <w:t>📝 Questões Comentadas no Padrão FCC</w:t>
      </w:r>
    </w:p>
    <w:p>
      <w:pPr>
        <w:keepNext/>
        <w:spacing w:before="200" w:after="80"/>
      </w:pPr>
      <w:r>
        <w:rPr>
          <w:rFonts w:ascii="Arial" w:hAnsi="Arial"/>
          <w:b/>
          <w:i w:val="0"/>
          <w:color w:val="2B6CB0"/>
          <w:sz w:val="24"/>
        </w:rPr>
        <w:t>Questão 1 (FCC - Adaptada / TCE-PI - Auditor de Controle Externo)</w:t>
      </w:r>
    </w:p>
    <w:p>
      <w:pPr>
        <w:spacing w:line="360" w:lineRule="auto" w:before="0" w:after="80"/>
        <w:jc w:val="both"/>
      </w:pPr>
      <w:r>
        <w:rPr>
          <w:rFonts w:ascii="Arial" w:hAnsi="Arial"/>
          <w:b w:val="0"/>
          <w:i w:val="0"/>
          <w:color w:val="111827"/>
          <w:sz w:val="24"/>
        </w:rPr>
        <w:t>A respeito dos princípios orçamentários consagrados na legislação brasileira e no texto da Constituição Federal de 1988, considere as seguintes assertivas:</w:t>
      </w:r>
    </w:p>
    <w:p>
      <w:pPr>
        <w:spacing w:line="360" w:lineRule="auto" w:before="0" w:after="80"/>
        <w:jc w:val="both"/>
      </w:pPr>
      <w:r>
        <w:rPr>
          <w:rFonts w:ascii="Arial" w:hAnsi="Arial"/>
          <w:b w:val="0"/>
          <w:i w:val="0"/>
          <w:color w:val="111827"/>
          <w:sz w:val="24"/>
        </w:rPr>
        <w:t>I. O princípio da exclusividade impede que a Lei Orçamentária Anual disponha sobre autorização para a contratação de operações de crédito, ainda que por antecipação de receita orçamentária.</w:t>
      </w:r>
    </w:p>
    <w:p>
      <w:pPr>
        <w:spacing w:line="360" w:lineRule="auto" w:before="0" w:after="80"/>
        <w:jc w:val="both"/>
      </w:pPr>
      <w:r>
        <w:rPr>
          <w:rFonts w:ascii="Arial" w:hAnsi="Arial"/>
          <w:b w:val="0"/>
          <w:i w:val="0"/>
          <w:color w:val="111827"/>
          <w:sz w:val="24"/>
        </w:rPr>
        <w:t>II. O princípio da não afetação veda genericamente a vinculação de qualquer espécie tributária a órgão, fundo ou despesa pública.</w:t>
      </w:r>
    </w:p>
    <w:p>
      <w:pPr>
        <w:spacing w:line="360" w:lineRule="auto" w:before="0" w:after="80"/>
        <w:jc w:val="both"/>
      </w:pPr>
      <w:r>
        <w:rPr>
          <w:rFonts w:ascii="Arial" w:hAnsi="Arial"/>
          <w:b w:val="0"/>
          <w:i w:val="0"/>
          <w:color w:val="111827"/>
          <w:sz w:val="24"/>
        </w:rPr>
        <w:t>III. O princípio do orçamento bruto estabelece que todas as receitas e despesas constarão da lei de orçamento pelos seus totais, vedadas quaisquer deduções pecuniárias prévias.</w:t>
      </w:r>
    </w:p>
    <w:p>
      <w:pPr>
        <w:spacing w:line="360" w:lineRule="auto" w:before="0" w:after="80"/>
        <w:jc w:val="both"/>
      </w:pPr>
      <w:r>
        <w:rPr>
          <w:rFonts w:ascii="Arial" w:hAnsi="Arial"/>
          <w:b w:val="0"/>
          <w:i w:val="0"/>
          <w:color w:val="111827"/>
          <w:sz w:val="24"/>
        </w:rPr>
        <w:t>Está correto o que se afirma APENAS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II.</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III.</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e II.</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item I é falso, pois a contratação de operações de crédito (inclusive por ARO) é ressalva expressa ao princípio da exclusividade.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item II é falso, pois a vedação de afetação alcança restritivamente os impostos, não abrangendo taxas ou contribuições.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Apenas a assertiva III é verdadeira. O art. 6º da Lei nº 4.320/1964 dispõe taxativamente que todas as receitas e despesas constarão da Lei de Orçamento pelos seus totais, vedadas quaisquer deduções pecuniárias.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Ambos os itens I e II contêm erros jurídicos flagrantes.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item I é manifestamente contrário ao texto do art. 165, § 8º da CF/88.</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Adaptada / TCE-AP - Técnico de Controle Externo)</w:t>
      </w:r>
    </w:p>
    <w:p>
      <w:pPr>
        <w:spacing w:line="360" w:lineRule="auto" w:before="0" w:after="80"/>
        <w:jc w:val="both"/>
      </w:pPr>
      <w:r>
        <w:rPr>
          <w:rFonts w:ascii="Arial" w:hAnsi="Arial"/>
          <w:b w:val="0"/>
          <w:i w:val="0"/>
          <w:color w:val="111827"/>
          <w:sz w:val="24"/>
        </w:rPr>
        <w:t>Em relação às normas constitucionais vigentes relativas às emendas parlamentares individuais de execução orçamentária e financeira obrigatória (orçamento impositivo), é correto afirmar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Os recursos transferidos por meio de transferência especial ("emendas PIX") aos Estados e Municípios podem ser utilizados livremente para pagamento de folha de salários de servidores e serviço da dívida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É obrigatória a destinação de, pelo menos, metade (50%) do valor total das emendas parlamentares individuais para ações e serviços públicos de saúde.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execução das emendas individuais independe da observância de metas fiscais ou da constatação de impedimentos de ordem técnica devidamente justificados pelo Executivo.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limite global de aprovação das emendas parlamentares individuais ao projeto de lei orçamentária é fixado em 10% da receita tributária líquida da União.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execução orçamentária das emendas individuais de bancada estadual possui natureza facultativa e estritamente discricionária do Poder Executivo em qualquer hipótese.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art. 166-A, § 1º da CF/88 proíbe terminantemente a utilização de transferências especiais para custear despesas com pessoal/encargos e para pagamento do serviço da dívida consolidada.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Nos exatos termos do art. 166, § 9º da CF/88, as emendas individuais são aprovadas no limite de 2% da receita corrente líquida do exercício anterior, sendo que metade (50%) desse percentual é compulsoriamente destinada a ações e serviços públicos de saúde (ASPS).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As emendas impositivas subordinam-se a contingenciamento proporcional na hipótese de frustração de receitas fiscais e podem ter execução sobrestada por impedimentos de ordem técnica fundamentados.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parâmetro constitucional é de 2% da Receita Corrente Líquida (RCL) do ano anterior, e não 10% da receita tributária.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As emendas de bancada estadual também foram contempladas com regime impositivo de execução vinculante (art. 166, §§ 12 e 13 da CF/88).</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Analista de Planejamento e Orçamento)</w:t>
      </w:r>
    </w:p>
    <w:p>
      <w:pPr>
        <w:spacing w:line="360" w:lineRule="auto" w:before="0" w:after="80"/>
        <w:jc w:val="both"/>
      </w:pPr>
      <w:r>
        <w:rPr>
          <w:rFonts w:ascii="Arial" w:hAnsi="Arial"/>
          <w:b w:val="0"/>
          <w:i w:val="0"/>
          <w:color w:val="111827"/>
          <w:sz w:val="24"/>
        </w:rPr>
        <w:t>Acerca da vigência e da dinâmica estrutural do Plano Plurianual (PPA) no modelo orçamentário instituído pela Constituição Federal de 1988,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PPA possui vigência de quatro anos, iniciando-se no primeiro ano do mandato do Chefe do Executivo e encerrando-se no término do quarto ano do mesmo mandato.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PPA possui vigência de quatro anos, tendo início no segundo ano de mandato do governante eleito e término no encerramento do primeiro ano do mandato subsequente.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diretrizes orçamentárias e metas do PPA vinculam a União e os Estados, mas dispensam adoção obrigatória no âmbito dos Municípios com menos de cinquenta mil habitantes.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PPA destina-se unicamente a fixar a estimativa de arrecadação tributária anual e a tabela salarial dos servidores públicos da administração direta.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Os projetos de lei de PPA são de iniciativa concorrente entre o Presidente da República e os Presidentes da Câmara dos Deputados e do Senado Federal.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PPA não coincide com os quatro anos exatos do mandato do chefe eleito, justamente para permitir continuidade gerencial e planejamento de médio prazo.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Nos termos do art. 35, § 2º, I do ADCT da CF/88, o PPA vigora por quatro anos, iniciando seus efeitos em 1º de janeiro do segundo ano de mandato do Chefe do Executivo e perdurando até 31 de dezembro do primeiro ano do mandato governamental seguinte.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modelo orçamentário tripartite é obrigatório e vinculante para todas as esferas federativas, independentemente do porte populacional do Município.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estimativa tributária anual é matéria típica da LOA e as tabelas remuneratórias constam em leis ordinárias específicas; o PPA trata de diretrizes, objetivos e metas para despesas de capital e continuadas.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iniciativa legislativa das leis orçamentárias (PPA, LDO e LOA) é de competência privativa do Chefe do Poder Executivo (art. 165, </w:t>
            </w:r>
            <w:r>
              <w:rPr>
                <w:rFonts w:ascii="Arial" w:hAnsi="Arial"/>
                <w:b w:val="0"/>
                <w:i/>
                <w:color w:val="111827"/>
                <w:sz w:val="21"/>
              </w:rPr>
              <w:t>caput</w:t>
            </w:r>
            <w:r>
              <w:rPr>
                <w:rFonts w:ascii="Arial" w:hAnsi="Arial"/>
                <w:b w:val="0"/>
                <w:i w:val="0"/>
                <w:color w:val="111827"/>
                <w:sz w:val="21"/>
              </w:rPr>
              <w:t xml:space="preserve"> da CF/88).</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Analista de Gestão Pública)</w:t>
      </w:r>
    </w:p>
    <w:p>
      <w:pPr>
        <w:spacing w:line="360" w:lineRule="auto" w:before="0" w:after="80"/>
        <w:jc w:val="both"/>
      </w:pPr>
      <w:r>
        <w:rPr>
          <w:rFonts w:ascii="Arial" w:hAnsi="Arial"/>
          <w:b w:val="0"/>
          <w:i w:val="0"/>
          <w:color w:val="111827"/>
          <w:sz w:val="24"/>
        </w:rPr>
        <w:t>A Lei de Responsabilidade Fiscal (Lei Complementar nº 101/2000) introduziu instrumentos fundamentais para garantir a solvência e a transparência fiscal dos entes públicos. Dentre esses instrumentos, o documento integrante do projeto de Lei de Diretrizes Orçamentárias (LDO) que estabelece as metas anuais de receitas e despesas, o montante da dívida pública e os resultados primário e nominal para o exercício a que se refere e para os dois seguintes denomina-se: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Relatório de Gestão Fiscal (RGF).</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Anexo de Riscos Fiscais (ARF).</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Anexo de Metas Fiscais (AMF).</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Balanço Orçamentário Simplificado.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Demonstrativo de Restos a Pagar.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Relatório de Gestão Fiscal (RGF) é documento de controle emitido quadrimestralmente por cada Poder e órgão (arts. 54 e 55 da LRF).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Anexo de Riscos Fiscais (ARF) avalia os passivos contingentes e outros riscos capazes de comprometer as finanças públicas (art. 4º, § 3º da LRF).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De acordo com o art. 4º, § 1º da LRF, integrará o projeto de LDO o Anexo de Metas Fiscais (AMF), em que serão estabelecidas metas anuais para receitas, despesas, montante da dívida pública e resultados nominal e primário, para o exercício a que se referir e para os dois seguintes.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Trata-se de demonstrativo contábil integrante da prestação de contas governamentais da Lei nº 4.320/1964.</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Trata-se de demonstrativo contábil de controle operacional da execução da despesa.</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Auditor de Controle Externo)</w:t>
      </w:r>
    </w:p>
    <w:p>
      <w:pPr>
        <w:spacing w:line="360" w:lineRule="auto" w:before="0" w:after="80"/>
        <w:jc w:val="both"/>
      </w:pPr>
      <w:r>
        <w:rPr>
          <w:rFonts w:ascii="Arial" w:hAnsi="Arial"/>
          <w:b w:val="0"/>
          <w:i w:val="0"/>
          <w:color w:val="111827"/>
          <w:sz w:val="24"/>
        </w:rPr>
        <w:t>Na elaboração do projeto de Lei Orçamentária Anual (LOA) de determinado Estado, o Poder Executivo incluiu um artigo concedendo autorização legislativa para a alteração das alíquotas do Imposto sobre Circulação de Mercadorias e Serviços (ICMS), bem como autorização para a abertura de créditos orçamentários suplementares até o limite de 20% da despesa fixada.</w:t>
      </w:r>
    </w:p>
    <w:p>
      <w:pPr>
        <w:spacing w:line="360" w:lineRule="auto" w:before="0" w:after="80"/>
        <w:jc w:val="both"/>
      </w:pPr>
      <w:r>
        <w:rPr>
          <w:rFonts w:ascii="Arial" w:hAnsi="Arial"/>
          <w:b w:val="0"/>
          <w:i w:val="0"/>
          <w:color w:val="111827"/>
          <w:sz w:val="24"/>
        </w:rPr>
        <w:t>Diante do princípio orçamentário da exclusividade (art. 165, § 8º da CF/88):</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Ambas as autorizações constantes do projeto são constitucionais, pois a LOA pode veicular quaisquer normas com reflexo financeiro.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Ambas as autorizações são flagrantemente inconstitucionais, haja vista que a LOA não admite qualquer tipo de exceção temática.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autorização para abertura de créditos suplementares é constitucional por consistir em ressalva expressa ao princípio da exclusividade; todavia, a cláusula alterando alíquotas de ICMS padece de inconstitucionalidade material por se tratar de matéria estranha à LOA.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autorização para alterar ICMS é válida, mas a previsão de créditos suplementares é proibida pelo texto constitucional.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projeto é nulo e deve ser arquivado imediatamente sem deliberação pelo plenário da Assembleia Legislativa.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LOA não pode veicular alterações de alíquotas tributárias de direito substantivo; isso configura típica violação ao princípio da exclusividade ("cauda orçamentária").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CF/88 estabelece duas exceções taxativas ao princípio da exclusividade (créditos suplementares e operações de crédito).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Conforme o art. 165, § 8º da CF/88, a LOA não conterá matéria estranha à previsão da receita e à fixação da despesa, excetuando-se a autorização para abertura de créditos suplementares e contratação de operações de crédito. Logo, a autorização de créditos suplementares é constitucional, e a norma alteradora de alíquota do ICMS é inconstitucional por constituir matéria estranha à lei de meios orçamentária.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Inverteu o tratamento constitucional dado aos institutos.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vício pontual de inconstitucionalidade em dispositivo do projeto não invalida todo o processo orçamentário, ensejando emenda saneadora ou veto governamental.</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02 - Receita Orçamentária, Ingressos Extraorçamentários, Estágios e Classificações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Administração Financeira e Orçamentária (AFO)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02_receita_publica_estagios_fontes_e_classificacoes.md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Receita pública: conceito amplo (entradas e influxos de caixa) e conceito estrito (receita orçamentária efetiva e por mutação);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Receita Orçamentária vs. Ingressos Extraorçamentários (entradas compensatórias, cauções, fianças, depósitos judiciais, consignações em folha de pagamento e ARO);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Etapas e estágios da receita orçamentária: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Etapa do Planejamento: Previsão da receita (estimativa orçamentária segundo a LRF);</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Etapa da Execução: Lançamento (Art. 53 da Lei 4.320/64 e Art. 142 do CTN), Arrecadação (entrega de valores à rede bancária conveniada) e Recolhimento (transferência dos recursos para a Conta Única do Tesouro - Princípio da Unidade de Caixa);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Classificações orçamentárias da receita (Lei Federal nº 4.320/1964 e MCASP 11ª Edição):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Classificação por Categoria Econômica: Receitas Correntes e Receitas de Capital;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Origens das Receitas Correntes (Tributária, de Contribuições, Patrimonial, Agropecuária, Industrial, de Serviços, Transferências Correntes e Outras);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Origens das Receitas de Capital (Operações de Crédito, Alienação de Bens, Amortização de Empréstimos, Transferências de Capital e Outras);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Distinção crítica entre Amortização de Empréstimos (capital) e Juros Recebidos (corrente/patrimonial);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Classificação por Esfera Orçamentária (Fiscal, Seguridade Social e Investimento);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Classificação por Fonte/Destinação de Recursos (fontes vinculadas vs. recursos ordinários livres);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Classificação por Natureza da Receita (estrutura codificada de 8 dígitos do MCASP);</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Regras fiscais restritivas da receita: vedação de aplicação de receitas de alienação de bens em despesas correntes (Art. 44 da LRF);</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Renúncia de Receitas e exigências da Lei de Responsabilidade Fiscal (Art. 14 da LRF: estimativa trienal de impacto orçamentário-financeiro e medidas de compensação).</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Conceito e Distinção: Receita Orçamentária vs. Ingressos Extraorçamentários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Sentido Amplo e Sentido Estrito de Receita Pública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Regime dos Ingressos Extraorçamentários e Peculiaridades FCC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Etapas e Estágios da Receita Orçamentária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Etapa de Planejamento: Previsão da Receita (Art. 12 da LRF)</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Etapa de Execução: Lançamento, Arrecadação e Recolhimento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O Princípio da Unidade de Caixa (Art. 56 da Lei nº 4.320/1964)</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Classificações da Receita Orçamentária (Lei nº 4.320/1964 e MCASP)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Classificação por Categoria Econômica: Receitas Correntes e de Capital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Distinção Crítica: Amortização de Empréstimos vs. Juros Recebidos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Classificação por Esfera Orçamentária e por Fonte/Destinação de Recursos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Classificação por Natureza da Receita (Estrutura Codificada de 8 Dígitos)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Regras Fiscais Restritivas da Receita e a LRF</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Vedação de Aplicação de Receita de Alienação de Bens em Despesa Corrente (Art. 44)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Disciplina Fiscal da Renúncia de Receitas (Art. 14 da LRF)</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&amp; Manuais Técnicos Recomendados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no Padrão FCC</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Conceito e Distinção: Receita Orçamentária vs. Ingressos Extraorçamentários</w:t>
      </w:r>
    </w:p>
    <w:p>
      <w:pPr>
        <w:keepNext/>
        <w:spacing w:before="120" w:after="40"/>
      </w:pPr>
      <w:r>
        <w:rPr>
          <w:rFonts w:ascii="Arial" w:hAnsi="Arial"/>
          <w:b/>
          <w:i/>
          <w:color w:val="334155"/>
          <w:sz w:val="22"/>
        </w:rPr>
        <w:t>1.1 Sentido Amplo e Sentido Estrito de Receita Pública</w:t>
      </w:r>
    </w:p>
    <w:p>
      <w:pPr>
        <w:spacing w:line="360" w:lineRule="auto" w:before="0" w:after="80"/>
        <w:jc w:val="both"/>
      </w:pPr>
      <w:r>
        <w:rPr>
          <w:rFonts w:ascii="Arial" w:hAnsi="Arial"/>
          <w:b w:val="0"/>
          <w:i w:val="0"/>
          <w:color w:val="111827"/>
          <w:sz w:val="24"/>
        </w:rPr>
        <w:t xml:space="preserve">No estudo das finanças públicas, a expressão </w:t>
      </w:r>
      <w:r>
        <w:rPr>
          <w:rFonts w:ascii="Arial" w:hAnsi="Arial"/>
          <w:b/>
          <w:i w:val="0"/>
          <w:color w:val="111827"/>
          <w:sz w:val="24"/>
        </w:rPr>
        <w:t>receita pública</w:t>
      </w:r>
      <w:r>
        <w:rPr>
          <w:rFonts w:ascii="Arial" w:hAnsi="Arial"/>
          <w:b w:val="0"/>
          <w:i w:val="0"/>
          <w:color w:val="111827"/>
          <w:sz w:val="24"/>
        </w:rPr>
        <w:t xml:space="preserve"> admite duas acepções fundamentais: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Sentido Amplo (Ingressos Públicos em Geral):</w:t>
      </w:r>
      <w:r>
        <w:rPr>
          <w:rFonts w:ascii="Arial" w:hAnsi="Arial"/>
          <w:b w:val="0"/>
          <w:i w:val="0"/>
          <w:color w:val="111827"/>
          <w:sz w:val="22"/>
        </w:rPr>
        <w:t xml:space="preserve"> Compreende todo e qualquer influxo de recursos financeiros que entra nos cofres públicos, seja ele definitivo ou transitório, seja destinado à execução orçamentária ou a mera custódia fiduciária.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Sentido Estrito (Receita Orçamentária):</w:t>
      </w:r>
      <w:r>
        <w:rPr>
          <w:rFonts w:ascii="Arial" w:hAnsi="Arial"/>
          <w:b w:val="0"/>
          <w:i w:val="0"/>
          <w:color w:val="111827"/>
          <w:sz w:val="22"/>
        </w:rPr>
        <w:t xml:space="preserve"> Compreende as entradas financeiras que ingressam com caráter de definitividade no patrimônio público estatal, integrando a Lei Orçamentária Anual (LOA) como fonte de custeio para as despesas e programas governamentais.</w:t>
      </w:r>
    </w:p>
    <w:p>
      <w:pPr>
        <w:spacing w:after="120"/>
      </w:pPr>
    </w:p>
    <w:p>
      <w:pPr>
        <w:keepNext/>
        <w:spacing w:before="120" w:after="40"/>
      </w:pPr>
      <w:r>
        <w:rPr>
          <w:rFonts w:ascii="Arial" w:hAnsi="Arial"/>
          <w:b/>
          <w:i/>
          <w:color w:val="334155"/>
          <w:sz w:val="22"/>
        </w:rPr>
        <w:t>1.2 Regime dos Ingressos Extraorçamentários e Peculiaridades FCC</w:t>
      </w:r>
    </w:p>
    <w:p>
      <w:pPr>
        <w:spacing w:line="360" w:lineRule="auto" w:before="0" w:after="80"/>
        <w:jc w:val="both"/>
      </w:pPr>
      <w:r>
        <w:rPr>
          <w:rFonts w:ascii="Arial" w:hAnsi="Arial"/>
          <w:b w:val="0"/>
          <w:i w:val="0"/>
          <w:color w:val="111827"/>
          <w:sz w:val="24"/>
        </w:rPr>
        <w:t xml:space="preserve">Os </w:t>
      </w:r>
      <w:r>
        <w:rPr>
          <w:rFonts w:ascii="Arial" w:hAnsi="Arial"/>
          <w:b/>
          <w:i w:val="0"/>
          <w:color w:val="111827"/>
          <w:sz w:val="24"/>
        </w:rPr>
        <w:t>ingressos extraorçamentários</w:t>
      </w:r>
      <w:r>
        <w:rPr>
          <w:rFonts w:ascii="Arial" w:hAnsi="Arial"/>
          <w:b w:val="0"/>
          <w:i w:val="0"/>
          <w:color w:val="111827"/>
          <w:sz w:val="24"/>
        </w:rPr>
        <w:t xml:space="preserve"> não configuram receita orçamentária, não aumentam o patrimônio líquido do Estado e não podem ser utilizados discricionariamente pelo gestor público para realizar despesas orçamentárias. Caracterizam-se por gerarem, no exato instante de sua entrada de caixa, um passivo exigível (obrigação de devolução ou repasse):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Cauções e Fianças em Dinheiro:</w:t>
      </w:r>
      <w:r>
        <w:rPr>
          <w:rFonts w:ascii="Arial" w:hAnsi="Arial"/>
          <w:b w:val="0"/>
          <w:i w:val="0"/>
          <w:color w:val="111827"/>
          <w:sz w:val="22"/>
        </w:rPr>
        <w:t xml:space="preserve"> Depositadas por licitantes e contratados como garantia de execução de contratos administrativos ou participação em certames licitatórios. Findo o contrato ou o processo, a quantia deve ser restituída;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Depósitos Judiciais e Recursais:</w:t>
      </w:r>
      <w:r>
        <w:rPr>
          <w:rFonts w:ascii="Arial" w:hAnsi="Arial"/>
          <w:b w:val="0"/>
          <w:i w:val="0"/>
          <w:color w:val="111827"/>
          <w:sz w:val="22"/>
        </w:rPr>
        <w:t xml:space="preserve"> Recursos vinculados a litígios judiciais recolhidos em contas especiais sob administração temporária do Poder Judiciário;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Consignações em Folha de Pagamento:</w:t>
      </w:r>
      <w:r>
        <w:rPr>
          <w:rFonts w:ascii="Arial" w:hAnsi="Arial"/>
          <w:b w:val="0"/>
          <w:i w:val="0"/>
          <w:color w:val="111827"/>
          <w:sz w:val="22"/>
        </w:rPr>
        <w:t xml:space="preserve"> Valores retidos compulsoriamente ou por autorização do servidor na folha de pagamentos (ex.: retenções de pensão alimentícia judicial, plano de saúde, empréstimos bancários consignados) destinados a imediato repasse a terceiros (credores ou beneficiários);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Operações de Crédito por Antecipação de Receita Orçamentária (ARO):</w:t>
      </w:r>
      <w:r>
        <w:rPr>
          <w:rFonts w:ascii="Arial" w:hAnsi="Arial"/>
          <w:b w:val="0"/>
          <w:i w:val="0"/>
          <w:color w:val="111827"/>
          <w:sz w:val="22"/>
        </w:rPr>
        <w:t xml:space="preserve"> Previstas no art. 165, § 8º da CF/88 e art. 38 da LRF, destinam-se exclusivamente a cobrir descompassos temporários de caixa ao longo do ano civil. </w:t>
      </w:r>
      <w:r>
        <w:rPr>
          <w:rFonts w:ascii="Arial" w:hAnsi="Arial"/>
          <w:b/>
          <w:i w:val="0"/>
          <w:color w:val="111827"/>
          <w:sz w:val="22"/>
        </w:rPr>
        <w:t>Não constituem receita orçamentária</w:t>
      </w:r>
      <w:r>
        <w:rPr>
          <w:rFonts w:ascii="Arial" w:hAnsi="Arial"/>
          <w:b w:val="0"/>
          <w:i w:val="0"/>
          <w:color w:val="111827"/>
          <w:sz w:val="22"/>
        </w:rPr>
        <w:t>, geram dívida flutuante e devem ser integralmente liquidadas com juros e encargos até o encerramento do exercício financeiro.</w:t>
      </w:r>
    </w:p>
    <w:p>
      <w:pPr>
        <w:keepNext/>
        <w:spacing w:before="200" w:after="80"/>
      </w:pPr>
      <w:r>
        <w:rPr>
          <w:rFonts w:ascii="Arial" w:hAnsi="Arial"/>
          <w:b/>
          <w:i w:val="0"/>
          <w:color w:val="2B6CB0"/>
          <w:sz w:val="24"/>
        </w:rPr>
        <w:t>2. Etapas e Estágios da Receita Orçamentária</w:t>
      </w:r>
    </w:p>
    <w:p>
      <w:pPr>
        <w:spacing w:line="360" w:lineRule="auto" w:before="0" w:after="80"/>
        <w:jc w:val="both"/>
      </w:pPr>
      <w:r>
        <w:rPr>
          <w:rFonts w:ascii="Arial" w:hAnsi="Arial"/>
          <w:b w:val="0"/>
          <w:i w:val="0"/>
          <w:color w:val="111827"/>
          <w:sz w:val="24"/>
        </w:rPr>
        <w:t>A Lei Federal nº 4.320/1964 e o Manual de Contabilidade Aplicada ao Setor Público (MCASP) dividem a trajetória da receita pública em duas grandes etapas: a etapa do planejamento e a etapa da execução.</w:t>
      </w:r>
    </w:p>
    <w:p>
      <w:pPr>
        <w:spacing w:after="120"/>
      </w:pPr>
    </w:p>
    <w:p>
      <w:pPr>
        <w:keepNext/>
        <w:spacing w:before="120" w:after="40"/>
      </w:pPr>
      <w:r>
        <w:rPr>
          <w:rFonts w:ascii="Arial" w:hAnsi="Arial"/>
          <w:b/>
          <w:i/>
          <w:color w:val="334155"/>
          <w:sz w:val="22"/>
        </w:rPr>
        <w:t>2.1 Etapa de Planejamento: Previsão da Receita (Art. 12 da LRF)</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w:t>
      </w:r>
      <w:r>
        <w:rPr>
          <w:rFonts w:ascii="Arial" w:hAnsi="Arial"/>
          <w:b/>
          <w:i w:val="0"/>
          <w:color w:val="111827"/>
          <w:sz w:val="22"/>
        </w:rPr>
        <w:t>previsão</w:t>
      </w:r>
      <w:r>
        <w:rPr>
          <w:rFonts w:ascii="Arial" w:hAnsi="Arial"/>
          <w:b w:val="0"/>
          <w:i w:val="0"/>
          <w:color w:val="111827"/>
          <w:sz w:val="22"/>
        </w:rPr>
        <w:t xml:space="preserve"> é o estágio inicial no qual o Poder Executivo estima, por meio de modelos estatísticos e econométricos, o volume de recursos a ser arrecadado no exercício financeiro seguinte para fixação na LOA.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Lei de Responsabilidade Fiscal (art. 12 da LRF) determina que as previsões de receita observarão as normas técnicas e legais, considerarão os efeitos das alterações na legislação, da variação do índice de preços (inflação), do crescimento econômico (PIB) e da evolução da receita nos últimos três exercícios.</w:t>
      </w:r>
    </w:p>
    <w:p>
      <w:pPr>
        <w:keepNext/>
        <w:spacing w:before="120" w:after="40"/>
      </w:pPr>
      <w:r>
        <w:rPr>
          <w:rFonts w:ascii="Arial" w:hAnsi="Arial"/>
          <w:b/>
          <w:i/>
          <w:color w:val="334155"/>
          <w:sz w:val="22"/>
        </w:rPr>
        <w:t>2.2 Etapa de Execução: Lançamento, Arrecadação e Recolhimento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Lançamento (Art. 53 da Lei nº 4.320/1964 e Art. 142 do CTN):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Ato privativo da autoridade administrativa que verifica a ocorrência do fato gerador da obrigação correspondente, determina a matéria tributável, calcula o montante do tributo devido, identifica o sujeito passivo e, sendo o caso, propõe a aplicação da penalidade cabível.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Aplica-se típica e primordialmente às receitas tributárias diretas (ex.: IPTU, IPVA, taxas de fiscalização) e às rendas com vencimento predeterminado.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Arrecadação: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Momento em que o sujeito passivo (contribuinte ou devedor) comparece perante os agentes arrecadadores legalmente autorizados (bancos credenciados, casas lotéricas, aplicativos bancários conveniados) e quita a guia de recolhimento oficial (DARE, DAM, GRU).</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Nesse estágio, os recursos saem da esfera de posse do contribuinte e ingressam sob custódia dos intermediários financeiros conveniados com a administração pública.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Recolhimento: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Ato pelo qual as instituições financeiras arrecadadoras transferem os recursos financeiros arrecadados para a </w:t>
      </w:r>
      <w:r>
        <w:rPr>
          <w:rFonts w:ascii="Arial" w:hAnsi="Arial"/>
          <w:b/>
          <w:i w:val="0"/>
          <w:color w:val="111827"/>
          <w:sz w:val="22"/>
        </w:rPr>
        <w:t>Conta Única do Tesouro Estadual ou Municipal</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o momento em que a disponibilidade de caixa passa a pertencer faticamente ao erário público para livre destinação orçamentária.</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FCC testa com grande frequência se </w:t>
            </w:r>
            <w:r>
              <w:rPr>
                <w:rFonts w:ascii="Arial" w:hAnsi="Arial"/>
                <w:b/>
                <w:i w:val="0"/>
                <w:color w:val="111827"/>
                <w:sz w:val="21"/>
              </w:rPr>
              <w:t>todas</w:t>
            </w:r>
            <w:r>
              <w:rPr>
                <w:rFonts w:ascii="Arial" w:hAnsi="Arial"/>
                <w:b w:val="0"/>
                <w:i w:val="0"/>
                <w:color w:val="111827"/>
                <w:sz w:val="21"/>
              </w:rPr>
              <w:t xml:space="preserve"> as receitas orçamentárias cumprem os quatro estágios. </w:t>
            </w:r>
            <w:r>
              <w:rPr>
                <w:rFonts w:ascii="Arial" w:hAnsi="Arial"/>
                <w:b/>
                <w:i w:val="0"/>
                <w:color w:val="111827"/>
                <w:sz w:val="21"/>
              </w:rPr>
              <w:t>ATENÇÃO:</w:t>
            </w:r>
            <w:r>
              <w:rPr>
                <w:rFonts w:ascii="Arial" w:hAnsi="Arial"/>
                <w:b w:val="0"/>
                <w:i w:val="0"/>
                <w:color w:val="111827"/>
                <w:sz w:val="21"/>
              </w:rPr>
              <w:t xml:space="preserve"> Nem toda receita orçamentária passa pelo estágio do lançamento! Receitas de serviços, tarifas, doações, transferências correntes e receitas patrimoniais (como aluguéis) são arrecadadas diretamente sem a necessidade do ato formal de lançamento fiscal. Contudo, </w:t>
            </w:r>
            <w:r>
              <w:rPr>
                <w:rFonts w:ascii="Arial" w:hAnsi="Arial"/>
                <w:b/>
                <w:i w:val="0"/>
                <w:color w:val="111827"/>
                <w:sz w:val="21"/>
              </w:rPr>
              <w:t>todas</w:t>
            </w:r>
            <w:r>
              <w:rPr>
                <w:rFonts w:ascii="Arial" w:hAnsi="Arial"/>
                <w:b w:val="0"/>
                <w:i w:val="0"/>
                <w:color w:val="111827"/>
                <w:sz w:val="21"/>
              </w:rPr>
              <w:t xml:space="preserve"> as receitas cumprem impreterivelmente os estágios da previsão, da arrecadação e do recolhimento.</w:t>
            </w:r>
          </w:p>
        </w:tc>
      </w:tr>
    </w:tbl>
    <w:p>
      <w:pPr>
        <w:spacing w:before="0" w:after="120"/>
      </w:pPr>
    </w:p>
    <w:p>
      <w:pPr>
        <w:keepNext/>
        <w:spacing w:before="120" w:after="40"/>
      </w:pPr>
      <w:r>
        <w:rPr>
          <w:rFonts w:ascii="Arial" w:hAnsi="Arial"/>
          <w:b/>
          <w:i/>
          <w:color w:val="334155"/>
          <w:sz w:val="22"/>
        </w:rPr>
        <w:t>2.3 O Princípio da Unidade de Caixa (Art. 56 da Lei nº 4.320/1964)</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art. 56 da Lei nº 4.320/1964 consagra solenemente o </w:t>
      </w:r>
      <w:r>
        <w:rPr>
          <w:rFonts w:ascii="Arial" w:hAnsi="Arial"/>
          <w:b/>
          <w:i w:val="0"/>
          <w:color w:val="111827"/>
          <w:sz w:val="22"/>
        </w:rPr>
        <w:t>Princípio da Unidade de Caixa</w:t>
      </w:r>
      <w:r>
        <w:rPr>
          <w:rFonts w:ascii="Arial" w:hAnsi="Arial"/>
          <w:b w:val="0"/>
          <w:i w:val="0"/>
          <w:color w:val="111827"/>
          <w:sz w:val="22"/>
        </w:rPr>
        <w:t xml:space="preserve"> (ou Princípio da Conta Única): </w:t>
      </w:r>
      <w:r>
        <w:rPr>
          <w:rFonts w:ascii="Arial" w:hAnsi="Arial"/>
          <w:b w:val="0"/>
          <w:i/>
          <w:color w:val="111827"/>
          <w:sz w:val="22"/>
        </w:rPr>
        <w:t>"O recolhimento de todas as receitas far-se-á em estrita observância ao princípio de unidade de tesouraria, vedada qualquer fragmentação de caixas."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Todos os recursos auferidos pelo Estado de Goiás devem ser centralizados na Conta Única do Tesouro Estadual mantida em instituição financeira oficial, assegurando transparência, controle centralizado do fluxo financeiro e otimização da gestão de liquidez.</w:t>
      </w:r>
    </w:p>
    <w:p>
      <w:pPr>
        <w:keepNext/>
        <w:spacing w:before="200" w:after="80"/>
      </w:pPr>
      <w:r>
        <w:rPr>
          <w:rFonts w:ascii="Arial" w:hAnsi="Arial"/>
          <w:b/>
          <w:i w:val="0"/>
          <w:color w:val="2B6CB0"/>
          <w:sz w:val="24"/>
        </w:rPr>
        <w:t>3. Classificações da Receita Orçamentária (Lei nº 4.320/1964 e MCASP)</w:t>
      </w:r>
    </w:p>
    <w:p>
      <w:pPr>
        <w:spacing w:line="360" w:lineRule="auto" w:before="0" w:after="80"/>
        <w:jc w:val="both"/>
      </w:pPr>
      <w:r>
        <w:rPr>
          <w:rFonts w:ascii="Arial" w:hAnsi="Arial"/>
          <w:b w:val="0"/>
          <w:i w:val="0"/>
          <w:color w:val="111827"/>
          <w:sz w:val="24"/>
        </w:rPr>
        <w:t>A receita orçamentária é classificada segundo múltiplos critérios para fins de planejamento, controle contábil e divulgação de estatísticas fiscais.</w:t>
      </w:r>
    </w:p>
    <w:p>
      <w:pPr>
        <w:spacing w:after="120"/>
      </w:pPr>
    </w:p>
    <w:p>
      <w:pPr>
        <w:keepNext/>
        <w:spacing w:before="120" w:after="40"/>
      </w:pPr>
      <w:r>
        <w:rPr>
          <w:rFonts w:ascii="Arial" w:hAnsi="Arial"/>
          <w:b/>
          <w:i/>
          <w:color w:val="334155"/>
          <w:sz w:val="22"/>
        </w:rPr>
        <w:t>3.1 Classificação por Categoria Econômica: Receitas Correntes e de Capital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Receitas Correntes (Código 1):</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Recursos financeiros que ingressam regularmente no erário e destinam-se ao custeio da máquina pública e à manutenção dos serviços públicos regulares prestados à sociedade. Em sua grande maioria, são </w:t>
      </w:r>
      <w:r>
        <w:rPr>
          <w:rFonts w:ascii="Arial" w:hAnsi="Arial"/>
          <w:b/>
          <w:i w:val="0"/>
          <w:color w:val="111827"/>
          <w:sz w:val="24"/>
        </w:rPr>
        <w:t>receitas efetivas</w:t>
      </w:r>
      <w:r>
        <w:rPr>
          <w:rFonts w:ascii="Arial" w:hAnsi="Arial"/>
          <w:b w:val="0"/>
          <w:i w:val="0"/>
          <w:color w:val="111827"/>
          <w:sz w:val="24"/>
        </w:rPr>
        <w:t xml:space="preserve"> (aumentam a situação líquida patrimonial do Estado por constituírem variações patrimoniais aumentativas - VPA).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Receitas de Capital (Código 2):</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Recursos financeiros provenientes da constituição de dívidas (operações de crédito), da conversão em moeda de bens e direitos (alienação de bens e amortização de empréstimos) ou de transferências de terceiros vinculadas à realização de investimentos. Em sua maioria, são </w:t>
      </w:r>
      <w:r>
        <w:rPr>
          <w:rFonts w:ascii="Arial" w:hAnsi="Arial"/>
          <w:b/>
          <w:i w:val="0"/>
          <w:color w:val="111827"/>
          <w:sz w:val="24"/>
        </w:rPr>
        <w:t>receitas não efetivas</w:t>
      </w:r>
      <w:r>
        <w:rPr>
          <w:rFonts w:ascii="Arial" w:hAnsi="Arial"/>
          <w:b w:val="0"/>
          <w:i w:val="0"/>
          <w:color w:val="111827"/>
          <w:sz w:val="24"/>
        </w:rPr>
        <w:t xml:space="preserve"> (ou por mutação patrimonial), pois representam meras trocas compensatórias de elementos patrimoniais (ex.: entra dinheiro em caixa e diminui o valor de um imóvel na alienação, ou entra dinheiro e surge um passivo financeiro na operação de crédito) sem alteração imediata do patrimônio líquido.</w:t>
      </w:r>
    </w:p>
    <w:p>
      <w:pPr>
        <w:keepNext/>
        <w:spacing w:before="120" w:after="40"/>
      </w:pPr>
      <w:r>
        <w:rPr>
          <w:rFonts w:ascii="Arial" w:hAnsi="Arial"/>
          <w:b/>
          <w:i/>
          <w:color w:val="334155"/>
          <w:sz w:val="22"/>
        </w:rPr>
        <w:t>3.2 Distinção Crítica: Amortização de Empréstimos vs. Juros Recebidos</w:t>
      </w:r>
    </w:p>
    <w:p>
      <w:pPr>
        <w:spacing w:line="360" w:lineRule="auto" w:before="0" w:after="80"/>
        <w:jc w:val="both"/>
      </w:pPr>
      <w:r>
        <w:rPr>
          <w:rFonts w:ascii="Arial" w:hAnsi="Arial"/>
          <w:b w:val="0"/>
          <w:i w:val="0"/>
          <w:color w:val="111827"/>
          <w:sz w:val="24"/>
        </w:rPr>
        <w:t>Um dos temas mais recorrentes em provas da FCC é o tratamento contábil dos financiamentos concedidos pelo Estado a outros entes ou agentes econômicos: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Recebimento do Principal (Devolução do Capital Emprestado):</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Classifica-se como </w:t>
      </w:r>
      <w:r>
        <w:rPr>
          <w:rFonts w:ascii="Arial" w:hAnsi="Arial"/>
          <w:b/>
          <w:i w:val="0"/>
          <w:color w:val="111827"/>
          <w:sz w:val="24"/>
        </w:rPr>
        <w:t>Receita de Capital</w:t>
      </w:r>
      <w:r>
        <w:rPr>
          <w:rFonts w:ascii="Arial" w:hAnsi="Arial"/>
          <w:b w:val="0"/>
          <w:i w:val="0"/>
          <w:color w:val="111827"/>
          <w:sz w:val="24"/>
        </w:rPr>
        <w:t xml:space="preserve">, sob a origem </w:t>
      </w:r>
      <w:r>
        <w:rPr>
          <w:rFonts w:ascii="Arial" w:hAnsi="Arial"/>
          <w:b/>
          <w:i w:val="0"/>
          <w:color w:val="111827"/>
          <w:sz w:val="24"/>
        </w:rPr>
        <w:t>Amortização de Empréstimos</w:t>
      </w:r>
      <w:r>
        <w:rPr>
          <w:rFonts w:ascii="Arial" w:hAnsi="Arial"/>
          <w:b w:val="0"/>
          <w:i w:val="0"/>
          <w:color w:val="111827"/>
          <w:sz w:val="24"/>
        </w:rPr>
        <w:t>. O Estado detinha um direito a receber no Ativo Não Circulante que se converte em dinheiro de caixa (mutação ativa compensatória).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Recebimento dos Juros e Encargos da Dívida:</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Classifica-se como </w:t>
      </w:r>
      <w:r>
        <w:rPr>
          <w:rFonts w:ascii="Arial" w:hAnsi="Arial"/>
          <w:b/>
          <w:i w:val="0"/>
          <w:color w:val="111827"/>
          <w:sz w:val="24"/>
        </w:rPr>
        <w:t>Receita Corrente</w:t>
      </w:r>
      <w:r>
        <w:rPr>
          <w:rFonts w:ascii="Arial" w:hAnsi="Arial"/>
          <w:b w:val="0"/>
          <w:i w:val="0"/>
          <w:color w:val="111827"/>
          <w:sz w:val="24"/>
        </w:rPr>
        <w:t xml:space="preserve">, sob a origem </w:t>
      </w:r>
      <w:r>
        <w:rPr>
          <w:rFonts w:ascii="Arial" w:hAnsi="Arial"/>
          <w:b/>
          <w:i w:val="0"/>
          <w:color w:val="111827"/>
          <w:sz w:val="24"/>
        </w:rPr>
        <w:t>Receita Patrimonial</w:t>
      </w:r>
      <w:r>
        <w:rPr>
          <w:rFonts w:ascii="Arial" w:hAnsi="Arial"/>
          <w:b w:val="0"/>
          <w:i w:val="0"/>
          <w:color w:val="111827"/>
          <w:sz w:val="24"/>
        </w:rPr>
        <w:t>. Remunera o capital emprestado e constitui ganho patrimonial efetivo (VPA).</w:t>
      </w:r>
    </w:p>
    <w:p>
      <w:pPr>
        <w:keepNext/>
        <w:spacing w:before="120" w:after="40"/>
      </w:pPr>
      <w:r>
        <w:rPr>
          <w:rFonts w:ascii="Arial" w:hAnsi="Arial"/>
          <w:b/>
          <w:i/>
          <w:color w:val="334155"/>
          <w:sz w:val="22"/>
        </w:rPr>
        <w:t>3.3 Classificação por Esfera Orçamentária e por Fonte/Destinação de Recursos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 Esfera Orçamentária:</w:t>
      </w:r>
      <w:r>
        <w:rPr>
          <w:rFonts w:ascii="Arial" w:hAnsi="Arial"/>
          <w:b w:val="0"/>
          <w:i w:val="0"/>
          <w:color w:val="111827"/>
          <w:sz w:val="22"/>
        </w:rPr>
        <w:t xml:space="preserve"> Identifica a qual dos três orçamentos integrados da LOA a receita pertence: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Orçamento Fiscal (F);</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Orçamento da Seguridade Social (S);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Orçamento de Investimento das Estatais (I).</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 Fonte / Destinação de Recursos:</w:t>
      </w:r>
      <w:r>
        <w:rPr>
          <w:rFonts w:ascii="Arial" w:hAnsi="Arial"/>
          <w:b w:val="0"/>
          <w:i w:val="0"/>
          <w:color w:val="111827"/>
          <w:sz w:val="22"/>
        </w:rPr>
        <w:t xml:space="preserve"> Mecanismo pelo qual se estabelece a vinculação entre a origem do ingresso e a sua aplicação final: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Recursos Ordinários (Livres):</w:t>
      </w:r>
      <w:r>
        <w:rPr>
          <w:rFonts w:ascii="Arial" w:hAnsi="Arial"/>
          <w:b w:val="0"/>
          <w:i w:val="0"/>
          <w:color w:val="111827"/>
          <w:sz w:val="22"/>
        </w:rPr>
        <w:t xml:space="preserve"> Podem ser programados pelo Executivo para qualquer despesa discricionária regular;</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Recursos Vinculados (Carimbados):</w:t>
      </w:r>
      <w:r>
        <w:rPr>
          <w:rFonts w:ascii="Arial" w:hAnsi="Arial"/>
          <w:b w:val="0"/>
          <w:i w:val="0"/>
          <w:color w:val="111827"/>
          <w:sz w:val="22"/>
        </w:rPr>
        <w:t xml:space="preserve"> Possuem destinação legal ou constitucional obrigatória (ex.: Fundeb, percentuais mínimos de saúde e educação, convênios com repasses federais e emendas parlamentares impositivas). Conforme o art. 8º, parágrafo único da LRF, as disponibilidades de caixa dessas fontes mantêm sua vinculação ao longo dos exercícios, até a efetivação do seu objeto.</w:t>
      </w:r>
    </w:p>
    <w:p>
      <w:pPr>
        <w:keepNext/>
        <w:spacing w:before="120" w:after="40"/>
      </w:pPr>
      <w:r>
        <w:rPr>
          <w:rFonts w:ascii="Arial" w:hAnsi="Arial"/>
          <w:b/>
          <w:i/>
          <w:color w:val="334155"/>
          <w:sz w:val="22"/>
        </w:rPr>
        <w:t>3.4 Classificação por Natureza da Receita (Estrutura Codificada de 8 Dígitos)</w:t>
      </w:r>
    </w:p>
    <w:p>
      <w:pPr>
        <w:spacing w:line="360" w:lineRule="auto" w:before="0" w:after="80"/>
        <w:jc w:val="both"/>
      </w:pPr>
      <w:r>
        <w:rPr>
          <w:rFonts w:ascii="Arial" w:hAnsi="Arial"/>
          <w:b w:val="0"/>
          <w:i w:val="0"/>
          <w:color w:val="111827"/>
          <w:sz w:val="24"/>
        </w:rPr>
        <w:t>O MCASP (STN) padronizou a codificação da natureza da receita em nível nacional através de 8 dígitos alfanuméricos:</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\text{C . O . E . D1 . D2 . D3 . D4 . T}</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1º dígito - Categoria Econômica:</w:t>
      </w:r>
      <w:r>
        <w:rPr>
          <w:rFonts w:ascii="Arial" w:hAnsi="Arial"/>
          <w:b w:val="0"/>
          <w:i w:val="0"/>
          <w:color w:val="111827"/>
          <w:sz w:val="22"/>
        </w:rPr>
        <w:t xml:space="preserve"> (1 = Receita Corrente; 2 = Receita de Capital);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2º dígito - Origem:</w:t>
      </w:r>
      <w:r>
        <w:rPr>
          <w:rFonts w:ascii="Arial" w:hAnsi="Arial"/>
          <w:b w:val="0"/>
          <w:i w:val="0"/>
          <w:color w:val="111827"/>
          <w:sz w:val="22"/>
        </w:rPr>
        <w:t xml:space="preserve"> Subdivisão das categorias econômicas (ex.: Tributária, Patrimonial, Alienação de Bens, etc.);</w:t>
      </w:r>
    </w:p>
    <w:p>
      <w:pPr>
        <w:spacing w:line="276" w:lineRule="auto" w:before="20" w:after="40"/>
        <w:ind w:left="425"/>
      </w:pPr>
      <w:r>
        <w:rPr>
          <w:rFonts w:ascii="Arial" w:hAnsi="Arial"/>
          <w:b/>
          <w:color w:val="1B365D"/>
          <w:sz w:val="22"/>
        </w:rPr>
        <w:t xml:space="preserve">3. </w:t>
      </w:r>
      <w:r>
        <w:rPr>
          <w:rFonts w:ascii="Arial" w:hAnsi="Arial"/>
          <w:b/>
          <w:i w:val="0"/>
          <w:color w:val="111827"/>
          <w:sz w:val="22"/>
        </w:rPr>
        <w:t>3º dígito - Espécie:</w:t>
      </w:r>
      <w:r>
        <w:rPr>
          <w:rFonts w:ascii="Arial" w:hAnsi="Arial"/>
          <w:b w:val="0"/>
          <w:i w:val="0"/>
          <w:color w:val="111827"/>
          <w:sz w:val="22"/>
        </w:rPr>
        <w:t xml:space="preserve"> Nível que individualiza a receita (ex.: Impostos, Taxas, Amortizações);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4º ao 7º dígitos - Desdobramentos para Identificação de Peculiaridades e Alíquotas:</w:t>
      </w:r>
      <w:r>
        <w:rPr>
          <w:rFonts w:ascii="Arial" w:hAnsi="Arial"/>
          <w:b w:val="0"/>
          <w:i w:val="0"/>
          <w:color w:val="111827"/>
          <w:sz w:val="22"/>
        </w:rPr>
        <w:t xml:space="preserve"> Detalham o fato gerador específico (ex.: ICMS, IPVA, Alienação de Imóveis);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8º dígito - Tipo da Receita:</w:t>
      </w:r>
      <w:r>
        <w:rPr>
          <w:rFonts w:ascii="Arial" w:hAnsi="Arial"/>
          <w:b w:val="0"/>
          <w:i w:val="0"/>
          <w:color w:val="111827"/>
          <w:sz w:val="22"/>
        </w:rPr>
        <w:t xml:space="preserve"> Identifica se o valor arrecadado é o Principal (Tipo 1), Multas e Juros de Mora (Tipo 2), Dívida Ativa (Tipo 3), ou Multas e Juros da Dívida Ativa (Tipo 4).</w:t>
      </w:r>
    </w:p>
    <w:p>
      <w:pPr>
        <w:keepNext/>
        <w:spacing w:before="200" w:after="80"/>
      </w:pPr>
      <w:r>
        <w:rPr>
          <w:rFonts w:ascii="Arial" w:hAnsi="Arial"/>
          <w:b/>
          <w:i w:val="0"/>
          <w:color w:val="2B6CB0"/>
          <w:sz w:val="24"/>
        </w:rPr>
        <w:t>4. Regras Fiscais Restritivas da Receita e a LRF</w:t>
      </w:r>
    </w:p>
    <w:p>
      <w:pPr>
        <w:keepNext/>
        <w:spacing w:before="120" w:after="40"/>
      </w:pPr>
      <w:r>
        <w:rPr>
          <w:rFonts w:ascii="Arial" w:hAnsi="Arial"/>
          <w:b/>
          <w:i/>
          <w:color w:val="334155"/>
          <w:sz w:val="22"/>
        </w:rPr>
        <w:t>4.1 Vedação de Aplicação de Receita de Alienação de Bens em Despesa Corrente (Art. 44)</w:t>
      </w:r>
    </w:p>
    <w:p>
      <w:pPr>
        <w:spacing w:line="360" w:lineRule="auto" w:before="0" w:after="80"/>
        <w:jc w:val="both"/>
      </w:pPr>
      <w:r>
        <w:rPr>
          <w:rFonts w:ascii="Arial" w:hAnsi="Arial"/>
          <w:b w:val="0"/>
          <w:i w:val="0"/>
          <w:color w:val="111827"/>
          <w:sz w:val="24"/>
        </w:rPr>
        <w:t>A Lei de Responsabilidade Fiscal impõe uma barreira intransponível à dilapidação do patrimônio público para custeio operacional:</w:t>
      </w:r>
    </w:p>
    <w:p>
      <w:pPr>
        <w:spacing w:line="240" w:lineRule="auto" w:before="40" w:after="40"/>
        <w:ind w:left="2268"/>
      </w:pPr>
      <w:r>
        <w:rPr>
          <w:rFonts w:ascii="Arial" w:hAnsi="Arial"/>
          <w:b w:val="0"/>
          <w:i/>
          <w:color w:val="111827"/>
          <w:sz w:val="20"/>
        </w:rPr>
        <w:t>"É vedada a aplicação da receita de capital derivada da alienação de bens e direitos que integrem o patrimônio público para o financiamento de despesa corrente, salvo se destinada por lei aos regimes de previdência social, geral e próprio dos servidores públicos."</w:t>
      </w:r>
      <w:r>
        <w:rPr>
          <w:rFonts w:ascii="Arial" w:hAnsi="Arial"/>
          <w:b w:val="0"/>
          <w:i w:val="0"/>
          <w:color w:val="111827"/>
          <w:sz w:val="20"/>
        </w:rPr>
        <w:t xml:space="preserve"> (Art. 44 da LRF)</w:t>
      </w:r>
    </w:p>
    <w:p>
      <w:pPr>
        <w:spacing w:after="80"/>
      </w:pPr>
    </w:p>
    <w:p>
      <w:pPr>
        <w:spacing w:line="276" w:lineRule="auto" w:before="20" w:after="40"/>
        <w:ind w:left="425"/>
      </w:pPr>
      <w:r>
        <w:rPr>
          <w:rFonts w:ascii="Arial" w:hAnsi="Arial"/>
          <w:b/>
          <w:color w:val="2B6CB0"/>
          <w:sz w:val="22"/>
        </w:rPr>
        <w:t xml:space="preserve">• </w:t>
      </w:r>
      <w:r>
        <w:rPr>
          <w:rFonts w:ascii="Arial" w:hAnsi="Arial"/>
          <w:b/>
          <w:i w:val="0"/>
          <w:color w:val="111827"/>
          <w:sz w:val="22"/>
        </w:rPr>
        <w:t>Fundamento Fiscal:</w:t>
      </w:r>
      <w:r>
        <w:rPr>
          <w:rFonts w:ascii="Arial" w:hAnsi="Arial"/>
          <w:b w:val="0"/>
          <w:i w:val="0"/>
          <w:color w:val="111827"/>
          <w:sz w:val="22"/>
        </w:rPr>
        <w:t xml:space="preserve"> Evitar que governantes vendam imóveis, empresas estatais ou frotas públicas para pagar despesas ordinárias do dia a dia (folha salarial, água, luz e telefone), o que geraria rápida ruína fiscal do Estado.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Única Exceção Legal:</w:t>
      </w:r>
      <w:r>
        <w:rPr>
          <w:rFonts w:ascii="Arial" w:hAnsi="Arial"/>
          <w:b w:val="0"/>
          <w:i w:val="0"/>
          <w:color w:val="111827"/>
          <w:sz w:val="22"/>
        </w:rPr>
        <w:t xml:space="preserve"> Destinação autorizada por lei para capitalizar os </w:t>
      </w:r>
      <w:r>
        <w:rPr>
          <w:rFonts w:ascii="Arial" w:hAnsi="Arial"/>
          <w:b/>
          <w:i w:val="0"/>
          <w:color w:val="111827"/>
          <w:sz w:val="22"/>
        </w:rPr>
        <w:t>regimes de previdência social (RPPS ou RGPS)</w:t>
      </w:r>
      <w:r>
        <w:rPr>
          <w:rFonts w:ascii="Arial" w:hAnsi="Arial"/>
          <w:b w:val="0"/>
          <w:i w:val="0"/>
          <w:color w:val="111827"/>
          <w:sz w:val="22"/>
        </w:rPr>
        <w:t>, viabilizando o equilíbrio atuarial dos fundos de aposentadoria pública.</w:t>
      </w:r>
    </w:p>
    <w:p>
      <w:pPr>
        <w:keepNext/>
        <w:spacing w:before="120" w:after="40"/>
      </w:pPr>
      <w:r>
        <w:rPr>
          <w:rFonts w:ascii="Arial" w:hAnsi="Arial"/>
          <w:b/>
          <w:i/>
          <w:color w:val="334155"/>
          <w:sz w:val="22"/>
        </w:rPr>
        <w:t>4.2 Disciplina Fiscal da Renúncia de Receitas (Art. 14 da LRF)</w:t>
      </w:r>
    </w:p>
    <w:p>
      <w:pPr>
        <w:spacing w:line="360" w:lineRule="auto" w:before="0" w:after="80"/>
        <w:jc w:val="both"/>
      </w:pPr>
      <w:r>
        <w:rPr>
          <w:rFonts w:ascii="Arial" w:hAnsi="Arial"/>
          <w:b w:val="0"/>
          <w:i w:val="0"/>
          <w:color w:val="111827"/>
          <w:sz w:val="24"/>
        </w:rPr>
        <w:t xml:space="preserve">Qualquer ato normativo que conceda ou amplie benefício fiscal que resulte em </w:t>
      </w:r>
      <w:r>
        <w:rPr>
          <w:rFonts w:ascii="Arial" w:hAnsi="Arial"/>
          <w:b/>
          <w:i w:val="0"/>
          <w:color w:val="111827"/>
          <w:sz w:val="24"/>
        </w:rPr>
        <w:t>renúncia de receita</w:t>
      </w:r>
      <w:r>
        <w:rPr>
          <w:rFonts w:ascii="Arial" w:hAnsi="Arial"/>
          <w:b w:val="0"/>
          <w:i w:val="0"/>
          <w:color w:val="111827"/>
          <w:sz w:val="24"/>
        </w:rPr>
        <w:t xml:space="preserve"> (anistia, remissão, subsídio, crédito presumido, isenção em caráter não geral ou redução de alíquotas) deve obedecer aos rigorosos requisitos do art. 14 da LRF:</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frequentemente afirma que a renúncia de receitas exige sempre, obrigatoriamente e cumulativamente, aumento de tributos compensatórios. </w:t>
            </w:r>
            <w:r>
              <w:rPr>
                <w:rFonts w:ascii="Arial" w:hAnsi="Arial"/>
                <w:b/>
                <w:i w:val="0"/>
                <w:color w:val="111827"/>
                <w:sz w:val="21"/>
              </w:rPr>
              <w:t>ERRADO!</w:t>
            </w:r>
            <w:r>
              <w:rPr>
                <w:rFonts w:ascii="Arial" w:hAnsi="Arial"/>
                <w:b w:val="0"/>
                <w:i w:val="0"/>
                <w:color w:val="111827"/>
                <w:sz w:val="21"/>
              </w:rPr>
              <w:t xml:space="preserve"> O aumento compensatório (Condição B) só é exigido caso a renúncia NÃO tenha sido expressamente prevista na estimativa de receita da Lei Orçamentária Anual. Se já foi contemplada e absorvida na LOA sem risco para as metas fiscais do AMF, a criação/aumento de outros tributos é dispensada.</w:t>
            </w:r>
          </w:p>
        </w:tc>
      </w:tr>
    </w:tbl>
    <w:p>
      <w:pPr>
        <w:spacing w:before="0" w:after="120"/>
      </w:pPr>
    </w:p>
    <w:p>
      <w:pPr>
        <w:keepNext/>
        <w:spacing w:before="280" w:after="120"/>
      </w:pPr>
      <w:r>
        <w:rPr>
          <w:rFonts w:ascii="Arial" w:hAnsi="Arial"/>
          <w:b/>
          <w:i w:val="0"/>
          <w:color w:val="2C5282"/>
          <w:sz w:val="28"/>
        </w:rPr>
        <w:t>🌐 Fontes Oficiais &amp; Manuais Técnicos Recomendados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4.320/1964</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Arts. 9º a 11 (Classificação Econômica da Receita) e Arts. 51 a 57 (Estágios da Receita e Unidade de Caixa).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Complementar Federal nº 101/2000 (Lei de Responsabilidade Fiscal)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Arts. 11 a 14 (Previsão de Receitas e Renúncia Fiscal) e Art. 44 (Alienação de Ativos).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Contabilidade Aplicada ao Setor Público (MCASP) - 11ª Edição (STN)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Parte I: Procedimentos Contábeis Orçamentários - Classificações e Natureza da Receita.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Código Tributário Nacional - Lei Federal nº 5.172/1966</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 142 (Do Lançamento Tributário).</w:t>
      </w:r>
    </w:p>
    <w:p>
      <w:pPr>
        <w:keepNext/>
        <w:spacing w:before="280" w:after="120"/>
      </w:pPr>
      <w:r>
        <w:rPr>
          <w:rFonts w:ascii="Arial" w:hAnsi="Arial"/>
          <w:b/>
          <w:i w:val="0"/>
          <w:color w:val="2C5282"/>
          <w:sz w:val="28"/>
        </w:rPr>
        <w:t>📝 Questões Comentadas no Padrão FCC</w:t>
      </w:r>
    </w:p>
    <w:p>
      <w:pPr>
        <w:keepNext/>
        <w:spacing w:before="200" w:after="80"/>
      </w:pPr>
      <w:r>
        <w:rPr>
          <w:rFonts w:ascii="Arial" w:hAnsi="Arial"/>
          <w:b/>
          <w:i w:val="0"/>
          <w:color w:val="2B6CB0"/>
          <w:sz w:val="24"/>
        </w:rPr>
        <w:t>Questão 1 (FCC - Adaptada / TCE-RS - Auditor de Controle Externo)</w:t>
      </w:r>
    </w:p>
    <w:p>
      <w:pPr>
        <w:spacing w:line="360" w:lineRule="auto" w:before="0" w:after="80"/>
        <w:jc w:val="both"/>
      </w:pPr>
      <w:r>
        <w:rPr>
          <w:rFonts w:ascii="Arial" w:hAnsi="Arial"/>
          <w:b w:val="0"/>
          <w:i w:val="0"/>
          <w:color w:val="111827"/>
          <w:sz w:val="24"/>
        </w:rPr>
        <w:t>Determinado Estado da Federação recebeu as seguintes quantias financeiras em sua conta única do Tesouro ao longo do mês:</w:t>
      </w:r>
    </w:p>
    <w:p>
      <w:pPr>
        <w:spacing w:line="360" w:lineRule="auto" w:before="0" w:after="80"/>
        <w:jc w:val="both"/>
      </w:pPr>
      <w:r>
        <w:rPr>
          <w:rFonts w:ascii="Arial" w:hAnsi="Arial"/>
          <w:b w:val="0"/>
          <w:i w:val="0"/>
          <w:color w:val="111827"/>
          <w:sz w:val="24"/>
        </w:rPr>
        <w:t>I. R$ 500.000,00 referentes à venda em leilão público de veículos automotores inservíveis de sua frota administrativa.</w:t>
      </w:r>
    </w:p>
    <w:p>
      <w:pPr>
        <w:spacing w:line="360" w:lineRule="auto" w:before="0" w:after="80"/>
        <w:jc w:val="both"/>
      </w:pPr>
      <w:r>
        <w:rPr>
          <w:rFonts w:ascii="Arial" w:hAnsi="Arial"/>
          <w:b w:val="0"/>
          <w:i w:val="0"/>
          <w:color w:val="111827"/>
          <w:sz w:val="24"/>
        </w:rPr>
        <w:t>II. R$ 200.000,00 a título de juros moratórios incidentes sobre créditos tributários de ICMS pagos em atraso por contribuintes.</w:t>
      </w:r>
    </w:p>
    <w:p>
      <w:pPr>
        <w:spacing w:line="360" w:lineRule="auto" w:before="0" w:after="80"/>
        <w:jc w:val="both"/>
      </w:pPr>
      <w:r>
        <w:rPr>
          <w:rFonts w:ascii="Arial" w:hAnsi="Arial"/>
          <w:b w:val="0"/>
          <w:i w:val="0"/>
          <w:color w:val="111827"/>
          <w:sz w:val="24"/>
        </w:rPr>
        <w:t>III. R$ 300.000,00 decorrentes da devolução parcelada do principal de financiamento outrora concedido pelo Estado a determinado município goiano para fomento agropecuário.</w:t>
      </w:r>
    </w:p>
    <w:p>
      <w:pPr>
        <w:spacing w:line="360" w:lineRule="auto" w:before="0" w:after="80"/>
        <w:jc w:val="both"/>
      </w:pPr>
      <w:r>
        <w:rPr>
          <w:rFonts w:ascii="Arial" w:hAnsi="Arial"/>
          <w:b w:val="0"/>
          <w:i w:val="0"/>
          <w:color w:val="111827"/>
          <w:sz w:val="24"/>
        </w:rPr>
        <w:t>Nos termos da Lei Federal nº 4.320/1964 e das normas do MCASP, os itens I, II e III classificam-se, respectivamente, como: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Receita Corrente; Receita Corrente; Receita de Capital.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Receita de Capital; Receita Corrente; Receita de Capital.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Receita de Capital; Receita de Capital; Receita Corrente.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Receita Corrente; Receita de Capital; Receita de Capital.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Receita de Capital; Receita Corrente; Receita Corrente.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item I trata de alienação de ativos públicos, classificado legalmente como Receita de Capital.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item I (venda de veículos da frota) configura Alienação de Bens Móveis, integrando as Receitas de Capital; o item II (juros de mora sobre créditos tributários) integra as Receitas Correntes (receitas de juros/outras receitas correntes); e o item III (devolução do principal de empréstimo concedido) classifica-se como Amortização de Empréstimos, enquadrado como Receita de Capital. Portanto, a ordem correta é Capital, Corrente e Capital.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item II (juros moratórios) é receita corrente, e o item III (amortização do principal) é receita de capital.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leilão de veículos inservíveis é receita de capital e não corrente.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devolução do principal do empréstimo outrora cedido (item III) não é receita corrente, e sim de capital.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TCE-PI - Auditor de Controle Externo)</w:t>
      </w:r>
    </w:p>
    <w:p>
      <w:pPr>
        <w:spacing w:line="360" w:lineRule="auto" w:before="0" w:after="80"/>
        <w:jc w:val="both"/>
      </w:pPr>
      <w:r>
        <w:rPr>
          <w:rFonts w:ascii="Arial" w:hAnsi="Arial"/>
          <w:b w:val="0"/>
          <w:i w:val="0"/>
          <w:color w:val="111827"/>
          <w:sz w:val="24"/>
        </w:rPr>
        <w:t>A respeito das etapas e estágios da receita orçamentária e dos ingressos nos cofres estaduais, assinale a assertiva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 garantias contratuais depositadas em dinheiro por licitantes vencedores configuram receita orçamentária corrente, devendo constar previamente estimadas na Lei Orçamentária Anual.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estágio do recolhimento ocorre no momento exato em que o contribuinte efetua o pagamento do documento de arrecadação no caixa da instituição financeira credenciada.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operações de crédito por antecipação de receita orçamentária (ARO) constituem receitas de capital de execução orçamentária obrigatória no primeiro semestre do exercício financeiro.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transferência dos recursos arrecadados pelos agentes bancários para a Conta Única do Tesouro consubstancia o estágio do recolhimento, em obediência ao princípio da unidade de caixa.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lançamento é estágio obrigatório prévio e indispensável para a arrecadação de toda e qualquer receita orçamentária no âmbito da administração pública.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Garantias e cauções contratuais são ingressos extraorçamentários (recursos transitórios de terceiros com obrigação de devolução posterior), não constando da LOA.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pagamento realizado pelo contribuinte perante o caixa bancário consubstancia o estágio da arrecadação, e não do recolhimento.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ARO não é receita orçamentária de capital; é mero ingresso extraorçamentário de caixa para cobrir déficits transitórios de tesouraria.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Correta. Conforme o art. 56 da Lei nº 4.320/1964, o recolhimento é a entrega ou transferência dos recursos da rede bancária arrecadadora para a Conta Única do Tesouro Estadual, operacionalizando o princípio da unidade de caixa.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Nem toda receita orçamentária cumpre o estágio do lançamento (tarifas, serviços, doações e receitas financeiras são arrecadadas diretamente sem lançamento fiscal prévio).</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3 (FCC - Adaptada / Analista de Planejamento e Orçamento)</w:t>
      </w:r>
    </w:p>
    <w:p>
      <w:pPr>
        <w:spacing w:line="360" w:lineRule="auto" w:before="0" w:after="80"/>
        <w:jc w:val="both"/>
      </w:pPr>
      <w:r>
        <w:rPr>
          <w:rFonts w:ascii="Arial" w:hAnsi="Arial"/>
          <w:b w:val="0"/>
          <w:i w:val="0"/>
          <w:color w:val="111827"/>
          <w:sz w:val="24"/>
        </w:rPr>
        <w:t>Determinado Secretário de Estado da Fazenda propôs projeto de lei concedendo isenção temporária de IPVA para proprietários de veículos elétricos e híbridos matriculados no Estado. O projeto de lei foi aprovado pela Assembleia Legislativa sem a apresentação de estimativa de impacto orçamentário-financeiro e desacompanhado de medidas de compensação fiscal.</w:t>
      </w:r>
    </w:p>
    <w:p>
      <w:pPr>
        <w:spacing w:line="360" w:lineRule="auto" w:before="0" w:after="80"/>
        <w:jc w:val="both"/>
      </w:pPr>
      <w:r>
        <w:rPr>
          <w:rFonts w:ascii="Arial" w:hAnsi="Arial"/>
          <w:b w:val="0"/>
          <w:i w:val="0"/>
          <w:color w:val="111827"/>
          <w:sz w:val="24"/>
        </w:rPr>
        <w:t>À luz do artigo 14 da Lei de Responsabilidade Fiscal (LC nº 101/2000):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concessão do benefício é válida de pleno direito, visto que o Estado detém soberania para instituir e conceder isenções de seus tributos privativos.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proposição viola a Lei de Responsabilidade Fiscal, pois a concessão de benefício tributário da qual decorra renúncia de receita exige estimativa de impacto no exercício e nos dois seguintes, além de comprovação de que não afetará as metas fiscais ou de adoção de medidas compensatórias de arrecadação.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renúncia de receitas somente atinge isenções concedidas a pessoas jurídicas de direito privado, sendo dispensada qualquer formalidade para pessoas físicas adquirentes de veículos.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medidas compensatórias exigidas pela LRF aplicam-se com exclusividade a impostos federais compartilhados, dispensando-se do IPVA estadual.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exigência de estimativa trienal restringe-se aos dois últimos anos de mandato do Chefe do Poder Executivo.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autonomia federativa dos entes para legislar sobre seus tributos submete-se expressamente às normas gerais de finanças públicas veiculadas pela LRF.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14 da LRF prescreve que qualquer benefício ou incentivo que importe em renúncia de receita deve ser acompanhado de estimativa trienal do impacto orçamentário-financeiro e atender à LDO, mediante demonstração de que foi prevista na LOA sem afetar metas ou acompanhada de medidas de compensação fiscal efetivas.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disciplina da LRF alcança a concessão de incentivos fiscais indistintamente, quer os beneficiários sejam pessoas físicas ou pessoas jurídicas.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Lei de Responsabilidade Fiscal incide com eficácia nacional e obriga União, Estados, Distrito Federal e Municípios em relação a todos os seus tributos.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exigência do art. 14 da LRF é permanente e aplica-se durante todo e qualquer período do exercício orçamentário e mandato.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Técnico de Controle Externo)</w:t>
      </w:r>
    </w:p>
    <w:p>
      <w:pPr>
        <w:spacing w:line="360" w:lineRule="auto" w:before="0" w:after="80"/>
        <w:jc w:val="both"/>
      </w:pPr>
      <w:r>
        <w:rPr>
          <w:rFonts w:ascii="Arial" w:hAnsi="Arial"/>
          <w:b w:val="0"/>
          <w:i w:val="0"/>
          <w:color w:val="111827"/>
          <w:sz w:val="24"/>
        </w:rPr>
        <w:t>O Governo do Estado de Goiás promoveu a alienação, mediante concorrência pública, de um edifício comercial de sua propriedade que estava desocupado, arrecadando R$ 10.000.000,00. O Governador pretende aplicar integralmente essa receita para pagar o reajuste salarial concedido aos servidores públicos da Secretaria da Saúde.</w:t>
      </w:r>
    </w:p>
    <w:p>
      <w:pPr>
        <w:spacing w:line="360" w:lineRule="auto" w:before="0" w:after="80"/>
        <w:jc w:val="both"/>
      </w:pPr>
      <w:r>
        <w:rPr>
          <w:rFonts w:ascii="Arial" w:hAnsi="Arial"/>
          <w:b w:val="0"/>
          <w:i w:val="0"/>
          <w:color w:val="111827"/>
          <w:sz w:val="24"/>
        </w:rPr>
        <w:t>De acordo com o artigo 44 da Lei Complementar nº 101/2000 (Lei de Responsabilidade Fiscal):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pretensão governamental é lícita, pois a saúde pública constitui prioridade orçamentária imune a restrições fiscais.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aplicação é vedada, pois a receita de capital derivada da alienação de bens públicos não pode ser aplicada no financiamento de despesas correntes, salvo se destinada por lei aos regimes de previdência social.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receita de alienação de bens pode ser destinada a qualquer tipo de despesa pública, desde que autorizada por decreto executivo simples.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valor arrecadado deve ser compulsoriamente recolhido ao Tesouro Nacional para amortização de títulos federais.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alienação de imóveis públicos converte-se automaticamente em receita corrente tributária após o depósito bancário.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As restrições do art. 44 da LRF são cogentes e insuperáveis, não comportando exceção para a folha de pessoal da saúde.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44 da LRF proíbe expressamente a aplicação de receitas de capital oriundas da alienação de bens e direitos para o financiamento de despesas correntes (como salários de servidores), admitindo única exceção legal para capitalização de regimes de previdência social (RPPS/RGPS).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gestor não possui discricionariedade para desrespeitar vedação legal expressa da lei de finanças públicas.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Os recursos da venda pertencem ao erário estadual de Goiás e podem financiar outras despesas de capital (investimentos).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alienação de ativos conserva perenemente sua natureza de Receita de Capital.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Adaptada / Analista de Gestão Pública)</w:t>
      </w:r>
    </w:p>
    <w:p>
      <w:pPr>
        <w:spacing w:line="360" w:lineRule="auto" w:before="0" w:after="80"/>
        <w:jc w:val="both"/>
      </w:pPr>
      <w:r>
        <w:rPr>
          <w:rFonts w:ascii="Arial" w:hAnsi="Arial"/>
          <w:b w:val="0"/>
          <w:i w:val="0"/>
          <w:color w:val="111827"/>
          <w:sz w:val="24"/>
        </w:rPr>
        <w:t>Na execução orçamentária de determinada entidade autárquica estadual, os valores descontados mensalmente na folha de pagamentos dos seus servidores a título de contribuição previdenciária própria e de pensão alimentícia judicial fixada por sentença constituem: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Receitas Correntes Patrimoniais da própria autarquia.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Ingressos Extraorçamentários, haja vista que a entidade é mera depositária temporária dos valores que serão repassados aos seus legítimos destinatários.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Receitas de Capital decorrentes de amortização forçada de encargos de pessoal.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Receitas Tributárias originárias de competência privativa do Poder Executivo.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Recursos vinculados de transferências voluntárias intergovernamentais.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Retenções de vencimentos para entrega a terceiros não geram acréscimo patrimonial nem remuneram bens da autarquia.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As consignações em folha de pagamento (pensão alimentícia, retenções judiciais e empréstimos consignados) consubstanciam ingressos extraorçamentários. O poder público atua como mero depositário transitório desses valores, surgindo no mesmo instante a obrigação financeira exigível de repasse aos credores legítimos.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Não existe mutação de ativo permanente nem amortização de empréstimos concedidos pelo Estado.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As retenções de pensão alimentícia advêm de relações cíveis de família e não possuem natureza tributária.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Não se tratam de convênios ou acordos federativos voluntários.</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03 - Despesa Pública, Estágios, Classificações, Restos a Pagar, DEA e Suprimento de Fundos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Administração Financeira e Orçamentária (AFO)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03_despesa_publica_estagios_restos_a_pagar_e_suprimento.md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Despesa pública: conceito amplo e estrito, despesas orçamentárias vs. dispêndios extraorçamentários;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Estágios da despesa orçamentária (Lei Federal nº 4.320/1964):</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Fixação (aprovação da dotação na LOA);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Empenho (Art. 58 da Lei 4.320/64): conceito, modalidades (ordinário, estimativo e global) e a Nota de Empenho;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Liquidação (Art. 63 da Lei 4.320/64): verificação objetiva do direito adquirido pelo credor e atesto de conformidade;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Pagamento (Art. 64 da Lei 4.320/64): ordem bancária emitida contra a Conta Única do Tesouro;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Classificações da Despesa Orçamentária (Portaria Interministerial STN/SOF nº 163/2001 e MCASP):</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Classificação Institucional (Órgão e Unidade Orçamentária executora);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Classificação Funcional-Programática (Função, Subfunção, Programa, Ações: Projetos, Atividades e Operações Especiais; princípio da matricialidade funcional);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Classificação por Natureza da Despesa (estrutura codificada: Categoria Econômica, Grupo de Natureza da Despesa - GND, Modalidade de Aplicação e Elemento de Despesa);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Distinção essencial: Investimentos (GND 4) vs. Inversões Financeiras (GND 5);</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Restos a Pagar (RAP - Artigo 36 da Lei nº 4.320/1964):</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Restos a Pagar Processados (RPP) vs. Restos a Pagar Não Processados (RPNP);</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Regras de vigência, liquidação, cancelamento e prescrição quinquenal;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Despesas de Exercícios Anteriores (DEA): as três hipóteses legais taxativas do Artigo 37 da Lei nº 4.320/1964;</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Suprimento de Fundos (Regime de Adiantamento): conceito, hipóteses restritas de concessão (pequeno vulto, urgência, viagens e despesas sigilosas), proibições absolutas de concessão e prestação de contas.</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Despesa Pública: Conceito e Estágios Legais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Despesa Orçamentária vs. Dispêndios Extraorçamentários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Os Quatro Estágios da Despesa Pública (Fixação, Empenho, Liquidação e Pagamento)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Modalidades de Empenho: Ordinário, Estimativo e Global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Estrutura e Classificações da Despesa Orçamentária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Classificação Institucional e Funcional (Matricialidade)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Classificação Programática: Projetos, Atividades e Operações Especiais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Classificação por Natureza da Despesa e GNDs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A Distinção Crítica FCC: Investimentos (GND 4) vs. Inversões Financeiras (GND 5)</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Restos a Pagar (RAP) e Despesas de Exercícios Anteriores (DEA)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Restos a Pagar Processados (RPP) vs. Restos a Pagar Não Processados (RPNP)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Cancelamento de RAP e a Prescrição Quinquenal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As Três Hipóteses Legais de DEA (Art. 37 da Lei nº 4.320/1964)</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Regime Excepcional de Suprimento de Fundos (Adiantamento)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Hipóteses Restritas e Regra do Empenho Prévio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Vedações Categóricas e Prestação de Contas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&amp; Manuais Técnicos Recomendados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no Padrão FCC</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Despesa Pública: Conceito e Estágios Legais</w:t>
      </w:r>
    </w:p>
    <w:p>
      <w:pPr>
        <w:keepNext/>
        <w:spacing w:before="120" w:after="40"/>
      </w:pPr>
      <w:r>
        <w:rPr>
          <w:rFonts w:ascii="Arial" w:hAnsi="Arial"/>
          <w:b/>
          <w:i/>
          <w:color w:val="334155"/>
          <w:sz w:val="22"/>
        </w:rPr>
        <w:t>1.1 Despesa Orçamentária vs. Dispêndios Extraorçamentários</w:t>
      </w:r>
    </w:p>
    <w:p>
      <w:pPr>
        <w:spacing w:line="360" w:lineRule="auto" w:before="0" w:after="80"/>
        <w:jc w:val="both"/>
      </w:pPr>
      <w:r>
        <w:rPr>
          <w:rFonts w:ascii="Arial" w:hAnsi="Arial"/>
          <w:b w:val="0"/>
          <w:i w:val="0"/>
          <w:color w:val="111827"/>
          <w:sz w:val="24"/>
        </w:rPr>
        <w:t>No direito financeiro e na contabilidade pública, a realização de saídas financeiras dos cofres estatais divide-se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Despesas Orçamentárias (Sentido Estrito):</w:t>
      </w:r>
      <w:r>
        <w:rPr>
          <w:rFonts w:ascii="Arial" w:hAnsi="Arial"/>
          <w:b w:val="0"/>
          <w:i w:val="0"/>
          <w:color w:val="111827"/>
          <w:sz w:val="22"/>
        </w:rPr>
        <w:t xml:space="preserve"> São aquelas que necessitam de prévia autorização legislativa fixada na Lei Orçamentária Anual (ou em créditos adicionais) para serem executadas, destinando-se a financiar os serviços públicos, investimentos e transferências governamentais.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Dispêndios Extraorçamentários (Saídas de Caixa):</w:t>
      </w:r>
      <w:r>
        <w:rPr>
          <w:rFonts w:ascii="Arial" w:hAnsi="Arial"/>
          <w:b w:val="0"/>
          <w:i w:val="0"/>
          <w:color w:val="111827"/>
          <w:sz w:val="22"/>
        </w:rPr>
        <w:t xml:space="preserve"> Não representam despesa orçamentária nem reduzem o patrimônio líquido estatal. Correspondem a saídas puramente financeiras que extinguem passivos exigíveis anteriormente constituídos (ex.: devolução de cauções ou fianças licitatórias depositadas em dinheiro, resgate de depósitos judiciais, repasse aos bancos de empréstimos consignados retidos em folha e pagamento de Restos a Pagar).</w:t>
      </w:r>
    </w:p>
    <w:p>
      <w:pPr>
        <w:spacing w:after="120"/>
      </w:pPr>
    </w:p>
    <w:p>
      <w:pPr>
        <w:keepNext/>
        <w:spacing w:before="120" w:after="40"/>
      </w:pPr>
      <w:r>
        <w:rPr>
          <w:rFonts w:ascii="Arial" w:hAnsi="Arial"/>
          <w:b/>
          <w:i/>
          <w:color w:val="334155"/>
          <w:sz w:val="22"/>
        </w:rPr>
        <w:t>1.2 Os Quatro Estágios da Despesa Pública (Fixação, Empenho, Liquidação e Pagamento)</w:t>
      </w:r>
    </w:p>
    <w:p>
      <w:pPr>
        <w:spacing w:line="360" w:lineRule="auto" w:before="0" w:after="80"/>
        <w:jc w:val="both"/>
      </w:pPr>
      <w:r>
        <w:rPr>
          <w:rFonts w:ascii="Arial" w:hAnsi="Arial"/>
          <w:b w:val="0"/>
          <w:i w:val="0"/>
          <w:color w:val="111827"/>
          <w:sz w:val="24"/>
        </w:rPr>
        <w:t>A execução formal da despesa pública submete-se a quatro estágios sucessivos e interdependentes (arts. 58 a 65 da Lei Federal nº 4.320/1964):</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Fixação (Etapa de Planejamento):</w:t>
      </w:r>
      <w:r>
        <w:rPr>
          <w:rFonts w:ascii="Arial" w:hAnsi="Arial"/>
          <w:b w:val="0"/>
          <w:i w:val="0"/>
          <w:color w:val="111827"/>
          <w:sz w:val="22"/>
        </w:rPr>
        <w:t xml:space="preserve"> É a autorização legislativa conferida ao Poder Executivo e demais órgãos independentes, por meio da LOA, estabelecendo o limite máximo de recursos destinados a cada programa e ação de governo.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Empenho (Art. 58 da Lei nº 4.320/1964):</w:t>
      </w:r>
      <w:r>
        <w:rPr>
          <w:rFonts w:ascii="Arial" w:hAnsi="Arial"/>
          <w:b w:val="0"/>
          <w:i w:val="0"/>
          <w:color w:val="111827"/>
          <w:sz w:val="22"/>
        </w:rPr>
        <w:t xml:space="preserve">  </w:t>
      </w:r>
    </w:p>
    <w:p>
      <w:pPr>
        <w:spacing w:line="276" w:lineRule="auto" w:before="20" w:after="40"/>
        <w:ind w:left="992"/>
      </w:pPr>
      <w:r>
        <w:rPr>
          <w:rFonts w:ascii="Arial" w:hAnsi="Arial"/>
          <w:b/>
          <w:color w:val="2B6CB0"/>
          <w:sz w:val="22"/>
        </w:rPr>
        <w:t xml:space="preserve">• </w:t>
      </w:r>
      <w:r>
        <w:rPr>
          <w:rFonts w:ascii="Arial" w:hAnsi="Arial"/>
          <w:b w:val="0"/>
          <w:i/>
          <w:color w:val="111827"/>
          <w:sz w:val="22"/>
        </w:rPr>
        <w:t>"O empenho de despesa é o ato emanado de autoridade competente que cria para o Estado obrigação de pagamento pendente ou não de implemento de condição."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Possui função jurídica (criação da obrigação) e contábil (reserva prévia da dotação orçamentária, impedindo que o mesmo recurso seja utilizado para outra finalidade).</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Regra de Ouro (Art. 60):</w:t>
      </w:r>
      <w:r>
        <w:rPr>
          <w:rFonts w:ascii="Arial" w:hAnsi="Arial"/>
          <w:b w:val="0"/>
          <w:i w:val="0"/>
          <w:color w:val="111827"/>
          <w:sz w:val="22"/>
        </w:rPr>
        <w:t xml:space="preserve"> É </w:t>
      </w:r>
      <w:r>
        <w:rPr>
          <w:rFonts w:ascii="Arial" w:hAnsi="Arial"/>
          <w:b/>
          <w:i w:val="0"/>
          <w:color w:val="111827"/>
          <w:sz w:val="22"/>
        </w:rPr>
        <w:t>vedada a realização de despesa sem prévio empenho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Formaliza-se pelo documento oficial denominado </w:t>
      </w:r>
      <w:r>
        <w:rPr>
          <w:rFonts w:ascii="Arial" w:hAnsi="Arial"/>
          <w:b/>
          <w:i w:val="0"/>
          <w:color w:val="111827"/>
          <w:sz w:val="22"/>
        </w:rPr>
        <w:t>Nota de Empenho (NE)</w:t>
      </w:r>
      <w:r>
        <w:rPr>
          <w:rFonts w:ascii="Arial" w:hAnsi="Arial"/>
          <w:b w:val="0"/>
          <w:i w:val="0"/>
          <w:color w:val="111827"/>
          <w:sz w:val="22"/>
        </w:rPr>
        <w:t>, que deve indicar o nome do credor, a especificação do bem ou serviço e a importância exata da despesa.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Liquidação (Art. 63 da Lei nº 4.320/1964):</w:t>
      </w:r>
      <w:r>
        <w:rPr>
          <w:rFonts w:ascii="Arial" w:hAnsi="Arial"/>
          <w:b w:val="0"/>
          <w:i w:val="0"/>
          <w:color w:val="111827"/>
          <w:sz w:val="22"/>
        </w:rPr>
        <w:t xml:space="preserve">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Consiste na </w:t>
      </w:r>
      <w:r>
        <w:rPr>
          <w:rFonts w:ascii="Arial" w:hAnsi="Arial"/>
          <w:b/>
          <w:i w:val="0"/>
          <w:color w:val="111827"/>
          <w:sz w:val="22"/>
        </w:rPr>
        <w:t>verificação objetiva do direito adquirido pelo credor</w:t>
      </w:r>
      <w:r>
        <w:rPr>
          <w:rFonts w:ascii="Arial" w:hAnsi="Arial"/>
          <w:b w:val="0"/>
          <w:i w:val="0"/>
          <w:color w:val="111827"/>
          <w:sz w:val="22"/>
        </w:rPr>
        <w:t xml:space="preserve"> tendo por base os títulos e documentos comprobatórios do respectivo crédito.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Tem por objetivo apurar:</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A origem e o objeto do que se deve pagar;</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A importância exata a pagar;</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A quem se deve pagar para extinguir a obrigação.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Requer a realização de </w:t>
      </w:r>
      <w:r>
        <w:rPr>
          <w:rFonts w:ascii="Arial" w:hAnsi="Arial"/>
          <w:b/>
          <w:i w:val="0"/>
          <w:color w:val="111827"/>
          <w:sz w:val="22"/>
        </w:rPr>
        <w:t>atesto formal</w:t>
      </w:r>
      <w:r>
        <w:rPr>
          <w:rFonts w:ascii="Arial" w:hAnsi="Arial"/>
          <w:b w:val="0"/>
          <w:i w:val="0"/>
          <w:color w:val="111827"/>
          <w:sz w:val="22"/>
        </w:rPr>
        <w:t xml:space="preserve"> na nota fiscal por servidor competente ou comissão fiscalizadora, certificando que as obras, os serviços ou os materiais foram recebidos em perfeita conformidade com as especificações contratadas.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Pagamento (Arts. 64 e 65 da Lei nº 4.320/1964):</w:t>
      </w:r>
      <w:r>
        <w:rPr>
          <w:rFonts w:ascii="Arial" w:hAnsi="Arial"/>
          <w:b w:val="0"/>
          <w:i w:val="0"/>
          <w:color w:val="111827"/>
          <w:sz w:val="22"/>
        </w:rPr>
        <w:t xml:space="preserve">  </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o despacho exarado pelo ordenador de despesas determinando a efetiva quitação da obrigação liquidada.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Processa-se mediante </w:t>
      </w:r>
      <w:r>
        <w:rPr>
          <w:rFonts w:ascii="Arial" w:hAnsi="Arial"/>
          <w:b/>
          <w:i w:val="0"/>
          <w:color w:val="111827"/>
          <w:sz w:val="22"/>
        </w:rPr>
        <w:t>Ordem Bancária (OB)</w:t>
      </w:r>
      <w:r>
        <w:rPr>
          <w:rFonts w:ascii="Arial" w:hAnsi="Arial"/>
          <w:b w:val="0"/>
          <w:i w:val="0"/>
          <w:color w:val="111827"/>
          <w:sz w:val="22"/>
        </w:rPr>
        <w:t xml:space="preserve"> emitida contra a Conta Única do Tesouro Estadual diretamente em favor do credor.</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Regra de Interdependência (Art. 62):</w:t>
      </w:r>
      <w:r>
        <w:rPr>
          <w:rFonts w:ascii="Arial" w:hAnsi="Arial"/>
          <w:b w:val="0"/>
          <w:i w:val="0"/>
          <w:color w:val="111827"/>
          <w:sz w:val="22"/>
        </w:rPr>
        <w:t xml:space="preserve"> A ordem de pagamento só pode ser expedida após a regular liquidação da despesa!</w:t>
      </w:r>
    </w:p>
    <w:p>
      <w:pPr>
        <w:keepNext/>
        <w:spacing w:before="120" w:after="40"/>
      </w:pPr>
      <w:r>
        <w:rPr>
          <w:rFonts w:ascii="Arial" w:hAnsi="Arial"/>
          <w:b/>
          <w:i/>
          <w:color w:val="334155"/>
          <w:sz w:val="22"/>
        </w:rPr>
        <w:t>1.3 Modalidades de Empenho: Ordinário, Estimativo e Global</w:t>
      </w:r>
    </w:p>
    <w:p>
      <w:pPr>
        <w:spacing w:line="360" w:lineRule="auto" w:before="0" w:after="80"/>
        <w:jc w:val="both"/>
      </w:pPr>
      <w:r>
        <w:rPr>
          <w:rFonts w:ascii="Arial" w:hAnsi="Arial"/>
          <w:b w:val="0"/>
          <w:i w:val="0"/>
          <w:color w:val="111827"/>
          <w:sz w:val="24"/>
        </w:rPr>
        <w:t>A legislação orçamentária prevê três modalidades formais de empenho, a serem adotadas conforme a natureza da obrigação contratual:</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Modalidade de Empenho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Montante da Despesa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Forma de Desembolso / Pagamento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Casos Práticos de Aplicação (Padrão FCC)</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Ordinário (Comum)</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Exato e previamente conhecido.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Parcela única</w:t>
            </w:r>
            <w:r>
              <w:rPr>
                <w:rFonts w:ascii="Arial" w:hAnsi="Arial"/>
                <w:b w:val="0"/>
                <w:i w:val="0"/>
                <w:color w:val="111827"/>
                <w:sz w:val="19"/>
              </w:rPr>
              <w:t xml:space="preserve"> (desembolso de uma só vez).</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Aquisição de lote de veículos ou computadores faturados e entregues de uma só vez.</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Estimativo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Inexato / Impossível</w:t>
            </w:r>
            <w:r>
              <w:rPr>
                <w:rFonts w:ascii="Arial" w:hAnsi="Arial"/>
                <w:b w:val="0"/>
                <w:i w:val="0"/>
                <w:color w:val="111827"/>
                <w:sz w:val="19"/>
              </w:rPr>
              <w:t xml:space="preserve"> de fixar previamente.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Desembolsos parcelados ou periódicos.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Contas de consumo mensal: energia elétrica, água, telefonia, diárias e combustíveis da frota.</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Global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Exato e previamente conhecido em contrato.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Parcelado / Sucessivo</w:t>
            </w:r>
            <w:r>
              <w:rPr>
                <w:rFonts w:ascii="Arial" w:hAnsi="Arial"/>
                <w:b w:val="0"/>
                <w:i w:val="0"/>
                <w:color w:val="111827"/>
                <w:sz w:val="19"/>
              </w:rPr>
              <w:t xml:space="preserve"> ao longo do exercício.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Contratos de locação de imóveis (aluguel mensal fixo), contratos continuados de vigilância e medições de obras.</w:t>
            </w:r>
          </w:p>
        </w:tc>
      </w:tr>
    </w:tbl>
    <w:p>
      <w:pPr>
        <w:spacing w:after="120"/>
      </w:pPr>
    </w:p>
    <w:p>
      <w:pPr>
        <w:keepNext/>
        <w:spacing w:before="200" w:after="80"/>
      </w:pPr>
      <w:r>
        <w:rPr>
          <w:rFonts w:ascii="Arial" w:hAnsi="Arial"/>
          <w:b/>
          <w:i w:val="0"/>
          <w:color w:val="2B6CB0"/>
          <w:sz w:val="24"/>
        </w:rPr>
        <w:t>2. Estrutura e Classificações da Despesa Orçamentária</w:t>
      </w:r>
    </w:p>
    <w:p>
      <w:pPr>
        <w:keepNext/>
        <w:spacing w:before="120" w:after="40"/>
      </w:pPr>
      <w:r>
        <w:rPr>
          <w:rFonts w:ascii="Arial" w:hAnsi="Arial"/>
          <w:b/>
          <w:i/>
          <w:color w:val="334155"/>
          <w:sz w:val="22"/>
        </w:rPr>
        <w:t>2.1 Classificação Institucional e Funcional (Matricialidade)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Classificação Institucional:</w:t>
      </w:r>
      <w:r>
        <w:rPr>
          <w:rFonts w:ascii="Arial" w:hAnsi="Arial"/>
          <w:b w:val="0"/>
          <w:i w:val="0"/>
          <w:color w:val="111827"/>
          <w:sz w:val="22"/>
        </w:rPr>
        <w:t xml:space="preserve"> Responde à indagação: </w:t>
      </w:r>
      <w:r>
        <w:rPr>
          <w:rFonts w:ascii="Arial" w:hAnsi="Arial"/>
          <w:b w:val="0"/>
          <w:i/>
          <w:color w:val="111827"/>
          <w:sz w:val="22"/>
        </w:rPr>
        <w:t>"Quem gasta o recurso público?"</w:t>
      </w:r>
      <w:r>
        <w:rPr>
          <w:rFonts w:ascii="Arial" w:hAnsi="Arial"/>
          <w:b w:val="0"/>
          <w:i w:val="0"/>
          <w:color w:val="111827"/>
          <w:sz w:val="22"/>
        </w:rPr>
        <w:t>. Estrutura-se em dois níveis fundamentais: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Órgão Orçamentário:</w:t>
      </w:r>
      <w:r>
        <w:rPr>
          <w:rFonts w:ascii="Arial" w:hAnsi="Arial"/>
          <w:b w:val="0"/>
          <w:i w:val="0"/>
          <w:color w:val="111827"/>
          <w:sz w:val="22"/>
        </w:rPr>
        <w:t xml:space="preserve"> Maior nível institucional (ex.: Tribunal de Contas do Estado, Secretaria de Estado da Fazenda, Tribunal de Justiça);</w:t>
      </w:r>
    </w:p>
    <w:p>
      <w:pPr>
        <w:spacing w:line="276" w:lineRule="auto" w:before="20" w:after="40"/>
        <w:ind w:left="992"/>
      </w:pPr>
      <w:r>
        <w:rPr>
          <w:rFonts w:ascii="Arial" w:hAnsi="Arial"/>
          <w:b/>
          <w:color w:val="2B6CB0"/>
          <w:sz w:val="22"/>
        </w:rPr>
        <w:t xml:space="preserve">• </w:t>
      </w:r>
      <w:r>
        <w:rPr>
          <w:rFonts w:ascii="Arial" w:hAnsi="Arial"/>
          <w:b/>
          <w:i w:val="0"/>
          <w:color w:val="111827"/>
          <w:sz w:val="22"/>
        </w:rPr>
        <w:t>Unidade Orçamentária (UO):</w:t>
      </w:r>
      <w:r>
        <w:rPr>
          <w:rFonts w:ascii="Arial" w:hAnsi="Arial"/>
          <w:b w:val="0"/>
          <w:i w:val="0"/>
          <w:color w:val="111827"/>
          <w:sz w:val="22"/>
        </w:rPr>
        <w:t xml:space="preserve"> Subunidade executora detentora direta de dotação orçamentária (ex.: Fundo de Modernização do TCE-GO, Diretoria-Geral da Polícia Civil).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Classificação Funcional:</w:t>
      </w:r>
      <w:r>
        <w:rPr>
          <w:rFonts w:ascii="Arial" w:hAnsi="Arial"/>
          <w:b w:val="0"/>
          <w:i w:val="0"/>
          <w:color w:val="111827"/>
          <w:sz w:val="22"/>
        </w:rPr>
        <w:t xml:space="preserve"> Responde à pergunta: </w:t>
      </w:r>
      <w:r>
        <w:rPr>
          <w:rFonts w:ascii="Arial" w:hAnsi="Arial"/>
          <w:b w:val="0"/>
          <w:i/>
          <w:color w:val="111827"/>
          <w:sz w:val="22"/>
        </w:rPr>
        <w:t>"Em qual área de atuação governamental a despesa será realizada?"</w:t>
      </w:r>
      <w:r>
        <w:rPr>
          <w:rFonts w:ascii="Arial" w:hAnsi="Arial"/>
          <w:b w:val="0"/>
          <w:i w:val="0"/>
          <w:color w:val="111827"/>
          <w:sz w:val="22"/>
        </w:rPr>
        <w:t>. Composta por:</w:t>
      </w:r>
    </w:p>
    <w:p>
      <w:pPr>
        <w:spacing w:line="276" w:lineRule="auto" w:before="20" w:after="40"/>
        <w:ind w:left="992"/>
      </w:pPr>
      <w:r>
        <w:rPr>
          <w:rFonts w:ascii="Arial" w:hAnsi="Arial"/>
          <w:b/>
          <w:color w:val="2B6CB0"/>
          <w:sz w:val="22"/>
        </w:rPr>
        <w:t xml:space="preserve">• </w:t>
      </w:r>
      <w:r>
        <w:rPr>
          <w:rFonts w:ascii="Arial" w:hAnsi="Arial"/>
          <w:b/>
          <w:i w:val="0"/>
          <w:color w:val="111827"/>
          <w:sz w:val="22"/>
        </w:rPr>
        <w:t>Função:</w:t>
      </w:r>
      <w:r>
        <w:rPr>
          <w:rFonts w:ascii="Arial" w:hAnsi="Arial"/>
          <w:b w:val="0"/>
          <w:i w:val="0"/>
          <w:color w:val="111827"/>
          <w:sz w:val="22"/>
        </w:rPr>
        <w:t xml:space="preserve"> O maior nível de agregação das competências estatais (ex.: 01 - Legislativa, 04 - Administração, 10 - Saúde, 12 - Educação);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Subfunção:</w:t>
      </w:r>
      <w:r>
        <w:rPr>
          <w:rFonts w:ascii="Arial" w:hAnsi="Arial"/>
          <w:b w:val="0"/>
          <w:i w:val="0"/>
          <w:color w:val="111827"/>
          <w:sz w:val="22"/>
        </w:rPr>
        <w:t xml:space="preserve"> Ramo específico e detalhado de uma função (ex.: 122 - Administração Geral, 301 - Atenção Básica, 361 - Ensino Fundamental);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Princípio da Matricialidade Funcional:</w:t>
      </w:r>
      <w:r>
        <w:rPr>
          <w:rFonts w:ascii="Arial" w:hAnsi="Arial"/>
          <w:b w:val="0"/>
          <w:i w:val="0"/>
          <w:color w:val="111827"/>
          <w:sz w:val="22"/>
        </w:rPr>
        <w:t xml:space="preserve"> Qualquer subfunção pode ser combinada com qualquer função orçamentária, independentemente da vinculação institucional tradicional (ex.: uma escola administrada pelo TCE-GO para capacitação de servidores pode ser classificada na Função 01 - Legislativa e Subfunção 128 - Formação de Recursos Humanos).</w:t>
      </w:r>
    </w:p>
    <w:p>
      <w:pPr>
        <w:keepNext/>
        <w:spacing w:before="120" w:after="40"/>
      </w:pPr>
      <w:r>
        <w:rPr>
          <w:rFonts w:ascii="Arial" w:hAnsi="Arial"/>
          <w:b/>
          <w:i/>
          <w:color w:val="334155"/>
          <w:sz w:val="22"/>
        </w:rPr>
        <w:t>2.2 Classificação Programática: Projetos, Atividades e Operações Especiais</w:t>
      </w:r>
    </w:p>
    <w:p>
      <w:pPr>
        <w:spacing w:line="360" w:lineRule="auto" w:before="0" w:after="80"/>
        <w:jc w:val="both"/>
      </w:pPr>
      <w:r>
        <w:rPr>
          <w:rFonts w:ascii="Arial" w:hAnsi="Arial"/>
          <w:b w:val="0"/>
          <w:i w:val="0"/>
          <w:color w:val="111827"/>
          <w:sz w:val="24"/>
        </w:rPr>
        <w:t>A estrutura programática organiza as ações governamentais orientadas a metas em três tipos: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Projeto:</w:t>
      </w:r>
      <w:r>
        <w:rPr>
          <w:rFonts w:ascii="Arial" w:hAnsi="Arial"/>
          <w:b w:val="0"/>
          <w:i w:val="0"/>
          <w:color w:val="111827"/>
          <w:sz w:val="22"/>
        </w:rPr>
        <w:t xml:space="preserve"> Instrumento de programação temporário destinado a expandir a infraestrutura pública ou criar novo bem/serviço, resultando em formação bruta de capital (ex.: construção de novo edifício-sede de fórum judicial ou implantação de rodovia);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Atividade:</w:t>
      </w:r>
      <w:r>
        <w:rPr>
          <w:rFonts w:ascii="Arial" w:hAnsi="Arial"/>
          <w:b w:val="0"/>
          <w:i w:val="0"/>
          <w:color w:val="111827"/>
          <w:sz w:val="22"/>
        </w:rPr>
        <w:t xml:space="preserve"> Instrumento contínuo e permanente destinado à manutenção e funcionamento regular das ações governamentais preexistentes (ex.: manutenção da frota, pagamento de pessoal, fornecimento de merenda escolar);</w:t>
      </w:r>
    </w:p>
    <w:p>
      <w:pPr>
        <w:spacing w:line="276" w:lineRule="auto" w:before="20" w:after="40"/>
        <w:ind w:left="425"/>
      </w:pPr>
      <w:r>
        <w:rPr>
          <w:rFonts w:ascii="Arial" w:hAnsi="Arial"/>
          <w:b/>
          <w:color w:val="1B365D"/>
          <w:sz w:val="22"/>
        </w:rPr>
        <w:t xml:space="preserve">3. </w:t>
      </w:r>
      <w:r>
        <w:rPr>
          <w:rFonts w:ascii="Arial" w:hAnsi="Arial"/>
          <w:b/>
          <w:i w:val="0"/>
          <w:color w:val="111827"/>
          <w:sz w:val="22"/>
        </w:rPr>
        <w:t>Operação Especial:</w:t>
      </w:r>
      <w:r>
        <w:rPr>
          <w:rFonts w:ascii="Arial" w:hAnsi="Arial"/>
          <w:b w:val="0"/>
          <w:i w:val="0"/>
          <w:color w:val="111827"/>
          <w:sz w:val="22"/>
        </w:rPr>
        <w:t xml:space="preserve"> Despesas que não resultam na produção de um bem nem na prestação direta de serviços, destinadas a obrigações financeiras do Estado (ex.: pagamento do serviço da dívida pública, sentenças judiciais/precatórios, amortizações financeiras).</w:t>
      </w:r>
    </w:p>
    <w:p>
      <w:pPr>
        <w:keepNext/>
        <w:spacing w:before="120" w:after="40"/>
      </w:pPr>
      <w:r>
        <w:rPr>
          <w:rFonts w:ascii="Arial" w:hAnsi="Arial"/>
          <w:b/>
          <w:i/>
          <w:color w:val="334155"/>
          <w:sz w:val="22"/>
        </w:rPr>
        <w:t>2.3 Classificação por Natureza da Despesa e GNDs</w:t>
      </w:r>
    </w:p>
    <w:p>
      <w:pPr>
        <w:spacing w:line="360" w:lineRule="auto" w:before="0" w:after="80"/>
        <w:jc w:val="both"/>
      </w:pPr>
      <w:r>
        <w:rPr>
          <w:rFonts w:ascii="Arial" w:hAnsi="Arial"/>
          <w:b w:val="0"/>
          <w:i w:val="0"/>
          <w:color w:val="111827"/>
          <w:sz w:val="24"/>
        </w:rPr>
        <w:t>A Portaria Interministerial STN/SOF nº 163/2001 padronizou a codificação da despesa na seguinte estrutura:</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\text{C . G . MM . EE}</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1º dígito - Categoria Econômica:</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3</w:t>
      </w:r>
      <w:r>
        <w:rPr>
          <w:rFonts w:ascii="Arial" w:hAnsi="Arial"/>
          <w:b w:val="0"/>
          <w:i w:val="0"/>
          <w:color w:val="111827"/>
          <w:sz w:val="22"/>
        </w:rPr>
        <w:t xml:space="preserve"> - Despesas Correntes;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4</w:t>
      </w:r>
      <w:r>
        <w:rPr>
          <w:rFonts w:ascii="Arial" w:hAnsi="Arial"/>
          <w:b w:val="0"/>
          <w:i w:val="0"/>
          <w:color w:val="111827"/>
          <w:sz w:val="22"/>
        </w:rPr>
        <w:t xml:space="preserve"> - Despesas de Capital.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2º dígito - Grupo de Natureza da Despesa (GND):</w:t>
      </w:r>
    </w:p>
    <w:p>
      <w:pPr>
        <w:spacing w:line="276" w:lineRule="auto" w:before="20" w:after="40"/>
        <w:ind w:left="992"/>
      </w:pPr>
      <w:r>
        <w:rPr>
          <w:rFonts w:ascii="Arial" w:hAnsi="Arial"/>
          <w:b/>
          <w:color w:val="2B6CB0"/>
          <w:sz w:val="22"/>
        </w:rPr>
        <w:t xml:space="preserve">• </w:t>
      </w:r>
      <w:r>
        <w:rPr>
          <w:rFonts w:ascii="Arial" w:hAnsi="Arial"/>
          <w:b/>
          <w:i w:val="0"/>
          <w:color w:val="111827"/>
          <w:sz w:val="22"/>
        </w:rPr>
        <w:t>GND 1:</w:t>
      </w:r>
      <w:r>
        <w:rPr>
          <w:rFonts w:ascii="Arial" w:hAnsi="Arial"/>
          <w:b w:val="0"/>
          <w:i w:val="0"/>
          <w:color w:val="111827"/>
          <w:sz w:val="22"/>
        </w:rPr>
        <w:t xml:space="preserve"> Pessoal e Encargos Sociais (vencimentos, subsídios, previdência patronal);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GND 2:</w:t>
      </w:r>
      <w:r>
        <w:rPr>
          <w:rFonts w:ascii="Arial" w:hAnsi="Arial"/>
          <w:b w:val="0"/>
          <w:i w:val="0"/>
          <w:color w:val="111827"/>
          <w:sz w:val="22"/>
        </w:rPr>
        <w:t xml:space="preserve"> Juros e Encargos da Dívida (remuneração financeira do endividamento público);</w:t>
      </w:r>
    </w:p>
    <w:p>
      <w:pPr>
        <w:spacing w:line="276" w:lineRule="auto" w:before="20" w:after="40"/>
        <w:ind w:left="992"/>
      </w:pPr>
      <w:r>
        <w:rPr>
          <w:rFonts w:ascii="Arial" w:hAnsi="Arial"/>
          <w:b/>
          <w:color w:val="2B6CB0"/>
          <w:sz w:val="22"/>
        </w:rPr>
        <w:t xml:space="preserve">• </w:t>
      </w:r>
      <w:r>
        <w:rPr>
          <w:rFonts w:ascii="Arial" w:hAnsi="Arial"/>
          <w:b/>
          <w:i w:val="0"/>
          <w:color w:val="111827"/>
          <w:sz w:val="22"/>
        </w:rPr>
        <w:t>GND 3:</w:t>
      </w:r>
      <w:r>
        <w:rPr>
          <w:rFonts w:ascii="Arial" w:hAnsi="Arial"/>
          <w:b w:val="0"/>
          <w:i w:val="0"/>
          <w:color w:val="111827"/>
          <w:sz w:val="22"/>
        </w:rPr>
        <w:t xml:space="preserve"> Outras Despesas Correntes - ODC (materiais de consumo, serviços de terceiros, passagens, diárias);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GND 4:</w:t>
      </w:r>
      <w:r>
        <w:rPr>
          <w:rFonts w:ascii="Arial" w:hAnsi="Arial"/>
          <w:b w:val="0"/>
          <w:i w:val="0"/>
          <w:color w:val="111827"/>
          <w:sz w:val="22"/>
        </w:rPr>
        <w:t xml:space="preserve"> Investimentos (obras novas, aquisições de equipamentos permanentes e instalações);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GND 5:</w:t>
      </w:r>
      <w:r>
        <w:rPr>
          <w:rFonts w:ascii="Arial" w:hAnsi="Arial"/>
          <w:b w:val="0"/>
          <w:i w:val="0"/>
          <w:color w:val="111827"/>
          <w:sz w:val="22"/>
        </w:rPr>
        <w:t xml:space="preserve"> Inversões Financeiras (aquisição de imóveis em uso, compra de títulos de empresas já constituídas e empréstimos concedidos);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GND 6:</w:t>
      </w:r>
      <w:r>
        <w:rPr>
          <w:rFonts w:ascii="Arial" w:hAnsi="Arial"/>
          <w:b w:val="0"/>
          <w:i w:val="0"/>
          <w:color w:val="111827"/>
          <w:sz w:val="22"/>
        </w:rPr>
        <w:t xml:space="preserve"> Amortização da Dívida (pagamento do principal da dívida pública fundada).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3º e 4º dígitos - Modalidade de Aplicação:</w:t>
      </w:r>
      <w:r>
        <w:rPr>
          <w:rFonts w:ascii="Arial" w:hAnsi="Arial"/>
          <w:b w:val="0"/>
          <w:i w:val="0"/>
          <w:color w:val="111827"/>
          <w:sz w:val="22"/>
        </w:rPr>
        <w:t xml:space="preserve"> Elimina a dupla contagem nas transferências intergovernamentais e entre órgãos;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5º e 6º dígitos - Elemento de Despesa:</w:t>
      </w:r>
      <w:r>
        <w:rPr>
          <w:rFonts w:ascii="Arial" w:hAnsi="Arial"/>
          <w:b w:val="0"/>
          <w:i w:val="0"/>
          <w:color w:val="111827"/>
          <w:sz w:val="22"/>
        </w:rPr>
        <w:t xml:space="preserve"> Identifica os objetos pontuais de gasto (ex.: 14 - Diárias, 30 - Material de Consumo, 52 - Equipamentos e Material Permanente).</w:t>
      </w:r>
    </w:p>
    <w:p>
      <w:pPr>
        <w:keepNext/>
        <w:spacing w:before="120" w:after="40"/>
      </w:pPr>
      <w:r>
        <w:rPr>
          <w:rFonts w:ascii="Arial" w:hAnsi="Arial"/>
          <w:b/>
          <w:i/>
          <w:color w:val="334155"/>
          <w:sz w:val="22"/>
        </w:rPr>
        <w:t>2.4 A Distinção Crítica FCC: Investimentos (GND 4) vs. Inversões Financeiras (GND 5)</w:t>
      </w:r>
    </w:p>
    <w:p>
      <w:pPr>
        <w:spacing w:line="360" w:lineRule="auto" w:before="0" w:after="80"/>
        <w:jc w:val="both"/>
      </w:pPr>
      <w:r>
        <w:rPr>
          <w:rFonts w:ascii="Arial" w:hAnsi="Arial"/>
          <w:b w:val="0"/>
          <w:i w:val="0"/>
          <w:color w:val="111827"/>
          <w:sz w:val="24"/>
        </w:rPr>
        <w:t>A jurisprudência da banca FCC cobra com rigor a distinção entre os gastos de capital que aumentam a capacidade produtiva da sociedade e os que consistem em meras transferências patrimoniais:</w:t>
      </w:r>
    </w:p>
    <w:p>
      <w:pPr>
        <w:spacing w:after="120"/>
      </w:pPr>
    </w:p>
    <w:p>
      <w:pPr>
        <w:keepNext/>
        <w:spacing w:before="200" w:after="80"/>
      </w:pPr>
      <w:r>
        <w:rPr>
          <w:rFonts w:ascii="Arial" w:hAnsi="Arial"/>
          <w:b/>
          <w:i w:val="0"/>
          <w:color w:val="2B6CB0"/>
          <w:sz w:val="24"/>
        </w:rPr>
        <w:t>3. Restos a Pagar (RAP) e Despesas de Exercícios Anteriores (DEA)</w:t>
      </w:r>
    </w:p>
    <w:p>
      <w:pPr>
        <w:keepNext/>
        <w:spacing w:before="120" w:after="40"/>
      </w:pPr>
      <w:r>
        <w:rPr>
          <w:rFonts w:ascii="Arial" w:hAnsi="Arial"/>
          <w:b/>
          <w:i/>
          <w:color w:val="334155"/>
          <w:sz w:val="22"/>
        </w:rPr>
        <w:t>3.1 Restos a Pagar Processados (RPP) vs. Restos a Pagar Não Processados (RPNP)</w:t>
      </w:r>
    </w:p>
    <w:p>
      <w:pPr>
        <w:spacing w:line="360" w:lineRule="auto" w:before="0" w:after="80"/>
        <w:jc w:val="both"/>
      </w:pPr>
      <w:r>
        <w:rPr>
          <w:rFonts w:ascii="Arial" w:hAnsi="Arial"/>
          <w:b w:val="0"/>
          <w:i w:val="0"/>
          <w:color w:val="111827"/>
          <w:sz w:val="24"/>
        </w:rPr>
        <w:t xml:space="preserve">O art. 36 da Lei Federal nº 4.320/1964 prescreve que se consideram </w:t>
      </w:r>
      <w:r>
        <w:rPr>
          <w:rFonts w:ascii="Arial" w:hAnsi="Arial"/>
          <w:b/>
          <w:i w:val="0"/>
          <w:color w:val="111827"/>
          <w:sz w:val="24"/>
        </w:rPr>
        <w:t>Restos a Pagar</w:t>
      </w:r>
      <w:r>
        <w:rPr>
          <w:rFonts w:ascii="Arial" w:hAnsi="Arial"/>
          <w:b w:val="0"/>
          <w:i w:val="0"/>
          <w:color w:val="111827"/>
          <w:sz w:val="24"/>
        </w:rPr>
        <w:t xml:space="preserve"> as despesas empenhadas, mas não pagas até o dia 31 de dezembro, distinguindo-se em:</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Restos a Pagar Processados (RPP):</w:t>
      </w:r>
      <w:r>
        <w:rPr>
          <w:rFonts w:ascii="Arial" w:hAnsi="Arial"/>
          <w:b w:val="0"/>
          <w:i w:val="0"/>
          <w:color w:val="111827"/>
          <w:sz w:val="22"/>
        </w:rPr>
        <w:t xml:space="preserve"> A despesa percorreu os estágios do empenho e da </w:t>
      </w:r>
      <w:r>
        <w:rPr>
          <w:rFonts w:ascii="Arial" w:hAnsi="Arial"/>
          <w:b/>
          <w:i w:val="0"/>
          <w:color w:val="111827"/>
          <w:sz w:val="22"/>
        </w:rPr>
        <w:t>liquidação</w:t>
      </w:r>
      <w:r>
        <w:rPr>
          <w:rFonts w:ascii="Arial" w:hAnsi="Arial"/>
          <w:b w:val="0"/>
          <w:i w:val="0"/>
          <w:color w:val="111827"/>
          <w:sz w:val="22"/>
        </w:rPr>
        <w:t xml:space="preserve"> dentro do exercício financeiro. O credor tem direito subjetivo líquido e certo ao pagamento; a administração pública </w:t>
      </w:r>
      <w:r>
        <w:rPr>
          <w:rFonts w:ascii="Arial" w:hAnsi="Arial"/>
          <w:b/>
          <w:i w:val="0"/>
          <w:color w:val="111827"/>
          <w:sz w:val="22"/>
        </w:rPr>
        <w:t>não pode cancelar</w:t>
      </w:r>
      <w:r>
        <w:rPr>
          <w:rFonts w:ascii="Arial" w:hAnsi="Arial"/>
          <w:b w:val="0"/>
          <w:i w:val="0"/>
          <w:color w:val="111827"/>
          <w:sz w:val="22"/>
        </w:rPr>
        <w:t xml:space="preserve"> o respectivo empenho de forma unilateral, sob pena de enriquecimento sem causa do Estado.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Restos a Pagar Não Processados (RPNP):</w:t>
      </w:r>
      <w:r>
        <w:rPr>
          <w:rFonts w:ascii="Arial" w:hAnsi="Arial"/>
          <w:b w:val="0"/>
          <w:i w:val="0"/>
          <w:color w:val="111827"/>
          <w:sz w:val="22"/>
        </w:rPr>
        <w:t xml:space="preserve"> Despesas empenhadas cuja </w:t>
      </w:r>
      <w:r>
        <w:rPr>
          <w:rFonts w:ascii="Arial" w:hAnsi="Arial"/>
          <w:b/>
          <w:i w:val="0"/>
          <w:color w:val="111827"/>
          <w:sz w:val="22"/>
        </w:rPr>
        <w:t>liquidação não ocorreu</w:t>
      </w:r>
      <w:r>
        <w:rPr>
          <w:rFonts w:ascii="Arial" w:hAnsi="Arial"/>
          <w:b w:val="0"/>
          <w:i w:val="0"/>
          <w:color w:val="111827"/>
          <w:sz w:val="22"/>
        </w:rPr>
        <w:t xml:space="preserve"> até 31 de dezembro (a contraprestação contratual ainda está pendente). Podem ser canceladas administrativamente caso o credor descumpra o cronograma de entrega ou o interesse público deixe de existir.</w:t>
      </w:r>
    </w:p>
    <w:p>
      <w:pPr>
        <w:keepNext/>
        <w:spacing w:before="120" w:after="40"/>
      </w:pPr>
      <w:r>
        <w:rPr>
          <w:rFonts w:ascii="Arial" w:hAnsi="Arial"/>
          <w:b/>
          <w:i/>
          <w:color w:val="334155"/>
          <w:sz w:val="22"/>
        </w:rPr>
        <w:t>3.2 Cancelamento de RAP e a Prescrição Quinquenal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Conforme o Decreto Federal nº 93.872/1986, os Restos a Pagar Não Processados perdem a validade e devem ser cancelados ao final do exercício subsequente caso a liquidação não tenha sido iniciada.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cancelamento contábil de um empenho de RAP </w:t>
      </w:r>
      <w:r>
        <w:rPr>
          <w:rFonts w:ascii="Arial" w:hAnsi="Arial"/>
          <w:b/>
          <w:i w:val="0"/>
          <w:color w:val="111827"/>
          <w:sz w:val="22"/>
        </w:rPr>
        <w:t>não extingue o direito do credor</w:t>
      </w:r>
      <w:r>
        <w:rPr>
          <w:rFonts w:ascii="Arial" w:hAnsi="Arial"/>
          <w:b w:val="0"/>
          <w:i w:val="0"/>
          <w:color w:val="111827"/>
          <w:sz w:val="22"/>
        </w:rPr>
        <w:t xml:space="preserve">, desde que a prestação do serviço seja comprovada e não tenha decorrido a </w:t>
      </w:r>
      <w:r>
        <w:rPr>
          <w:rFonts w:ascii="Arial" w:hAnsi="Arial"/>
          <w:b/>
          <w:i w:val="0"/>
          <w:color w:val="111827"/>
          <w:sz w:val="22"/>
        </w:rPr>
        <w:t>prescrição quinquenal de 5 anos</w:t>
      </w:r>
      <w:r>
        <w:rPr>
          <w:rFonts w:ascii="Arial" w:hAnsi="Arial"/>
          <w:b w:val="0"/>
          <w:i w:val="0"/>
          <w:color w:val="111827"/>
          <w:sz w:val="22"/>
        </w:rPr>
        <w:t xml:space="preserve"> (Decreto nº 20.910/1932). Nesses casos, o credor fará jus ao recebimento mediante reconhecimento de dívida por </w:t>
      </w:r>
      <w:r>
        <w:rPr>
          <w:rFonts w:ascii="Arial" w:hAnsi="Arial"/>
          <w:b/>
          <w:i w:val="0"/>
          <w:color w:val="111827"/>
          <w:sz w:val="22"/>
        </w:rPr>
        <w:t>Despesas de Exercícios Anteriores (DEA)</w:t>
      </w:r>
      <w:r>
        <w:rPr>
          <w:rFonts w:ascii="Arial" w:hAnsi="Arial"/>
          <w:b w:val="0"/>
          <w:i w:val="0"/>
          <w:color w:val="111827"/>
          <w:sz w:val="22"/>
        </w:rPr>
        <w:t>.</w:t>
      </w:r>
    </w:p>
    <w:p>
      <w:pPr>
        <w:keepNext/>
        <w:spacing w:before="120" w:after="40"/>
      </w:pPr>
      <w:r>
        <w:rPr>
          <w:rFonts w:ascii="Arial" w:hAnsi="Arial"/>
          <w:b/>
          <w:i/>
          <w:color w:val="334155"/>
          <w:sz w:val="22"/>
        </w:rPr>
        <w:t>3.3 As Três Hipóteses Legais de DEA (Art. 37 da Lei nº 4.320/1964)</w:t>
      </w:r>
    </w:p>
    <w:p>
      <w:pPr>
        <w:spacing w:line="360" w:lineRule="auto" w:before="0" w:after="80"/>
        <w:jc w:val="both"/>
      </w:pPr>
      <w:r>
        <w:rPr>
          <w:rFonts w:ascii="Arial" w:hAnsi="Arial"/>
          <w:b w:val="0"/>
          <w:i w:val="0"/>
          <w:color w:val="111827"/>
          <w:sz w:val="24"/>
        </w:rPr>
        <w:t xml:space="preserve">As dívidas passadas de exercícios orçamentários já encerrados serão empenhadas e pagas à conta das dotações constantes na </w:t>
      </w:r>
      <w:r>
        <w:rPr>
          <w:rFonts w:ascii="Arial" w:hAnsi="Arial"/>
          <w:b/>
          <w:i w:val="0"/>
          <w:color w:val="111827"/>
          <w:sz w:val="24"/>
        </w:rPr>
        <w:t>LOA do exercício corrente</w:t>
      </w:r>
      <w:r>
        <w:rPr>
          <w:rFonts w:ascii="Arial" w:hAnsi="Arial"/>
          <w:b w:val="0"/>
          <w:i w:val="0"/>
          <w:color w:val="111827"/>
          <w:sz w:val="24"/>
        </w:rPr>
        <w:t>, exclusivamente quando enquadradas nas seguintes hipóteses taxativas: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Despesas sem empenho na época própria:</w:t>
      </w:r>
      <w:r>
        <w:rPr>
          <w:rFonts w:ascii="Arial" w:hAnsi="Arial"/>
          <w:b w:val="0"/>
          <w:i w:val="0"/>
          <w:color w:val="111827"/>
          <w:sz w:val="22"/>
        </w:rPr>
        <w:t xml:space="preserve"> Despesas para as quais o orçamento do exercício pretérito consignava crédito orçamentário próprio com </w:t>
      </w:r>
      <w:r>
        <w:rPr>
          <w:rFonts w:ascii="Arial" w:hAnsi="Arial"/>
          <w:b/>
          <w:i w:val="0"/>
          <w:color w:val="111827"/>
          <w:sz w:val="22"/>
        </w:rPr>
        <w:t>saldo suficiente</w:t>
      </w:r>
      <w:r>
        <w:rPr>
          <w:rFonts w:ascii="Arial" w:hAnsi="Arial"/>
          <w:b w:val="0"/>
          <w:i w:val="0"/>
          <w:color w:val="111827"/>
          <w:sz w:val="22"/>
        </w:rPr>
        <w:t>, mas que, por erro ou omissão administrativa, não foram empenhadas na época oportuna;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Restos a Pagar cancelados:</w:t>
      </w:r>
      <w:r>
        <w:rPr>
          <w:rFonts w:ascii="Arial" w:hAnsi="Arial"/>
          <w:b w:val="0"/>
          <w:i w:val="0"/>
          <w:color w:val="111827"/>
          <w:sz w:val="22"/>
        </w:rPr>
        <w:t xml:space="preserve"> Restos a pagar com </w:t>
      </w:r>
      <w:r>
        <w:rPr>
          <w:rFonts w:ascii="Arial" w:hAnsi="Arial"/>
          <w:b/>
          <w:i w:val="0"/>
          <w:color w:val="111827"/>
          <w:sz w:val="22"/>
        </w:rPr>
        <w:t>prescrição interrompida</w:t>
      </w:r>
      <w:r>
        <w:rPr>
          <w:rFonts w:ascii="Arial" w:hAnsi="Arial"/>
          <w:b w:val="0"/>
          <w:i w:val="0"/>
          <w:color w:val="111827"/>
          <w:sz w:val="22"/>
        </w:rPr>
        <w:t xml:space="preserve"> ou cancelados indevidamente, desde que o direito creditório do fornecedor subsista;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Compromissos reconhecidos a posteriori:</w:t>
      </w:r>
      <w:r>
        <w:rPr>
          <w:rFonts w:ascii="Arial" w:hAnsi="Arial"/>
          <w:b w:val="0"/>
          <w:i w:val="0"/>
          <w:color w:val="111827"/>
          <w:sz w:val="22"/>
        </w:rPr>
        <w:t xml:space="preserve"> Despesas contratuais ou legais cujo reconhecimento formal da obrigação pela autoridade competente tenha ocorrido </w:t>
      </w:r>
      <w:r>
        <w:rPr>
          <w:rFonts w:ascii="Arial" w:hAnsi="Arial"/>
          <w:b/>
          <w:i w:val="0"/>
          <w:color w:val="111827"/>
          <w:sz w:val="22"/>
        </w:rPr>
        <w:t>após o encerramento do exercício financeiro</w:t>
      </w:r>
      <w:r>
        <w:rPr>
          <w:rFonts w:ascii="Arial" w:hAnsi="Arial"/>
          <w:b w:val="0"/>
          <w:i w:val="0"/>
          <w:color w:val="111827"/>
          <w:sz w:val="22"/>
        </w:rPr>
        <w:t>.</w:t>
      </w:r>
    </w:p>
    <w:p>
      <w:pPr>
        <w:keepNext/>
        <w:spacing w:before="200" w:after="80"/>
      </w:pPr>
      <w:r>
        <w:rPr>
          <w:rFonts w:ascii="Arial" w:hAnsi="Arial"/>
          <w:b/>
          <w:i w:val="0"/>
          <w:color w:val="2B6CB0"/>
          <w:sz w:val="24"/>
        </w:rPr>
        <w:t>4. Regime Excepcional de Suprimento de Fundos (Adiantamento)</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Suprimento de Fundos</w:t>
      </w:r>
      <w:r>
        <w:rPr>
          <w:rFonts w:ascii="Arial" w:hAnsi="Arial"/>
          <w:b w:val="0"/>
          <w:i w:val="0"/>
          <w:color w:val="111827"/>
          <w:sz w:val="24"/>
        </w:rPr>
        <w:t xml:space="preserve"> (regime de adiantamento financeiro previsto no art. 68 da Lei nº 4.320/1964 e no Decreto Federal nº 93.872/1986) consiste na entrega direta de numerário a um servidor público para execução de gastos que não possam subordinar-se ao rito ordinário de empenho -&gt; liquidação -&gt; pagamento:</w:t>
      </w:r>
    </w:p>
    <w:p>
      <w:pPr>
        <w:spacing w:after="120"/>
      </w:pPr>
    </w:p>
    <w:p>
      <w:pPr>
        <w:keepNext/>
        <w:spacing w:before="120" w:after="40"/>
      </w:pPr>
      <w:r>
        <w:rPr>
          <w:rFonts w:ascii="Arial" w:hAnsi="Arial"/>
          <w:b/>
          <w:i/>
          <w:color w:val="334155"/>
          <w:sz w:val="22"/>
        </w:rPr>
        <w:t>4.1 Hipóteses Restritas e Regra do Empenho Prévio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O empenho prévio é obrigatório:</w:t>
      </w:r>
      <w:r>
        <w:rPr>
          <w:rFonts w:ascii="Arial" w:hAnsi="Arial"/>
          <w:b w:val="0"/>
          <w:i w:val="0"/>
          <w:color w:val="111827"/>
          <w:sz w:val="22"/>
        </w:rPr>
        <w:t xml:space="preserve"> Embora subverta a ordem cronológica usual do pagamento (o dinheiro vai para o servidor antes da compra), o recurso </w:t>
      </w:r>
      <w:r>
        <w:rPr>
          <w:rFonts w:ascii="Arial" w:hAnsi="Arial"/>
          <w:b/>
          <w:i w:val="0"/>
          <w:color w:val="111827"/>
          <w:sz w:val="22"/>
        </w:rPr>
        <w:t>deve ser formalmente empenhado</w:t>
      </w:r>
      <w:r>
        <w:rPr>
          <w:rFonts w:ascii="Arial" w:hAnsi="Arial"/>
          <w:b w:val="0"/>
          <w:i w:val="0"/>
          <w:color w:val="111827"/>
          <w:sz w:val="22"/>
        </w:rPr>
        <w:t xml:space="preserve"> à conta da dotação orçamentária própria em nome do servidor designado (o suprido).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Hipóteses Restritas:</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Despesas de pequeno vulto (despesas miúdas de consumo imediato);</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Despesas urgentes e imprevistas que possam paralisar o serviço público;</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Despesas de viagens e estadias fora da sede de trabalho;</w:t>
      </w:r>
    </w:p>
    <w:p>
      <w:pPr>
        <w:spacing w:line="276" w:lineRule="auto" w:before="20" w:after="40"/>
        <w:ind w:left="992"/>
      </w:pPr>
      <w:r>
        <w:rPr>
          <w:rFonts w:ascii="Arial" w:hAnsi="Arial"/>
          <w:b/>
          <w:color w:val="1B365D"/>
          <w:sz w:val="22"/>
        </w:rPr>
        <w:t xml:space="preserve">4. </w:t>
      </w:r>
      <w:r>
        <w:rPr>
          <w:rFonts w:ascii="Arial" w:hAnsi="Arial"/>
          <w:b w:val="0"/>
          <w:i w:val="0"/>
          <w:color w:val="111827"/>
          <w:sz w:val="22"/>
        </w:rPr>
        <w:t>Despesas sigilosas de segurança e investigação policial.</w:t>
      </w:r>
    </w:p>
    <w:p>
      <w:pPr>
        <w:keepNext/>
        <w:spacing w:before="120" w:after="40"/>
      </w:pPr>
      <w:r>
        <w:rPr>
          <w:rFonts w:ascii="Arial" w:hAnsi="Arial"/>
          <w:b/>
          <w:i/>
          <w:color w:val="334155"/>
          <w:sz w:val="22"/>
        </w:rPr>
        <w:t>4.2 Vedações Categóricas e Prestação de Contas</w:t>
      </w:r>
    </w:p>
    <w:p>
      <w:pPr>
        <w:spacing w:line="360" w:lineRule="auto" w:before="0" w:after="80"/>
        <w:jc w:val="both"/>
      </w:pPr>
      <w:r>
        <w:rPr>
          <w:rFonts w:ascii="Arial" w:hAnsi="Arial"/>
          <w:b w:val="0"/>
          <w:i w:val="0"/>
          <w:color w:val="111827"/>
          <w:sz w:val="24"/>
        </w:rPr>
        <w:t>É terminantemente proibido conceder adiantamento 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Servidor </w:t>
      </w:r>
      <w:r>
        <w:rPr>
          <w:rFonts w:ascii="Arial" w:hAnsi="Arial"/>
          <w:b/>
          <w:i w:val="0"/>
          <w:color w:val="111827"/>
          <w:sz w:val="22"/>
        </w:rPr>
        <w:t>em alcance</w:t>
      </w:r>
      <w:r>
        <w:rPr>
          <w:rFonts w:ascii="Arial" w:hAnsi="Arial"/>
          <w:b w:val="0"/>
          <w:i w:val="0"/>
          <w:color w:val="111827"/>
          <w:sz w:val="22"/>
        </w:rPr>
        <w:t xml:space="preserve"> (que esteja em atraso no dever de prestar contas de adiantamento anterior ou que tenha tido contas rejeitadas);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Servidor que seja responsável pela </w:t>
      </w:r>
      <w:r>
        <w:rPr>
          <w:rFonts w:ascii="Arial" w:hAnsi="Arial"/>
          <w:b/>
          <w:i w:val="0"/>
          <w:color w:val="111827"/>
          <w:sz w:val="22"/>
        </w:rPr>
        <w:t>guarda e custódia do material</w:t>
      </w:r>
      <w:r>
        <w:rPr>
          <w:rFonts w:ascii="Arial" w:hAnsi="Arial"/>
          <w:b w:val="0"/>
          <w:i w:val="0"/>
          <w:color w:val="111827"/>
          <w:sz w:val="22"/>
        </w:rPr>
        <w:t xml:space="preserve"> a ser adquirido (ex.: chefes e operadores de almoxarifados ou patrimônio);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Servidor que não esteja em efetivo exercício no órgão concedente.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prestação de contas é obrigatória e deve ser apresentada pelo suprido no prazo estipulado pelo regulamento, sob pena de instauração imediata de Tomada de Contas Especial (TCE).</w:t>
      </w:r>
    </w:p>
    <w:p>
      <w:pPr>
        <w:keepNext/>
        <w:spacing w:before="280" w:after="120"/>
      </w:pPr>
      <w:r>
        <w:rPr>
          <w:rFonts w:ascii="Arial" w:hAnsi="Arial"/>
          <w:b/>
          <w:i w:val="0"/>
          <w:color w:val="2C5282"/>
          <w:sz w:val="28"/>
        </w:rPr>
        <w:t>🌐 Fontes Oficiais &amp; Manuais Técnicos Recomendados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4.320/1964</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Arts. 58 a 65 (Estágios da Despesa), Art. 36 (Restos a Pagar), Art. 37 (DEA) e Art. 68 (Suprimento de Fundos).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Contabilidade Aplicada ao Setor Público (MCASP) - 11ª Edição (STN)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Parte I: Procedimentos Contábeis Orçamentários - Despesa e Grupos de Natureza.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Decreto Federal nº 93.872/1986</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Arts. 45 a 47 (Regime de Suprimento de Fundos) e Arts. 67 a 71 (Restos a Pagar).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Decreto Estadual de Goiás nº 9.697/2020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Regulamentação da execução orçamentária e suprimento de fundos no Estado de Goiás.</w:t>
      </w:r>
    </w:p>
    <w:p>
      <w:pPr>
        <w:keepNext/>
        <w:spacing w:before="280" w:after="120"/>
      </w:pPr>
      <w:r>
        <w:rPr>
          <w:rFonts w:ascii="Arial" w:hAnsi="Arial"/>
          <w:b/>
          <w:i w:val="0"/>
          <w:color w:val="2C5282"/>
          <w:sz w:val="28"/>
        </w:rPr>
        <w:t>📝 Questões Comentadas no Padrão FCC</w:t>
      </w:r>
    </w:p>
    <w:p>
      <w:pPr>
        <w:keepNext/>
        <w:spacing w:before="200" w:after="80"/>
      </w:pPr>
      <w:r>
        <w:rPr>
          <w:rFonts w:ascii="Arial" w:hAnsi="Arial"/>
          <w:b/>
          <w:i w:val="0"/>
          <w:color w:val="2B6CB0"/>
          <w:sz w:val="24"/>
        </w:rPr>
        <w:t>Questão 1 (FCC - Adaptada / TCE-RS - Auditor de Controle Externo)</w:t>
      </w:r>
    </w:p>
    <w:p>
      <w:pPr>
        <w:spacing w:line="360" w:lineRule="auto" w:before="0" w:after="80"/>
        <w:jc w:val="both"/>
      </w:pPr>
      <w:r>
        <w:rPr>
          <w:rFonts w:ascii="Arial" w:hAnsi="Arial"/>
          <w:b w:val="0"/>
          <w:i w:val="0"/>
          <w:color w:val="111827"/>
          <w:sz w:val="24"/>
        </w:rPr>
        <w:t>A respeito da classificação e dos estágios da despesa pública orçamentária,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emissão de nota de empenho ordinário é admitida para despesas contratuais de prestação contínua de serviços cujo valor total deva ser desembolsado em parcelas mensais ao longo do ano.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aquisição de imóvel residencial já edificado e em utilização para instalação de repartição pública estadual constitui típica despesa de Investimento (GND 4).</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liquidação da despesa tem por objetivo comprovar o implemento de condição e o direito adquirido pelo credor, mediante verificação documental de que o serviço foi efetivamente prestado ou os bens foram entregues.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pagamento da despesa pública pode anteceder a liquidação nas hipóteses de aquisição de bens duráveis com cláusula de entrega futura.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 despesas empenhadas e não pagas até o encerramento do exercício financeiro em 31 de dezembro serão obrigatoriamente anuladas pelo controle interno.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Despesas contratuais com pagamentos parcelados mensais de valor determinado exigem a modalidade de empenho global (art. 60, § 3º da Lei nº 4.320/1964).</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aquisição de imóveis prontos já edificados e em uso no mercado constitui Inversão Financeira (GND 5), pois não gera formação bruta de capital físico novo.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De acordo com o art. 63 da Lei nº 4.320/1964, a liquidação consiste na verificação objetiva do direito adquirido pelo credor, mediante a conferência de títulos, documentos e atesto físico de entrega dos bens ou conclusão dos serviços prestados.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art. 62 da Lei nº 4.320/1964 prescreve que o pagamento da despesa só pode ser efetuado após a regular liquidação.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As despesas empenhadas e não pagas até 31 de dezembro são inscritas em Restos a Pagar (art. 36), não sendo automaticamente canceladas.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Adaptada / TCE-PI - Auditor de Controle Externo)</w:t>
      </w:r>
    </w:p>
    <w:p>
      <w:pPr>
        <w:spacing w:line="360" w:lineRule="auto" w:before="0" w:after="80"/>
        <w:jc w:val="both"/>
      </w:pPr>
      <w:r>
        <w:rPr>
          <w:rFonts w:ascii="Arial" w:hAnsi="Arial"/>
          <w:b w:val="0"/>
          <w:i w:val="0"/>
          <w:color w:val="111827"/>
          <w:sz w:val="24"/>
        </w:rPr>
        <w:t>Em relação ao regime de suprimento de fundos (adiantamento) e às Despesas de Exercícios Anteriores (DEA), é correto afirmar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suprimento de fundos pode ser concedido livremente a qualquer servidor público, inclusive àquele que esteja omisso no dever de prestar contas de adiantamento concedido anteriormente.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As Despesas de Exercícios Anteriores (DEA) correspondem exclusivamente a despesas que foram liquidadas e pagas no exercício anterior sem prévio empenho orçamentário.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suprimento de fundos dispensa a realização de empenho orçamentário prévio em nome do servidor responsável pelo adiantamento.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despesas de exercícios encerrados para as quais o orçamento respectivo consignava crédito próprio e com saldo suficiente, mas que não tenham sido empenhadas na época própria, poderão ser pagas à conta de dotação para despesas de exercícios anteriores (DEA).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cancelamento de Restos a Pagar Processados enseja a imediata extinção irrecorrível do direito creditório do fornecedor perante a Fazenda Pública.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É categoricamente proibido conceder suprimento de fundos a servidor em alcance (que esteja em mora na prestação de contas de suprimento anterior).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As DEA referem-se a compromissos pendentes que serão empenhados e quitados na LOA do exercício em curso, nas hipóteses do art. 37 da Lei nº 4.320/1964.</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adiantamento exige prévio empenho emitido formalmente em nome do servidor suprido.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Correta. Conforme o art. 37 da Lei nº 4.320/1964, despesas de exercícios findos que contavam com crédito orçamentário com saldo suficiente, mas que não foram empenhadas na época própria por erro ou omissão da administração, são empenhadas e pagas à conta de DEA.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direito creditório do fornecedor subsiste e respeita o prazo prescricional quinquenal de 5 anos; se o RPP foi cancelado indevidamente, o débito deve ser reaberto como DEA.</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3 (FCC - Adaptada / Analista de Planejamento e Orçamento)</w:t>
      </w:r>
    </w:p>
    <w:p>
      <w:pPr>
        <w:spacing w:line="360" w:lineRule="auto" w:before="0" w:after="80"/>
        <w:jc w:val="both"/>
      </w:pPr>
      <w:r>
        <w:rPr>
          <w:rFonts w:ascii="Arial" w:hAnsi="Arial"/>
          <w:b w:val="0"/>
          <w:i w:val="0"/>
          <w:color w:val="111827"/>
          <w:sz w:val="24"/>
        </w:rPr>
        <w:t>Para a realização de despesas rotineiras de manutenção das instalações de uma secretaria de estado, o gestor público determinou a emissão de nota de empenho no início do mês de janeiro para cobrir os gastos com fornecimento contínuo de energia elétrica e abastecimento de água ao longo de todo o ano, sem que seja possível conhecer previamente o consumo exato a cada mês.</w:t>
      </w:r>
    </w:p>
    <w:p>
      <w:pPr>
        <w:spacing w:line="360" w:lineRule="auto" w:before="0" w:after="80"/>
        <w:jc w:val="both"/>
      </w:pPr>
      <w:r>
        <w:rPr>
          <w:rFonts w:ascii="Arial" w:hAnsi="Arial"/>
          <w:b w:val="0"/>
          <w:i w:val="0"/>
          <w:color w:val="111827"/>
          <w:sz w:val="24"/>
        </w:rPr>
        <w:t>A modalidade de empenho adequada e legalmente exigida para essa situação é o empenho: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Ordinário.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Global.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Estimativo.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Extraorçamentário.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Suplementar por Decreto.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empenho ordinário é utilizado exclusivamente para despesas de valor exato prefixado e pagamento único.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empenho global destina-se a despesas contratuais cujo valor total exato é previamente conhecido, sendo desembolsado em parcelas.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Nos termos do art. 60, § 2º da Lei nº 4.320/1964, utiliza-se a modalidade de empenho estimativo para as despesas cujo montante exato não se possa fixar previamente, como é o caso das contas de utilidade pública (energia elétrica, água, telefonia e combustíveis).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Serviços essenciais de manutenção contínua são despesas orçamentárias correntes obrigatórias.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Crédito suplementar é espécie de crédito adicional para reforço de dotação, não modalidade de nota de empenho.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Adaptada / Técnico de Controle Externo)</w:t>
      </w:r>
    </w:p>
    <w:p>
      <w:pPr>
        <w:spacing w:line="360" w:lineRule="auto" w:before="0" w:after="80"/>
        <w:jc w:val="both"/>
      </w:pPr>
      <w:r>
        <w:rPr>
          <w:rFonts w:ascii="Arial" w:hAnsi="Arial"/>
          <w:b w:val="0"/>
          <w:i w:val="0"/>
          <w:color w:val="111827"/>
          <w:sz w:val="24"/>
        </w:rPr>
        <w:t>Determinada empresa pública estadual adquiriu, mediante procedimento licitatório de compra direta, um terreno urbano desocupado para futura expansão de seu almoxarifado no valor de R</w:t>
      </w:r>
      <w:r>
        <w:rPr>
          <w:rFonts w:ascii="Cambria Math" w:hAnsi="Cambria Math"/>
          <w:i/>
          <w:color w:val="1B365D"/>
          <w:sz w:val="24"/>
        </w:rPr>
        <w:t xml:space="preserve"> 2.000.000,00, bem como contratou uma empreiteira para a construção de um novo edifício administrativo no mesmo local pelo montante de R</w:t>
      </w:r>
      <w:r>
        <w:rPr>
          <w:rFonts w:ascii="Arial" w:hAnsi="Arial"/>
          <w:b w:val="0"/>
          <w:i w:val="0"/>
          <w:color w:val="111827"/>
          <w:sz w:val="24"/>
        </w:rPr>
        <w:t xml:space="preserve"> 5.000.000,00.</w:t>
      </w:r>
    </w:p>
    <w:p>
      <w:pPr>
        <w:spacing w:line="360" w:lineRule="auto" w:before="0" w:after="80"/>
        <w:jc w:val="both"/>
      </w:pPr>
      <w:r>
        <w:rPr>
          <w:rFonts w:ascii="Arial" w:hAnsi="Arial"/>
          <w:b w:val="0"/>
          <w:i w:val="0"/>
          <w:color w:val="111827"/>
          <w:sz w:val="24"/>
        </w:rPr>
        <w:t>Segundo a estrutura da despesa pública por sua natureza (Portaria Interministerial STN/SOF nº 163/2001 e MCASP), essas despesas classificam-se, respectivamente, nos seguintes Grupos de Natureza da Despesa (GND):</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Inversões Financeiras (GND 5) e Investimentos (GND 4).</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Investimentos (GND 4) e Investimentos (GND 4).</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Outras Despesas Correntes (GND 3) e Investimentos (GND 4).</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Inversões Financeiras (GND 5) e Inversões Financeiras (GND 5).</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Amortização da Dívida (GND 6) e Outras Despesas Correntes (GND 3).</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A compra de terrenos ou imóveis prontos preexistentes no mercado configura Inversão Financeira (GND 5), pois transfere a posse sem gerar formação bruta de capital físico novo no país. Em contrapartida, a contratação de obras de construção civil para erguer um novo prédio público gera infraestrutura nova, qualificando-se como Investimento (GND 4).</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Terrenos e imóveis prontos não integram o GND 4.</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Ambas são despesas de capital (código 4) e não de consumo/custeio corrente (GND 3).</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Obra de construção nova de prédio público é investimento.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Não se referem a amortização do principal da dívida pública fundada.</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5 (FCC - Adaptada / Analista Jurídico de Controle)</w:t>
      </w:r>
    </w:p>
    <w:p>
      <w:pPr>
        <w:spacing w:line="360" w:lineRule="auto" w:before="0" w:after="80"/>
        <w:jc w:val="both"/>
      </w:pPr>
      <w:r>
        <w:rPr>
          <w:rFonts w:ascii="Arial" w:hAnsi="Arial"/>
          <w:b w:val="0"/>
          <w:i w:val="0"/>
          <w:color w:val="111827"/>
          <w:sz w:val="24"/>
        </w:rPr>
        <w:t>Ao final do exercício financeiro em 31 de dezembro, a Secretaria de Infraestrutura do Estado possuía dois contratos em execução:</w:t>
      </w:r>
    </w:p>
    <w:p>
      <w:pPr>
        <w:spacing w:line="360" w:lineRule="auto" w:before="0" w:after="80"/>
        <w:jc w:val="both"/>
      </w:pPr>
      <w:r>
        <w:rPr>
          <w:rFonts w:ascii="Arial" w:hAnsi="Arial"/>
          <w:b w:val="0"/>
          <w:i w:val="0"/>
          <w:color w:val="111827"/>
          <w:sz w:val="24"/>
        </w:rPr>
        <w:t>I. Contrato de pavimentação asfáltica, cuja medição final foi regularmente atestada pela fiscalização no dia 20 de dezembro e a nota fiscal devidamente liquidada, mas a ordem bancária de pagamento de R$ 800.000,00 não foi emitida até o encerramento do expediente bancário do ano.</w:t>
      </w:r>
    </w:p>
    <w:p>
      <w:pPr>
        <w:spacing w:line="360" w:lineRule="auto" w:before="0" w:after="80"/>
        <w:jc w:val="both"/>
      </w:pPr>
      <w:r>
        <w:rPr>
          <w:rFonts w:ascii="Arial" w:hAnsi="Arial"/>
          <w:b w:val="0"/>
          <w:i w:val="0"/>
          <w:color w:val="111827"/>
          <w:sz w:val="24"/>
        </w:rPr>
        <w:t>II. Contrato de fornecimento de tubos de concreto, empenhado em novembro pelo valor de R$ 300.000,00, cujos materiais tinham prazo de entrega previsto em contrato para 15 de janeiro do exercício subsequente.</w:t>
      </w:r>
    </w:p>
    <w:p>
      <w:pPr>
        <w:spacing w:line="360" w:lineRule="auto" w:before="0" w:after="80"/>
        <w:jc w:val="both"/>
      </w:pPr>
      <w:r>
        <w:rPr>
          <w:rFonts w:ascii="Arial" w:hAnsi="Arial"/>
          <w:b w:val="0"/>
          <w:i w:val="0"/>
          <w:color w:val="111827"/>
          <w:sz w:val="24"/>
        </w:rPr>
        <w:t>Em 31 de dezembro, essas duas despesas foram inscritas, respectivamente, como: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Restos a Pagar Processados e Restos a Pagar Processados.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Restos a Pagar Não Processados e Restos a Pagar Não Processados.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Restos a Pagar Processados e Restos a Pagar Não Processados.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Despesas de Exercícios Anteriores e Restos a Pagar Processados.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Ingressos Extraorçamentários e Restos a Pagar Não Processados.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Contrato II não foi liquidado até 31 de dezembro, logo não pode constituir restos a pagar processados.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Contrato I foi regularmente liquidado antes do encerramento do exercício, qualificando-se compulsoriamente como processado.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Conforme o art. 36 da Lei nº 4.320/1964, despesas empenhadas e liquidadas que não foram pagas até 31 de dezembro são inscritas em Restos a Pagar Processados (RPP - Contrato I); enquanto despesas empenhadas e não liquidadas até essa data são inscritas como Restos a Pagar Não Processados (RPNP - Contrato II).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DEA aplica-se a exercícios anteriores para os quais não há inscrição válida em restos a pagar.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São despesas orçamentárias de capital e correntes, e não ingressos financeiros.</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04 - Créditos Adicionais, Fontes de Financiamento e Dívida Pública</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Administração Financeira e Orçamentária (AFO)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04_creditos_adicionais_e_divida_publica.md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Créditos orçamentários iniciais (dotações fixadas na LOA) vs. Créditos Adicionais (mecanismos de retificação orçamentária);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Espécies de Créditos Adicionais (Artigos 40 a 46 da Lei Federal nº 4.320/1964 e Artigo 167 da CF/88):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Créditos Suplementares: reforço de dotação orçamentária pré-existente insuficiente;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Créditos Especiais: criação de nova rubrica para despesas públicas não previstas na LOA;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Créditos Extraordinários: atendimento a despesas imprevisíveis e urgentes (guerra, comoção interna e calamidade pública - Art. 167, § 3º da CF/88);</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Ritos de autorização, instrumentos formais de abertura e vigência dos créditos adicionais;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regra de reabertura de saldos de créditos especiais e extraordinários promulgados nos últimos quatro meses do exercício financeiro (Artigo 167, § 2º da CF/88);</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As fontes legais de recursos para abertura de créditos adicionais (Artigo 43 da Lei nº 4.320/1964 e Artigo 166, § 8º da CF/88):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Superávit Financeiro apurado em Balanço Patrimonial do exercício anterior;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Excesso de Arrecadação apurado no exercício corrente;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Anulação total ou parcial de dotações orçamentárias;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Produto de Operações de Crédito autorizadas por lei;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Reserva de Contingência (LRF, Art. 5º, III);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Recursos sem despesas correspondentes decorrentes de veto, emenda ou rejeição do projeto de LOA;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Dívida Pública no Direito Financeiro: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Dívida Flutuante (Artigo 92 da Lei nº 4.320/1964): restos a pagar, serviços da dívida a pagar, depósitos/cauções e débitos de tesouraria por ARO;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Dívida Fundada ou Consolidada (Artigo 98 da Lei nº 4.320/1964 e Artigo 29 da LRF): obrigações financeiras de longo prazo (superiores a 12 meses) decorrentes de contratos, emissão de títulos públicos e precatórios.</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Mecanismos de Retificação do Orçamento: Os Créditos Adicionais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Conceito e Função no Sistema Orçamentário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As Três Espécies: Suplementares, Especiais e Extraordinários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Quadro Comparativo dos Ritos e Vigência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A Regra Constitucional de Reabertura de Saldos (Art. 167, § 2º da CF/88)</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Princípio da Anualidade e a Reabertura Quadrimestral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Requisitos Cumulativos para a Reabertura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As Fontes Legais de Cobertura para Abertura de Créditos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Superávit Financeiro do Balanço Patrimonial Anterior (Art. 43, § 2º)</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Excesso de Arrecadação (Art. 43, § 3º)</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Anulação de Dotações e Operações de Crédito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Reserva de Contingência e Recursos Decorrentes de Veto/Rejeição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Regime Jurídico da Dívida Pública: Flutuante vs. Fundada (Consolidada)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Dívida Flutuante (Curto Prazo - Art. 92 da Lei nº 4.320/1964)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Dívida Fundada ou Consolidada (Longo Prazo - Art. 29 da LRF)</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&amp; Manuais Técnicos Recomendados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no Padrão FCC</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Mecanismos de Retificação do Orçamento: Os Créditos Adicionais</w:t>
      </w:r>
    </w:p>
    <w:p>
      <w:pPr>
        <w:keepNext/>
        <w:spacing w:before="120" w:after="40"/>
      </w:pPr>
      <w:r>
        <w:rPr>
          <w:rFonts w:ascii="Arial" w:hAnsi="Arial"/>
          <w:b/>
          <w:i/>
          <w:color w:val="334155"/>
          <w:sz w:val="22"/>
        </w:rPr>
        <w:t>1.1 Conceito e Função no Sistema Orçamentário</w:t>
      </w:r>
    </w:p>
    <w:p>
      <w:pPr>
        <w:spacing w:line="360" w:lineRule="auto" w:before="0" w:after="80"/>
        <w:jc w:val="both"/>
      </w:pPr>
      <w:r>
        <w:rPr>
          <w:rFonts w:ascii="Arial" w:hAnsi="Arial"/>
          <w:b w:val="0"/>
          <w:i w:val="0"/>
          <w:color w:val="111827"/>
          <w:sz w:val="24"/>
        </w:rPr>
        <w:t xml:space="preserve">Conforme o art. 40 da Lei Federal nº 4.320/1964, os </w:t>
      </w:r>
      <w:r>
        <w:rPr>
          <w:rFonts w:ascii="Arial" w:hAnsi="Arial"/>
          <w:b/>
          <w:i w:val="0"/>
          <w:color w:val="111827"/>
          <w:sz w:val="24"/>
        </w:rPr>
        <w:t>créditos adicionais</w:t>
      </w:r>
      <w:r>
        <w:rPr>
          <w:rFonts w:ascii="Arial" w:hAnsi="Arial"/>
          <w:b w:val="0"/>
          <w:i w:val="0"/>
          <w:color w:val="111827"/>
          <w:sz w:val="24"/>
        </w:rPr>
        <w:t xml:space="preserve"> são as autorizações de despesa não computadas ou insuficientemente dotadas na Lei de Orçamento. Atuam como válvulas de flexibilidade indispensáveis para corrigir imperfeições ou desvios na previsão orçamentária original provocados pela dinâmica econômica e social ao longo do exercício financeiro.</w:t>
      </w:r>
    </w:p>
    <w:p>
      <w:pPr>
        <w:spacing w:after="120"/>
      </w:pPr>
    </w:p>
    <w:p>
      <w:pPr>
        <w:keepNext/>
        <w:spacing w:before="120" w:after="40"/>
      </w:pPr>
      <w:r>
        <w:rPr>
          <w:rFonts w:ascii="Arial" w:hAnsi="Arial"/>
          <w:b/>
          <w:i/>
          <w:color w:val="334155"/>
          <w:sz w:val="22"/>
        </w:rPr>
        <w:t>1.2 As Três Espécies: Suplementares, Especiais e Extraordinários</w:t>
      </w:r>
    </w:p>
    <w:p>
      <w:pPr>
        <w:spacing w:line="360" w:lineRule="auto" w:before="0" w:after="80"/>
        <w:jc w:val="both"/>
      </w:pPr>
      <w:r>
        <w:rPr>
          <w:rFonts w:ascii="Arial" w:hAnsi="Arial"/>
          <w:b w:val="0"/>
          <w:i w:val="0"/>
          <w:color w:val="111827"/>
          <w:sz w:val="24"/>
        </w:rPr>
        <w:t>A legislação financeira reparte os créditos adicionais em três espécies bem delineadas: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Créditos Suplementares (Art. 41, I da Lei nº 4.320/1964):</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Destinam-se exclusivamente ao </w:t>
      </w:r>
      <w:r>
        <w:rPr>
          <w:rFonts w:ascii="Arial" w:hAnsi="Arial"/>
          <w:b/>
          <w:i w:val="0"/>
          <w:color w:val="111827"/>
          <w:sz w:val="22"/>
        </w:rPr>
        <w:t>reforço de dotação orçamentária pré-existente</w:t>
      </w:r>
      <w:r>
        <w:rPr>
          <w:rFonts w:ascii="Arial" w:hAnsi="Arial"/>
          <w:b w:val="0"/>
          <w:i w:val="0"/>
          <w:color w:val="111827"/>
          <w:sz w:val="22"/>
        </w:rPr>
        <w:t xml:space="preserve"> que se mostrou insuficiente durante a execução do exercício;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Dependem de prévia autorização em lei, que pode ser concedida tanto em </w:t>
      </w:r>
      <w:r>
        <w:rPr>
          <w:rFonts w:ascii="Arial" w:hAnsi="Arial"/>
          <w:b/>
          <w:i w:val="0"/>
          <w:color w:val="111827"/>
          <w:sz w:val="22"/>
        </w:rPr>
        <w:t>lei especial autônoma quanto no próprio corpo da Lei Orçamentária Anual</w:t>
      </w:r>
      <w:r>
        <w:rPr>
          <w:rFonts w:ascii="Arial" w:hAnsi="Arial"/>
          <w:b w:val="0"/>
          <w:i w:val="0"/>
          <w:color w:val="111827"/>
          <w:sz w:val="22"/>
        </w:rPr>
        <w:t>, constituindo expressa exceção ao princípio da exclusividade (art. 165, § 8º da CF/88);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São formalmente abertos por </w:t>
      </w:r>
      <w:r>
        <w:rPr>
          <w:rFonts w:ascii="Arial" w:hAnsi="Arial"/>
          <w:b/>
          <w:i w:val="0"/>
          <w:color w:val="111827"/>
          <w:sz w:val="22"/>
        </w:rPr>
        <w:t>decreto</w:t>
      </w:r>
      <w:r>
        <w:rPr>
          <w:rFonts w:ascii="Arial" w:hAnsi="Arial"/>
          <w:b w:val="0"/>
          <w:i w:val="0"/>
          <w:color w:val="111827"/>
          <w:sz w:val="22"/>
        </w:rPr>
        <w:t xml:space="preserve"> do Poder Executivo.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Créditos Especiais (Art. 41, II da Lei nº 4.320/1964):</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Destinam-se a despesas públicas para as quais </w:t>
      </w:r>
      <w:r>
        <w:rPr>
          <w:rFonts w:ascii="Arial" w:hAnsi="Arial"/>
          <w:b/>
          <w:i w:val="0"/>
          <w:color w:val="111827"/>
          <w:sz w:val="22"/>
        </w:rPr>
        <w:t>não haja dotação orçamentária específica na LOA</w:t>
      </w:r>
      <w:r>
        <w:rPr>
          <w:rFonts w:ascii="Arial" w:hAnsi="Arial"/>
          <w:b w:val="0"/>
          <w:i w:val="0"/>
          <w:color w:val="111827"/>
          <w:sz w:val="22"/>
        </w:rPr>
        <w:t xml:space="preserve"> (criação de um programa de trabalho, projeto ou ação inteiramente novo);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Dependem obrigatoriamente de prévia autorização legislativa veiculada em </w:t>
      </w:r>
      <w:r>
        <w:rPr>
          <w:rFonts w:ascii="Arial" w:hAnsi="Arial"/>
          <w:b/>
          <w:i w:val="0"/>
          <w:color w:val="111827"/>
          <w:sz w:val="22"/>
        </w:rPr>
        <w:t>lei específica</w:t>
      </w:r>
      <w:r>
        <w:rPr>
          <w:rFonts w:ascii="Arial" w:hAnsi="Arial"/>
          <w:b w:val="0"/>
          <w:i w:val="0"/>
          <w:color w:val="111827"/>
          <w:sz w:val="22"/>
        </w:rPr>
        <w:t xml:space="preserve"> (não podem ser autorizados no texto da LOA originária);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São abertos por </w:t>
      </w:r>
      <w:r>
        <w:rPr>
          <w:rFonts w:ascii="Arial" w:hAnsi="Arial"/>
          <w:b/>
          <w:i w:val="0"/>
          <w:color w:val="111827"/>
          <w:sz w:val="22"/>
        </w:rPr>
        <w:t>decreto</w:t>
      </w:r>
      <w:r>
        <w:rPr>
          <w:rFonts w:ascii="Arial" w:hAnsi="Arial"/>
          <w:b w:val="0"/>
          <w:i w:val="0"/>
          <w:color w:val="111827"/>
          <w:sz w:val="22"/>
        </w:rPr>
        <w:t xml:space="preserve"> do Chefe do Poder Executivo.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Créditos Extraordinários (Art. 41, III da Lei nº 4.320/1964 e Art. 167, § 3º da CF/88):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Destinam-se ao atendimento de </w:t>
      </w:r>
      <w:r>
        <w:rPr>
          <w:rFonts w:ascii="Arial" w:hAnsi="Arial"/>
          <w:b/>
          <w:i w:val="0"/>
          <w:color w:val="111827"/>
          <w:sz w:val="22"/>
        </w:rPr>
        <w:t>despesas imprevisíveis e urgentes</w:t>
      </w:r>
      <w:r>
        <w:rPr>
          <w:rFonts w:ascii="Arial" w:hAnsi="Arial"/>
          <w:b w:val="0"/>
          <w:i w:val="0"/>
          <w:color w:val="111827"/>
          <w:sz w:val="22"/>
        </w:rPr>
        <w:t xml:space="preserve">, decorrentes exclusivamente de </w:t>
      </w:r>
      <w:r>
        <w:rPr>
          <w:rFonts w:ascii="Arial" w:hAnsi="Arial"/>
          <w:b/>
          <w:i w:val="0"/>
          <w:color w:val="111827"/>
          <w:sz w:val="22"/>
        </w:rPr>
        <w:t>guerra externa, comoção interna ou calamidade pública</w:t>
      </w:r>
      <w:r>
        <w:rPr>
          <w:rFonts w:ascii="Arial" w:hAnsi="Arial"/>
          <w:b w:val="0"/>
          <w:i w:val="0"/>
          <w:color w:val="111827"/>
          <w:sz w:val="22"/>
        </w:rPr>
        <w:t xml:space="preserve"> (rol taxativo constitucional);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Dispensam autorização prévia por lei:</w:t>
      </w:r>
      <w:r>
        <w:rPr>
          <w:rFonts w:ascii="Arial" w:hAnsi="Arial"/>
          <w:b w:val="0"/>
          <w:i w:val="0"/>
          <w:color w:val="111827"/>
          <w:sz w:val="22"/>
        </w:rPr>
        <w:t xml:space="preserve"> São abertos no âmbito federal por </w:t>
      </w:r>
      <w:r>
        <w:rPr>
          <w:rFonts w:ascii="Arial" w:hAnsi="Arial"/>
          <w:b/>
          <w:i w:val="0"/>
          <w:color w:val="111827"/>
          <w:sz w:val="22"/>
        </w:rPr>
        <w:t>Medida Provisória</w:t>
      </w:r>
      <w:r>
        <w:rPr>
          <w:rFonts w:ascii="Arial" w:hAnsi="Arial"/>
          <w:b w:val="0"/>
          <w:i w:val="0"/>
          <w:color w:val="111827"/>
          <w:sz w:val="22"/>
        </w:rPr>
        <w:t xml:space="preserve"> e, nos entes estaduais e municipais cujas Constituições ou Leis Orgânicas não contemplem MP, por </w:t>
      </w:r>
      <w:r>
        <w:rPr>
          <w:rFonts w:ascii="Arial" w:hAnsi="Arial"/>
          <w:b/>
          <w:i w:val="0"/>
          <w:color w:val="111827"/>
          <w:sz w:val="22"/>
        </w:rPr>
        <w:t>Decreto do Chefe do Executivo</w:t>
      </w:r>
      <w:r>
        <w:rPr>
          <w:rFonts w:ascii="Arial" w:hAnsi="Arial"/>
          <w:b w:val="0"/>
          <w:i w:val="0"/>
          <w:color w:val="111827"/>
          <w:sz w:val="22"/>
        </w:rPr>
        <w:t>, com ciência e submissão imediata ao Poder Legislativo;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Em caso de extrema emergência, a jurisprudência constitucional (STF - ADI 4.048) reconhece que a indicação formal prévia da fonte compensatória de recursos pode ser postergada.</w:t>
      </w:r>
    </w:p>
    <w:p>
      <w:pPr>
        <w:keepNext/>
        <w:spacing w:before="120" w:after="40"/>
      </w:pPr>
      <w:r>
        <w:rPr>
          <w:rFonts w:ascii="Arial" w:hAnsi="Arial"/>
          <w:b/>
          <w:i/>
          <w:color w:val="334155"/>
          <w:sz w:val="22"/>
        </w:rPr>
        <w:t>1.3 Quadro Comparativo dos Ritos e Vigência</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Espécie de Crédito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Finalidade precípua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Autorização Legislativa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Instrumento Formal de Abertura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Possibilidade de Reabertura no Exercício Subsequente</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Suplementar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Reforço de dotação orçamentária existente insuficiente.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Prévia em lei (</w:t>
            </w:r>
            <w:r>
              <w:rPr>
                <w:rFonts w:ascii="Arial" w:hAnsi="Arial"/>
                <w:b/>
                <w:i w:val="0"/>
                <w:color w:val="111827"/>
                <w:sz w:val="19"/>
              </w:rPr>
              <w:t>pode constar no texto da LOA</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Decreto</w:t>
            </w:r>
            <w:r>
              <w:rPr>
                <w:rFonts w:ascii="Arial" w:hAnsi="Arial"/>
                <w:b w:val="0"/>
                <w:i w:val="0"/>
                <w:color w:val="111827"/>
                <w:sz w:val="19"/>
              </w:rPr>
              <w:t xml:space="preserve"> do Chefe do Executivo.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NUNCA ADMITE REABERTURA</w:t>
            </w:r>
            <w:r>
              <w:rPr>
                <w:rFonts w:ascii="Arial" w:hAnsi="Arial"/>
                <w:b w:val="0"/>
                <w:i w:val="0"/>
                <w:color w:val="111827"/>
                <w:sz w:val="19"/>
              </w:rPr>
              <w:t>. Caduca impreterivelmente em 31 de dezembro.</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Especial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Criação de nova dotação para despesas sem rubrica na LOA.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Prévia em </w:t>
            </w:r>
            <w:r>
              <w:rPr>
                <w:rFonts w:ascii="Arial" w:hAnsi="Arial"/>
                <w:b/>
                <w:i w:val="0"/>
                <w:color w:val="111827"/>
                <w:sz w:val="19"/>
              </w:rPr>
              <w:t>lei específica</w:t>
            </w:r>
            <w:r>
              <w:rPr>
                <w:rFonts w:ascii="Arial" w:hAnsi="Arial"/>
                <w:b w:val="0"/>
                <w:i w:val="0"/>
                <w:color w:val="111827"/>
                <w:sz w:val="19"/>
              </w:rPr>
              <w:t xml:space="preserve"> (proibida autorização no corpo da LOA).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Decreto</w:t>
            </w:r>
            <w:r>
              <w:rPr>
                <w:rFonts w:ascii="Arial" w:hAnsi="Arial"/>
                <w:b w:val="0"/>
                <w:i w:val="0"/>
                <w:color w:val="111827"/>
                <w:sz w:val="19"/>
              </w:rPr>
              <w:t xml:space="preserve"> do Chefe do Executivo.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Admite reabertura</w:t>
            </w:r>
            <w:r>
              <w:rPr>
                <w:rFonts w:ascii="Arial" w:hAnsi="Arial"/>
                <w:b w:val="0"/>
                <w:i w:val="0"/>
                <w:color w:val="111827"/>
                <w:sz w:val="19"/>
              </w:rPr>
              <w:t xml:space="preserve"> se o ato for promulgado nos últimos 4 meses do ano.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Extraordinário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Custeio de emergências imprevisíveis (guerra, comoção, calamidade).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Dispensa prévia lei.</w:t>
            </w:r>
            <w:r>
              <w:rPr>
                <w:rFonts w:ascii="Arial" w:hAnsi="Arial"/>
                <w:b w:val="0"/>
                <w:i w:val="0"/>
                <w:color w:val="111827"/>
                <w:sz w:val="19"/>
              </w:rPr>
              <w:t xml:space="preserve"> Submissão e comunicação imediata ao Legislativo.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Medida Provisória</w:t>
            </w:r>
            <w:r>
              <w:rPr>
                <w:rFonts w:ascii="Arial" w:hAnsi="Arial"/>
                <w:b w:val="0"/>
                <w:i w:val="0"/>
                <w:color w:val="111827"/>
                <w:sz w:val="19"/>
              </w:rPr>
              <w:t xml:space="preserve"> ou </w:t>
            </w:r>
            <w:r>
              <w:rPr>
                <w:rFonts w:ascii="Arial" w:hAnsi="Arial"/>
                <w:b/>
                <w:i w:val="0"/>
                <w:color w:val="111827"/>
                <w:sz w:val="19"/>
              </w:rPr>
              <w:t>Decreto</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Admite reabertura</w:t>
            </w:r>
            <w:r>
              <w:rPr>
                <w:rFonts w:ascii="Arial" w:hAnsi="Arial"/>
                <w:b w:val="0"/>
                <w:i w:val="0"/>
                <w:color w:val="111827"/>
                <w:sz w:val="19"/>
              </w:rPr>
              <w:t xml:space="preserve"> se o ato for promulgado nos últimos 4 meses do ano.</w:t>
            </w:r>
          </w:p>
        </w:tc>
      </w:tr>
    </w:tbl>
    <w:p>
      <w:pPr>
        <w:spacing w:after="120"/>
      </w:pPr>
    </w:p>
    <w:p>
      <w:pPr>
        <w:keepNext/>
        <w:spacing w:before="200" w:after="80"/>
      </w:pPr>
      <w:r>
        <w:rPr>
          <w:rFonts w:ascii="Arial" w:hAnsi="Arial"/>
          <w:b/>
          <w:i w:val="0"/>
          <w:color w:val="2B6CB0"/>
          <w:sz w:val="24"/>
        </w:rPr>
        <w:t>2. A Regra Constitucional de Reabertura de Saldos (Art. 167, § 2º da CF/88)</w:t>
      </w:r>
    </w:p>
    <w:p>
      <w:pPr>
        <w:keepNext/>
        <w:spacing w:before="120" w:after="40"/>
      </w:pPr>
      <w:r>
        <w:rPr>
          <w:rFonts w:ascii="Arial" w:hAnsi="Arial"/>
          <w:b/>
          <w:i/>
          <w:color w:val="334155"/>
          <w:sz w:val="22"/>
        </w:rPr>
        <w:t>2.1 Princípio da Anualidade e a Reabertura Quadrimestral</w:t>
      </w:r>
    </w:p>
    <w:p>
      <w:pPr>
        <w:spacing w:line="360" w:lineRule="auto" w:before="0" w:after="80"/>
        <w:jc w:val="both"/>
      </w:pPr>
      <w:r>
        <w:rPr>
          <w:rFonts w:ascii="Arial" w:hAnsi="Arial"/>
          <w:b w:val="0"/>
          <w:i w:val="0"/>
          <w:color w:val="111827"/>
          <w:sz w:val="24"/>
        </w:rPr>
        <w:t>O princípio orçamentário da anualidade determina que os créditos orçamentários têm vigência restrita ao exercício financeiro respectivo, extinguindo-se em 31 de dezembro. Todavia, o legislador constituinte originário inseriu no art. 167, § 2º da Carta Magna uma única ressalva temporal:</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\text{Ato de Abertura} \in [1º \text{ de setembro a } 31 \text{ de dezembro}] \implies \text{Admissível Reabertura no Ano Seguinte}</w:t>
      </w:r>
      <w:r>
        <w:rPr>
          <w:rFonts w:ascii="Arial" w:hAnsi="Arial"/>
          <w:b w:val="0"/>
          <w:i w:val="0"/>
          <w:color w:val="111827"/>
          <w:sz w:val="24"/>
        </w:rPr>
        <w:t>$</w:t>
      </w:r>
    </w:p>
    <w:p>
      <w:pPr>
        <w:keepNext/>
        <w:spacing w:before="120" w:after="40"/>
      </w:pPr>
      <w:r>
        <w:rPr>
          <w:rFonts w:ascii="Arial" w:hAnsi="Arial"/>
          <w:b/>
          <w:i/>
          <w:color w:val="334155"/>
          <w:sz w:val="22"/>
        </w:rPr>
        <w:t>2.2 Requisitos Cumulativos para a Reabertura</w:t>
      </w:r>
    </w:p>
    <w:p>
      <w:pPr>
        <w:spacing w:line="360" w:lineRule="auto" w:before="0" w:after="80"/>
        <w:jc w:val="both"/>
      </w:pPr>
      <w:r>
        <w:rPr>
          <w:rFonts w:ascii="Arial" w:hAnsi="Arial"/>
          <w:b w:val="0"/>
          <w:i w:val="0"/>
          <w:color w:val="111827"/>
          <w:sz w:val="24"/>
        </w:rPr>
        <w:t>Para que o saldo de um crédito orçamentário possa ser regularmente reaberto no exercício subsequente, faz-se mister o atendimento rigoroso e simultâneo dos seguintes requisitos: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Espécies Permitidas:</w:t>
      </w:r>
      <w:r>
        <w:rPr>
          <w:rFonts w:ascii="Arial" w:hAnsi="Arial"/>
          <w:b w:val="0"/>
          <w:i w:val="0"/>
          <w:color w:val="111827"/>
          <w:sz w:val="22"/>
        </w:rPr>
        <w:t xml:space="preserve"> O crédito deve ser exclusivamente </w:t>
      </w:r>
      <w:r>
        <w:rPr>
          <w:rFonts w:ascii="Arial" w:hAnsi="Arial"/>
          <w:b/>
          <w:i w:val="0"/>
          <w:color w:val="111827"/>
          <w:sz w:val="22"/>
        </w:rPr>
        <w:t>Especial</w:t>
      </w:r>
      <w:r>
        <w:rPr>
          <w:rFonts w:ascii="Arial" w:hAnsi="Arial"/>
          <w:b w:val="0"/>
          <w:i w:val="0"/>
          <w:color w:val="111827"/>
          <w:sz w:val="22"/>
        </w:rPr>
        <w:t xml:space="preserve"> ou </w:t>
      </w:r>
      <w:r>
        <w:rPr>
          <w:rFonts w:ascii="Arial" w:hAnsi="Arial"/>
          <w:b/>
          <w:i w:val="0"/>
          <w:color w:val="111827"/>
          <w:sz w:val="22"/>
        </w:rPr>
        <w:t>Extraordinário</w:t>
      </w:r>
      <w:r>
        <w:rPr>
          <w:rFonts w:ascii="Arial" w:hAnsi="Arial"/>
          <w:b w:val="0"/>
          <w:i w:val="0"/>
          <w:color w:val="111827"/>
          <w:sz w:val="22"/>
        </w:rPr>
        <w:t xml:space="preserve"> (créditos suplementares jamais podem ser reabertos em hipótese alguma);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Marco Temporal Limítrofe:</w:t>
      </w:r>
      <w:r>
        <w:rPr>
          <w:rFonts w:ascii="Arial" w:hAnsi="Arial"/>
          <w:b w:val="0"/>
          <w:i w:val="0"/>
          <w:color w:val="111827"/>
          <w:sz w:val="22"/>
        </w:rPr>
        <w:t xml:space="preserve"> O ato de autorização e abertura deve ter sido promulgado e publicado nos </w:t>
      </w:r>
      <w:r>
        <w:rPr>
          <w:rFonts w:ascii="Arial" w:hAnsi="Arial"/>
          <w:b/>
          <w:i w:val="0"/>
          <w:color w:val="111827"/>
          <w:sz w:val="22"/>
        </w:rPr>
        <w:t>últimos quatro meses do exercício financeiro</w:t>
      </w:r>
      <w:r>
        <w:rPr>
          <w:rFonts w:ascii="Arial" w:hAnsi="Arial"/>
          <w:b w:val="0"/>
          <w:i w:val="0"/>
          <w:color w:val="111827"/>
          <w:sz w:val="22"/>
        </w:rPr>
        <w:t xml:space="preserve"> (entre 1º de setembro e 31 de dezembro);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Limite do Saldo Remanescente:</w:t>
      </w:r>
      <w:r>
        <w:rPr>
          <w:rFonts w:ascii="Arial" w:hAnsi="Arial"/>
          <w:b w:val="0"/>
          <w:i w:val="0"/>
          <w:color w:val="111827"/>
          <w:sz w:val="22"/>
        </w:rPr>
        <w:t xml:space="preserve"> A reabertura se processa estritamente no </w:t>
      </w:r>
      <w:r>
        <w:rPr>
          <w:rFonts w:ascii="Arial" w:hAnsi="Arial"/>
          <w:b/>
          <w:i w:val="0"/>
          <w:color w:val="111827"/>
          <w:sz w:val="22"/>
        </w:rPr>
        <w:t>limite dos saldos não empenhados/não utilizados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Vigência Final:</w:t>
      </w:r>
      <w:r>
        <w:rPr>
          <w:rFonts w:ascii="Arial" w:hAnsi="Arial"/>
          <w:b w:val="0"/>
          <w:i w:val="0"/>
          <w:color w:val="111827"/>
          <w:sz w:val="22"/>
        </w:rPr>
        <w:t xml:space="preserve"> O saldo reaberto incorpora-se ao orçamento do ano subsequente, vigorando impreterivelmente até o dia 31 de dezembro do exercício seguinte.</w:t>
      </w:r>
    </w:p>
    <w:p>
      <w:pPr>
        <w:keepNext/>
        <w:spacing w:before="200" w:after="80"/>
      </w:pPr>
      <w:r>
        <w:rPr>
          <w:rFonts w:ascii="Arial" w:hAnsi="Arial"/>
          <w:b/>
          <w:i w:val="0"/>
          <w:color w:val="2B6CB0"/>
          <w:sz w:val="24"/>
        </w:rPr>
        <w:t>3. As Fontes Legais de Cobertura para Abertura de Créditos</w:t>
      </w:r>
    </w:p>
    <w:p>
      <w:pPr>
        <w:spacing w:line="360" w:lineRule="auto" w:before="0" w:after="80"/>
        <w:jc w:val="both"/>
      </w:pPr>
      <w:r>
        <w:rPr>
          <w:rFonts w:ascii="Arial" w:hAnsi="Arial"/>
          <w:b w:val="0"/>
          <w:i w:val="0"/>
          <w:color w:val="111827"/>
          <w:sz w:val="24"/>
        </w:rPr>
        <w:t>Conforme determina o art. 43 da Lei Federal nº 4.320/1964, a abertura de créditos suplementares e especiais é nula de pleno direito caso não seja precedida de exposição justificativa que comprove a existência de recursos disponíveis para o seu financiamento. O ordenamento jurídico reconhece seis fontes formais:</w:t>
      </w:r>
    </w:p>
    <w:p>
      <w:pPr>
        <w:spacing w:after="120"/>
      </w:pPr>
    </w:p>
    <w:p>
      <w:pPr>
        <w:keepNext/>
        <w:spacing w:before="120" w:after="40"/>
      </w:pPr>
      <w:r>
        <w:rPr>
          <w:rFonts w:ascii="Arial" w:hAnsi="Arial"/>
          <w:b/>
          <w:i/>
          <w:color w:val="334155"/>
          <w:sz w:val="22"/>
        </w:rPr>
        <w:t>3.1 Superávit Financeiro do Balanço Patrimonial Anterior (Art. 43, § 2º)</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É a diferença positiva apurada no </w:t>
      </w:r>
      <w:r>
        <w:rPr>
          <w:rFonts w:ascii="Arial" w:hAnsi="Arial"/>
          <w:b/>
          <w:i w:val="0"/>
          <w:color w:val="111827"/>
          <w:sz w:val="22"/>
        </w:rPr>
        <w:t>Balanço Patrimonial</w:t>
      </w:r>
      <w:r>
        <w:rPr>
          <w:rFonts w:ascii="Arial" w:hAnsi="Arial"/>
          <w:b w:val="0"/>
          <w:i w:val="0"/>
          <w:color w:val="111827"/>
          <w:sz w:val="22"/>
        </w:rPr>
        <w:t xml:space="preserve"> do exercício imediatamente anterior entre o Ativo Financeiro (</w:t>
      </w:r>
      <w:r>
        <w:rPr>
          <w:rFonts w:ascii="Cambria Math" w:hAnsi="Cambria Math"/>
          <w:i/>
          <w:color w:val="1B365D"/>
          <w:sz w:val="22"/>
        </w:rPr>
        <w:t>AF</w:t>
      </w:r>
      <w:r>
        <w:rPr>
          <w:rFonts w:ascii="Arial" w:hAnsi="Arial"/>
          <w:b w:val="0"/>
          <w:i w:val="0"/>
          <w:color w:val="111827"/>
          <w:sz w:val="22"/>
        </w:rPr>
        <w:t>) e o Passivo Financeiro (</w:t>
      </w:r>
      <w:r>
        <w:rPr>
          <w:rFonts w:ascii="Cambria Math" w:hAnsi="Cambria Math"/>
          <w:i/>
          <w:color w:val="1B365D"/>
          <w:sz w:val="22"/>
        </w:rPr>
        <w:t>PF</w:t>
      </w:r>
      <w:r>
        <w:rPr>
          <w:rFonts w:ascii="Arial" w:hAnsi="Arial"/>
          <w:b w:val="0"/>
          <w:i w:val="0"/>
          <w:color w:val="111827"/>
          <w:sz w:val="22"/>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\text{Superávit Financeiro} = AF - PF - \text{Saldos de Créditos Reabertos} - \text{Vinculações Legais}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cálculo deve deduzir obrigatoriamente os saldos dos créditos adicionais transferidos/reabertos que ainda demandem cobertura, bem como as disponibilidades financeiras atreladas a receitas legalmente vinculadas (ex.: quotas do Fundeb).</w:t>
      </w:r>
    </w:p>
    <w:p>
      <w:pPr>
        <w:keepNext/>
        <w:spacing w:before="120" w:after="40"/>
      </w:pPr>
      <w:r>
        <w:rPr>
          <w:rFonts w:ascii="Arial" w:hAnsi="Arial"/>
          <w:b/>
          <w:i/>
          <w:color w:val="334155"/>
          <w:sz w:val="22"/>
        </w:rPr>
        <w:t>3.2 Excesso de Arrecadação (Art. 43, § 3º)</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É o saldo positivo das diferenças acumuladas mês a mês entre a arrecadação realizada e a prevista na LOA, considerada a </w:t>
      </w:r>
      <w:r>
        <w:rPr>
          <w:rFonts w:ascii="Arial" w:hAnsi="Arial"/>
          <w:b/>
          <w:i w:val="0"/>
          <w:color w:val="111827"/>
          <w:sz w:val="22"/>
        </w:rPr>
        <w:t>tendência do exercício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Do montante apurado de excesso de arrecadação devem ser deduzidas as importâncias dos créditos adicionais suplementares e especiais já abertos com base nessa mesma fonte ao longo do ano corrente.</w:t>
      </w:r>
    </w:p>
    <w:p>
      <w:pPr>
        <w:keepNext/>
        <w:spacing w:before="120" w:after="40"/>
      </w:pPr>
      <w:r>
        <w:rPr>
          <w:rFonts w:ascii="Arial" w:hAnsi="Arial"/>
          <w:b/>
          <w:i/>
          <w:color w:val="334155"/>
          <w:sz w:val="22"/>
        </w:rPr>
        <w:t>3.3 Anulação de Dotações e Operações de Crédito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Anulação Total ou Parcial de Dotações:</w:t>
      </w:r>
      <w:r>
        <w:rPr>
          <w:rFonts w:ascii="Arial" w:hAnsi="Arial"/>
          <w:b w:val="0"/>
          <w:i w:val="0"/>
          <w:color w:val="111827"/>
          <w:sz w:val="22"/>
        </w:rPr>
        <w:t xml:space="preserve"> Consiste na redução do valor fixado para determinada despesa orçamentária da LOA que deixou de ser prioritária para viabilizar o reforço ou criação de outra dotação pública de maior relevância.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Operações de Crédito:</w:t>
      </w:r>
      <w:r>
        <w:rPr>
          <w:rFonts w:ascii="Arial" w:hAnsi="Arial"/>
          <w:b w:val="0"/>
          <w:i w:val="0"/>
          <w:color w:val="111827"/>
          <w:sz w:val="22"/>
        </w:rPr>
        <w:t xml:space="preserve"> Ingressos de recursos derivados da contratação de empréstimos, financiamentos ou emissão de títulos públicos da dívida fundada devidamente autorizados pelo Poder Legislativo em lei e vinculados ao crédito aberto.</w:t>
      </w:r>
    </w:p>
    <w:p>
      <w:pPr>
        <w:keepNext/>
        <w:spacing w:before="120" w:after="40"/>
      </w:pPr>
      <w:r>
        <w:rPr>
          <w:rFonts w:ascii="Arial" w:hAnsi="Arial"/>
          <w:b/>
          <w:i/>
          <w:color w:val="334155"/>
          <w:sz w:val="22"/>
        </w:rPr>
        <w:t>3.4 Reserva de Contingência e Recursos Decorrentes de Veto/Rejeição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Reserva de Contingência (Art. 5º, III da LRF):</w:t>
      </w:r>
      <w:r>
        <w:rPr>
          <w:rFonts w:ascii="Arial" w:hAnsi="Arial"/>
          <w:b w:val="0"/>
          <w:i w:val="0"/>
          <w:color w:val="111827"/>
          <w:sz w:val="22"/>
        </w:rPr>
        <w:t xml:space="preserve"> Dotação orçamentária global sem destinação específica a órgão ou programa, fixada na LOA com base na LDO, destinada a cobrir passivos contingentes e outros riscos fiscais imprevistos. Serve legitimamente como fonte de anulação para abertura de créditos suplementares e especiais.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Recursos Decorrentes de Veto ou Rejeição (Art. 166, § 8º da CF/88):</w:t>
      </w:r>
      <w:r>
        <w:rPr>
          <w:rFonts w:ascii="Arial" w:hAnsi="Arial"/>
          <w:b w:val="0"/>
          <w:i w:val="0"/>
          <w:color w:val="111827"/>
          <w:sz w:val="22"/>
        </w:rPr>
        <w:t xml:space="preserve"> Recursos que ficaram sem despesas correspondentes em razão de veto parcial do Chefe do Executivo ao projeto de LOA, ou resultantes de emendas e rejeição de dispositivos no parlamento.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frequentemente tenta confundir o candidato trocando </w:t>
            </w:r>
            <w:r>
              <w:rPr>
                <w:rFonts w:ascii="Arial" w:hAnsi="Arial"/>
                <w:b/>
                <w:i w:val="0"/>
                <w:color w:val="111827"/>
                <w:sz w:val="21"/>
              </w:rPr>
              <w:t>Superávit Financeiro</w:t>
            </w:r>
            <w:r>
              <w:rPr>
                <w:rFonts w:ascii="Arial" w:hAnsi="Arial"/>
                <w:b w:val="0"/>
                <w:i w:val="0"/>
                <w:color w:val="111827"/>
                <w:sz w:val="21"/>
              </w:rPr>
              <w:t xml:space="preserve"> por </w:t>
            </w:r>
            <w:r>
              <w:rPr>
                <w:rFonts w:ascii="Arial" w:hAnsi="Arial"/>
                <w:b/>
                <w:i w:val="0"/>
                <w:color w:val="111827"/>
                <w:sz w:val="21"/>
              </w:rPr>
              <w:t>Superávit Orçamentário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Superávit Financeiro:</w:t>
            </w:r>
            <w:r>
              <w:rPr>
                <w:rFonts w:ascii="Arial" w:hAnsi="Arial"/>
                <w:b w:val="0"/>
                <w:i w:val="0"/>
                <w:color w:val="111827"/>
                <w:sz w:val="21"/>
              </w:rPr>
              <w:t xml:space="preserve"> Apurado no </w:t>
            </w:r>
            <w:r>
              <w:rPr>
                <w:rFonts w:ascii="Arial" w:hAnsi="Arial"/>
                <w:b/>
                <w:i w:val="0"/>
                <w:color w:val="111827"/>
                <w:sz w:val="21"/>
              </w:rPr>
              <w:t>Balanço Patrimonial</w:t>
            </w:r>
            <w:r>
              <w:rPr>
                <w:rFonts w:ascii="Arial" w:hAnsi="Arial"/>
                <w:b w:val="0"/>
                <w:i w:val="0"/>
                <w:color w:val="111827"/>
                <w:sz w:val="21"/>
              </w:rPr>
              <w:t xml:space="preserve"> ao término do ano anterior. </w:t>
            </w:r>
            <w:r>
              <w:rPr>
                <w:rFonts w:ascii="Arial" w:hAnsi="Arial"/>
                <w:b/>
                <w:i w:val="0"/>
                <w:color w:val="111827"/>
                <w:sz w:val="21"/>
              </w:rPr>
              <w:t>É FONTE LEGAL</w:t>
            </w:r>
            <w:r>
              <w:rPr>
                <w:rFonts w:ascii="Arial" w:hAnsi="Arial"/>
                <w:b w:val="0"/>
                <w:i w:val="0"/>
                <w:color w:val="111827"/>
                <w:sz w:val="21"/>
              </w:rPr>
              <w:t xml:space="preserve"> para abertura de créditos adicionais!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Superávit Orçamentário:</w:t>
            </w:r>
            <w:r>
              <w:rPr>
                <w:rFonts w:ascii="Arial" w:hAnsi="Arial"/>
                <w:b w:val="0"/>
                <w:i w:val="0"/>
                <w:color w:val="111827"/>
                <w:sz w:val="21"/>
              </w:rPr>
              <w:t xml:space="preserve"> Apurado no </w:t>
            </w:r>
            <w:r>
              <w:rPr>
                <w:rFonts w:ascii="Arial" w:hAnsi="Arial"/>
                <w:b/>
                <w:i w:val="0"/>
                <w:color w:val="111827"/>
                <w:sz w:val="21"/>
              </w:rPr>
              <w:t>Balanço Orçamentário</w:t>
            </w:r>
            <w:r>
              <w:rPr>
                <w:rFonts w:ascii="Arial" w:hAnsi="Arial"/>
                <w:b w:val="0"/>
                <w:i w:val="0"/>
                <w:color w:val="111827"/>
                <w:sz w:val="21"/>
              </w:rPr>
              <w:t xml:space="preserve"> quando a receita arrecadada for maior que a despesa empenhada. </w:t>
            </w:r>
            <w:r>
              <w:rPr>
                <w:rFonts w:ascii="Arial" w:hAnsi="Arial"/>
                <w:b/>
                <w:i w:val="0"/>
                <w:color w:val="111827"/>
                <w:sz w:val="21"/>
              </w:rPr>
              <w:t>NÃO É FONTE</w:t>
            </w:r>
            <w:r>
              <w:rPr>
                <w:rFonts w:ascii="Arial" w:hAnsi="Arial"/>
                <w:b w:val="0"/>
                <w:i w:val="0"/>
                <w:color w:val="111827"/>
                <w:sz w:val="21"/>
              </w:rPr>
              <w:t xml:space="preserve"> para abertura de créditos adicionais!</w:t>
            </w:r>
          </w:p>
        </w:tc>
      </w:tr>
    </w:tbl>
    <w:p>
      <w:pPr>
        <w:spacing w:before="0" w:after="120"/>
      </w:pPr>
    </w:p>
    <w:p>
      <w:pPr>
        <w:keepNext/>
        <w:spacing w:before="200" w:after="80"/>
      </w:pPr>
      <w:r>
        <w:rPr>
          <w:rFonts w:ascii="Arial" w:hAnsi="Arial"/>
          <w:b/>
          <w:i w:val="0"/>
          <w:color w:val="2B6CB0"/>
          <w:sz w:val="24"/>
        </w:rPr>
        <w:t>4. Regime Jurídico da Dívida Pública: Flutuante vs. Fundada (Consolidada)</w:t>
      </w:r>
    </w:p>
    <w:p>
      <w:pPr>
        <w:spacing w:line="360" w:lineRule="auto" w:before="0" w:after="80"/>
        <w:jc w:val="both"/>
      </w:pPr>
      <w:r>
        <w:rPr>
          <w:rFonts w:ascii="Arial" w:hAnsi="Arial"/>
          <w:b w:val="0"/>
          <w:i w:val="0"/>
          <w:color w:val="111827"/>
          <w:sz w:val="24"/>
        </w:rPr>
        <w:t>A disciplina jurídica da dívida pública no Brasil encontra-se fundamentada na Lei Federal nº 4.320/1964 e na Lei de Responsabilidade Fiscal (LC nº 101/2000):</w:t>
      </w:r>
    </w:p>
    <w:p>
      <w:pPr>
        <w:spacing w:after="120"/>
      </w:pPr>
    </w:p>
    <w:p>
      <w:pPr>
        <w:keepNext/>
        <w:spacing w:before="120" w:after="40"/>
      </w:pPr>
      <w:r>
        <w:rPr>
          <w:rFonts w:ascii="Arial" w:hAnsi="Arial"/>
          <w:b/>
          <w:i/>
          <w:color w:val="334155"/>
          <w:sz w:val="22"/>
        </w:rPr>
        <w:t>4.1 Dívida Flutuante (Curto Prazo - Art. 92 da Lei nº 4.320/1964)</w:t>
      </w:r>
    </w:p>
    <w:p>
      <w:pPr>
        <w:spacing w:line="360" w:lineRule="auto" w:before="0" w:after="80"/>
        <w:jc w:val="both"/>
      </w:pPr>
      <w:r>
        <w:rPr>
          <w:rFonts w:ascii="Arial" w:hAnsi="Arial"/>
          <w:b w:val="0"/>
          <w:i w:val="0"/>
          <w:color w:val="111827"/>
          <w:sz w:val="24"/>
        </w:rPr>
        <w:t>A dívida flutuante compreende os compromissos exigíveis assumidos pela administração pública para liquidação imediata ou a curto prazo, sem necessidade de autorização orçamentária contínua para sua amortização (opera-se como dispêndio extraorçamentário). Integra-se taxativamente por:</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Restos a Pagar:</w:t>
      </w:r>
      <w:r>
        <w:rPr>
          <w:rFonts w:ascii="Arial" w:hAnsi="Arial"/>
          <w:b w:val="0"/>
          <w:i w:val="0"/>
          <w:color w:val="111827"/>
          <w:sz w:val="22"/>
        </w:rPr>
        <w:t xml:space="preserve"> Despesas empenhadas e não pagas até 31 de dezembro, processadas e não processadas;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Serviços da dívida a pagar:</w:t>
      </w:r>
      <w:r>
        <w:rPr>
          <w:rFonts w:ascii="Arial" w:hAnsi="Arial"/>
          <w:b w:val="0"/>
          <w:i w:val="0"/>
          <w:color w:val="111827"/>
          <w:sz w:val="22"/>
        </w:rPr>
        <w:t xml:space="preserve"> Parcelas de amortização e encargos de juros de empréstimos consolidados vencidos e pendentes de desembolso;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Depósitos, fianças e cauções:</w:t>
      </w:r>
      <w:r>
        <w:rPr>
          <w:rFonts w:ascii="Arial" w:hAnsi="Arial"/>
          <w:b w:val="0"/>
          <w:i w:val="0"/>
          <w:color w:val="111827"/>
          <w:sz w:val="22"/>
        </w:rPr>
        <w:t xml:space="preserve"> Recursos financeiros de terceiros sob custódia temporária da Fazenda Pública restituíveis a curto prazo;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Débitos de tesouraria decorrentes de ARO:</w:t>
      </w:r>
      <w:r>
        <w:rPr>
          <w:rFonts w:ascii="Arial" w:hAnsi="Arial"/>
          <w:b w:val="0"/>
          <w:i w:val="0"/>
          <w:color w:val="111827"/>
          <w:sz w:val="22"/>
        </w:rPr>
        <w:t xml:space="preserve"> Saldos pendentes de Operações de Crédito por Antecipação de Receita Orçamentária contraídos para suprir descompassos transitórios de caixa.</w:t>
      </w:r>
    </w:p>
    <w:p>
      <w:pPr>
        <w:keepNext/>
        <w:spacing w:before="120" w:after="40"/>
      </w:pPr>
      <w:r>
        <w:rPr>
          <w:rFonts w:ascii="Arial" w:hAnsi="Arial"/>
          <w:b/>
          <w:i/>
          <w:color w:val="334155"/>
          <w:sz w:val="22"/>
        </w:rPr>
        <w:t>4.2 Dívida Fundada ou Consolidada (Longo Prazo - Art. 29 da LRF)</w:t>
      </w:r>
    </w:p>
    <w:p>
      <w:pPr>
        <w:spacing w:line="360" w:lineRule="auto" w:before="0" w:after="80"/>
        <w:jc w:val="both"/>
      </w:pPr>
      <w:r>
        <w:rPr>
          <w:rFonts w:ascii="Arial" w:hAnsi="Arial"/>
          <w:b w:val="0"/>
          <w:i w:val="0"/>
          <w:color w:val="111827"/>
          <w:sz w:val="24"/>
        </w:rPr>
        <w:t xml:space="preserve">Conforme o art. 29 da LRF e o art. 98 da Lei nº 4.320/1964, a dívida fundada ou consolidada consiste no montante total das obrigações financeiras assumidas pelo ente federado para </w:t>
      </w:r>
      <w:r>
        <w:rPr>
          <w:rFonts w:ascii="Arial" w:hAnsi="Arial"/>
          <w:b/>
          <w:i w:val="0"/>
          <w:color w:val="111827"/>
          <w:sz w:val="24"/>
        </w:rPr>
        <w:t>amortização em prazo superior a 12 (doze) meses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Decorre de emissão de títulos públicos mobiliários, contratos formais de empréstimo e financiamento internos e externos (junto a bancos como BNDES, Caixa, BIRD e BID);</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Inclui precatórios judiciais emitidos após 1º de julho e não pagos durante o exercício de inclusão orçamentária (art. 30, § 7º da LRF);</w:t>
      </w:r>
    </w:p>
    <w:p>
      <w:pPr>
        <w:spacing w:line="276" w:lineRule="auto" w:before="20" w:after="40"/>
        <w:ind w:left="425"/>
      </w:pPr>
      <w:r>
        <w:rPr>
          <w:rFonts w:ascii="Arial" w:hAnsi="Arial"/>
          <w:b/>
          <w:color w:val="2B6CB0"/>
          <w:sz w:val="22"/>
        </w:rPr>
        <w:t xml:space="preserve">• </w:t>
      </w:r>
      <w:r>
        <w:rPr>
          <w:rFonts w:ascii="Arial" w:hAnsi="Arial"/>
          <w:b w:val="0"/>
          <w:i/>
          <w:color w:val="111827"/>
          <w:sz w:val="22"/>
        </w:rPr>
        <w:t>Exceção importante da LRF:</w:t>
      </w:r>
      <w:r>
        <w:rPr>
          <w:rFonts w:ascii="Arial" w:hAnsi="Arial"/>
          <w:b w:val="0"/>
          <w:i w:val="0"/>
          <w:color w:val="111827"/>
          <w:sz w:val="22"/>
        </w:rPr>
        <w:t xml:space="preserve"> As operações de crédito de prazo inferior a 12 meses </w:t>
      </w:r>
      <w:r>
        <w:rPr>
          <w:rFonts w:ascii="Arial" w:hAnsi="Arial"/>
          <w:b/>
          <w:i w:val="0"/>
          <w:color w:val="111827"/>
          <w:sz w:val="22"/>
        </w:rPr>
        <w:t>também integrarão a dívida consolidada</w:t>
      </w:r>
      <w:r>
        <w:rPr>
          <w:rFonts w:ascii="Arial" w:hAnsi="Arial"/>
          <w:b w:val="0"/>
          <w:i w:val="0"/>
          <w:color w:val="111827"/>
          <w:sz w:val="22"/>
        </w:rPr>
        <w:t xml:space="preserve"> caso suas receitas tenham sido expressamente incluídas e computadas como receita orçamentária na Lei Orçamentária Anual.</w:t>
      </w:r>
    </w:p>
    <w:p>
      <w:pPr>
        <w:keepNext/>
        <w:spacing w:before="280" w:after="120"/>
      </w:pPr>
      <w:r>
        <w:rPr>
          <w:rFonts w:ascii="Arial" w:hAnsi="Arial"/>
          <w:b/>
          <w:i w:val="0"/>
          <w:color w:val="2C5282"/>
          <w:sz w:val="28"/>
        </w:rPr>
        <w:t>🌐 Fontes Oficiais &amp; Manuais Técnicos Recomendados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4.320/1964</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Arts. 40 a 46 (Créditos Adicionais e Fontes de Financiamento) e Arts. 92 a 100 (Dívida Flutuante e Fundada).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Federal de 1988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 165, § 8º (Exclusividade e Créditos Suplementares) e Art. 167, incisos II, V e §§ 2º e 3º (Reabertura e Créditos Extraordinários).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Complementar Federal nº 101/2000 (Lei de Responsabilidade Fiscal)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 5º, III (Reserva de Contingência) e Arts. 29 a 38 (Da Dívida Pública e Operações de Crédito).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Contabilidade Aplicada ao Setor Público (MCASP) - 11ª Edição (STN)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Procedimentos Contábeis Orçamentários e Cálculo do Superávit Financeiro.</w:t>
      </w:r>
    </w:p>
    <w:p>
      <w:pPr>
        <w:keepNext/>
        <w:spacing w:before="280" w:after="120"/>
      </w:pPr>
      <w:r>
        <w:rPr>
          <w:rFonts w:ascii="Arial" w:hAnsi="Arial"/>
          <w:b/>
          <w:i w:val="0"/>
          <w:color w:val="2C5282"/>
          <w:sz w:val="28"/>
        </w:rPr>
        <w:t>📝 Questões Comentadas no Padrão FCC</w:t>
      </w:r>
    </w:p>
    <w:p>
      <w:pPr>
        <w:keepNext/>
        <w:spacing w:before="200" w:after="80"/>
      </w:pPr>
      <w:r>
        <w:rPr>
          <w:rFonts w:ascii="Arial" w:hAnsi="Arial"/>
          <w:b/>
          <w:i w:val="0"/>
          <w:color w:val="2B6CB0"/>
          <w:sz w:val="24"/>
        </w:rPr>
        <w:t>Questão 1 (FCC - Adaptada / TCE-RS - Auditor de Controle Externo)</w:t>
      </w:r>
    </w:p>
    <w:p>
      <w:pPr>
        <w:spacing w:line="360" w:lineRule="auto" w:before="0" w:after="80"/>
        <w:jc w:val="both"/>
      </w:pPr>
      <w:r>
        <w:rPr>
          <w:rFonts w:ascii="Arial" w:hAnsi="Arial"/>
          <w:b w:val="0"/>
          <w:i w:val="0"/>
          <w:color w:val="111827"/>
          <w:sz w:val="24"/>
        </w:rPr>
        <w:t>Em decorrência de fortes chuvas torrenciais que assolaram municípios goianos, o Governador do Estado decretou formalmente estado de calamidade pública. Diante da necessidade imediata de socorro financeiro e humanitário às populações desabrigadas, o Poder Executivo necessita executar despesas emergenciais para as quais não há dotação orçamentária na Lei Orçamentária Anual em vigor.</w:t>
      </w:r>
    </w:p>
    <w:p>
      <w:pPr>
        <w:spacing w:line="360" w:lineRule="auto" w:before="0" w:after="80"/>
        <w:jc w:val="both"/>
      </w:pPr>
      <w:r>
        <w:rPr>
          <w:rFonts w:ascii="Arial" w:hAnsi="Arial"/>
          <w:b w:val="0"/>
          <w:i w:val="0"/>
          <w:color w:val="111827"/>
          <w:sz w:val="24"/>
        </w:rPr>
        <w:t>Nessa situação fática, em conformidade com as normas constitucionais e financeiras vigentes: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Chefe do Executivo deverá encaminhar previamente projeto de lei à Assembleia Legislativa propondo a abertura de crédito suplementar compensado por anulação de dotações.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Poderá ser aberto crédito extraordinário por ato próprio do Poder Executivo, independentemente de prévia autorização legislativa formal, com comunicação imediata ao Poder Legislativo.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É obrigatória a aprovação de Emenda à Lei Orçamentária Anual por quórum qualificado de dois terços dos membros da Assembleia Legislativa.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crédito adicional especial deverá ser aberto por decreto, desde que haja prévia autorização expressa na Lei de Diretrizes Orçamentárias.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É vedada a realização de qualquer dispêndio em razão da ausência originária de dotação na LOA, devendo o Poder Executivo aguardar a tramitação do orçamento do ano seguinte.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Crédito suplementar serve apenas para reforçar dotação orçamentária preexistente e depende de autorização em lei prévia, o que impediria a resposta rápida à catástrofe humanitária.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o art. 167, § 3º da CF/88 e o art. 41, III c/c art. 44 da Lei nº 4.320/1964, a abertura de crédito extraordinário destina-se expressamente ao custeio de despesas imprevisíveis e urgentes provocadas por guerra, comoção interna ou calamidade pública. O crédito é aberto por ato privativo do Poder Executivo (Medida Provisória ou Decreto), dispensando prévia autorização legislativa e dando-se ciência imediata ao parlamento.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Não existe previsão constitucional de emenda à LOA por quórum de dois terços para gestão de calamidade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crédito especial exige prévia autorização em lei específica, sendo inviável para resposta emergencial imediata.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ordenamento jurídico confere ao Executivo o instrumento ágil do crédito extraordinário exatamente para evitar a paralisação do Estado em situações extremas.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TCE-PI - Auditor de Controle Externo)</w:t>
      </w:r>
    </w:p>
    <w:p>
      <w:pPr>
        <w:spacing w:line="360" w:lineRule="auto" w:before="0" w:after="80"/>
        <w:jc w:val="both"/>
      </w:pPr>
      <w:r>
        <w:rPr>
          <w:rFonts w:ascii="Arial" w:hAnsi="Arial"/>
          <w:b w:val="0"/>
          <w:i w:val="0"/>
          <w:color w:val="111827"/>
          <w:sz w:val="24"/>
        </w:rPr>
        <w:t>A respeito das fontes de recursos para a abertura de créditos adicionais previstas no artigo 43 da Lei nº 4.320/1964 e das normas da Constituição Federal de 1988, considere as seguintes afirmativas:</w:t>
      </w:r>
    </w:p>
    <w:p>
      <w:pPr>
        <w:spacing w:line="360" w:lineRule="auto" w:before="0" w:after="80"/>
        <w:jc w:val="both"/>
      </w:pPr>
      <w:r>
        <w:rPr>
          <w:rFonts w:ascii="Arial" w:hAnsi="Arial"/>
          <w:b w:val="0"/>
          <w:i w:val="0"/>
          <w:color w:val="111827"/>
          <w:sz w:val="24"/>
        </w:rPr>
        <w:t>I. O superávit financeiro utilizado para abertura de créditos adicionais corresponde à diferença positiva entre o ativo financeiro e o passivo financeiro apurados no Balanço Patrimonial do exercício anterior, conjugando-se com os saldos dos créditos adicionais transferidos e as operações de crédito a eles vinculadas.</w:t>
      </w:r>
    </w:p>
    <w:p>
      <w:pPr>
        <w:spacing w:line="360" w:lineRule="auto" w:before="0" w:after="80"/>
        <w:jc w:val="both"/>
      </w:pPr>
      <w:r>
        <w:rPr>
          <w:rFonts w:ascii="Arial" w:hAnsi="Arial"/>
          <w:b w:val="0"/>
          <w:i w:val="0"/>
          <w:color w:val="111827"/>
          <w:sz w:val="24"/>
        </w:rPr>
        <w:t>II. O excesso de arrecadação representa o saldo positivo das diferenças acumuladas mês a mês entre a arrecadação prevista e a efetivamente realizada, considerando-se a tendência do exercício e deduzidos os créditos suplementares e especiais já abertos no ano.</w:t>
      </w:r>
    </w:p>
    <w:p>
      <w:pPr>
        <w:spacing w:line="360" w:lineRule="auto" w:before="0" w:after="80"/>
        <w:jc w:val="both"/>
      </w:pPr>
      <w:r>
        <w:rPr>
          <w:rFonts w:ascii="Arial" w:hAnsi="Arial"/>
          <w:b w:val="0"/>
          <w:i w:val="0"/>
          <w:color w:val="111827"/>
          <w:sz w:val="24"/>
        </w:rPr>
        <w:t>III. Os créditos adicionais especiais abertos no mês de outubro do respectivo exercício financeiro poderão ter seus saldos reabertos no exercício subsequente, caso em que vigorarão até o encerramento deste.</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Todos os três itens constantes do enunciado são rigorosamente verdadeiros.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item III também está correto, tornando a alternativa incompleta.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item I é conceitualmente perfeito e representa a literalidade da Lei nº 4.320/1964.</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item II é verdadeiro ao expressar a regra de cálculo do excesso de arrecadação.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Correta. Todas as assertivas são verdadeiras: o item I reproduz o art. 43, § 2º da Lei nº 4.320/1964 (superávit financeiro apurado no Balanço Patrimonial); o item II reflete o art. 43, § 3º da mesma lei (excesso de arrecadação apurado no ano corrente com base na tendência e deduzindo-se créditos abertos); e o item III aplica perfeitamente o art. 167, § 2º da CF/88 (créditos especiais e extraordinários abertos nos últimos quatro meses admitem reabertura no ano seguinte no limite de seus saldos).</w:t>
            </w:r>
          </w:p>
          <w:p>
            <w:pPr>
              <w:spacing w:line="288" w:lineRule="auto" w:before="120" w:after="80"/>
            </w:pPr>
            <w:r>
              <w:rPr>
                <w:rFonts w:ascii="Arial" w:hAnsi="Arial"/>
                <w:b/>
                <w:i w:val="0"/>
                <w:color w:val="047857"/>
                <w:sz w:val="22"/>
              </w:rPr>
              <w:t>Gabarito: E</w:t>
            </w:r>
          </w:p>
        </w:tc>
      </w:tr>
    </w:tbl>
    <w:p>
      <w:pPr>
        <w:spacing w:before="0" w:after="120"/>
      </w:pPr>
    </w:p>
    <w:p>
      <w:pPr>
        <w:keepNext/>
        <w:spacing w:before="200" w:after="80"/>
      </w:pPr>
      <w:r>
        <w:rPr>
          <w:rFonts w:ascii="Arial" w:hAnsi="Arial"/>
          <w:b/>
          <w:i w:val="0"/>
          <w:color w:val="2B6CB0"/>
          <w:sz w:val="24"/>
        </w:rPr>
        <w:t>Questão 3 (FCC - Adaptada / Analista de Planejamento e Orçamento)</w:t>
      </w:r>
    </w:p>
    <w:p>
      <w:pPr>
        <w:spacing w:line="360" w:lineRule="auto" w:before="0" w:after="80"/>
        <w:jc w:val="both"/>
      </w:pPr>
      <w:r>
        <w:rPr>
          <w:rFonts w:ascii="Arial" w:hAnsi="Arial"/>
          <w:b w:val="0"/>
          <w:i w:val="0"/>
          <w:color w:val="111827"/>
          <w:sz w:val="24"/>
        </w:rPr>
        <w:t>No encerramento do exercício financeiro de 2025, determinado órgão público estadual possuía os seguintes saldos de créditos adicionais que não foram totalmente utilizados nem pagos:</w:t>
      </w:r>
    </w:p>
    <w:p>
      <w:pPr>
        <w:spacing w:line="360" w:lineRule="auto" w:before="0" w:after="80"/>
        <w:jc w:val="both"/>
      </w:pPr>
      <w:r>
        <w:rPr>
          <w:rFonts w:ascii="Arial" w:hAnsi="Arial"/>
          <w:b w:val="0"/>
          <w:i w:val="0"/>
          <w:color w:val="111827"/>
          <w:sz w:val="24"/>
        </w:rPr>
        <w:t>I. Saldo não utilizado de R$ 400.000,00 referente a um Crédito Suplementar aberto regularmente por decreto executivo em novembro de 2025.</w:t>
      </w:r>
    </w:p>
    <w:p>
      <w:pPr>
        <w:spacing w:line="360" w:lineRule="auto" w:before="0" w:after="80"/>
        <w:jc w:val="both"/>
      </w:pPr>
      <w:r>
        <w:rPr>
          <w:rFonts w:ascii="Arial" w:hAnsi="Arial"/>
          <w:b w:val="0"/>
          <w:i w:val="0"/>
          <w:color w:val="111827"/>
          <w:sz w:val="24"/>
        </w:rPr>
        <w:t>II. Saldo não utilizado de R$ 600.000,00 referente a um Crédito Especial autorizado por lei específica e aberto por decreto em outubro de 2025.</w:t>
      </w:r>
    </w:p>
    <w:p>
      <w:pPr>
        <w:spacing w:line="360" w:lineRule="auto" w:before="0" w:after="80"/>
        <w:jc w:val="both"/>
      </w:pPr>
      <w:r>
        <w:rPr>
          <w:rFonts w:ascii="Arial" w:hAnsi="Arial"/>
          <w:b w:val="0"/>
          <w:i w:val="0"/>
          <w:color w:val="111827"/>
          <w:sz w:val="24"/>
        </w:rPr>
        <w:t>Considerando o princípio da anualidade orçamentária e a disciplina do artigo 167, § 2º da Constituição Federal de 1988, no exercício de 2026:</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Ambos os saldos de créditos adicionais poderão ser reabertos, visto que foram abertos no último bimestre do ano.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Nenhum dos saldos poderá ser reaberto, tendo em vista a caducidade absoluta de todas as dotações orçamentárias em 31 de dezembro.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Apenas o saldo do Crédito Especial poderá ser reaberto no limite de R$ 600.000,00, vigorando até o término do exercício de 2026; o saldo do Crédito Suplementar será compulsoriamente extinto.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Apenas o saldo do Crédito Suplementar poderá ser reaberto, desde que incorporado ao orçamento das estatais.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Os saldos são convertidos automaticamente em Restos a Pagar Não Processados sem necessidade de ato de reabertura.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Créditos suplementares nunca admitem reabertura no ano seguinte, independentemente do mês em que foram abertos.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art. 167, § 2º da CF/88 excepciona a anualidade orçamentária para os créditos especiais e extraordinários abertos no último quadrimestre.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De acordo com o art. 167, § 2º da CF/88, apenas os créditos especiais e extraordinários abertos nos últimos quatro meses do exercício financeiro (de 1º de setembro a 31 de dezembro) podem ter seus saldos reabertos no exercício seguinte, vigorando até 31 de dezembro deste. O crédito suplementar extingue-se impreterivelmente ao final do exercício de 2025.</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Inverte as regras de reabertura constitucional e mistura conceitos de orçamento estatal.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Saldo de dotação orçamentária não empenhada não se converte em restos a pagar; Restos a Pagar exigem que a despesa tenha sido previamente empenhada no exercício.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Adaptada / Técnico de Controle Externo)</w:t>
      </w:r>
    </w:p>
    <w:p>
      <w:pPr>
        <w:spacing w:line="360" w:lineRule="auto" w:before="0" w:after="80"/>
        <w:jc w:val="both"/>
      </w:pPr>
      <w:r>
        <w:rPr>
          <w:rFonts w:ascii="Arial" w:hAnsi="Arial"/>
          <w:b w:val="0"/>
          <w:i w:val="0"/>
          <w:color w:val="111827"/>
          <w:sz w:val="24"/>
        </w:rPr>
        <w:t xml:space="preserve">Na contabilidade pública e no direito financeiro, as dívidas contraídas pelo Estado classificam-se em dívida flutuante e dívida fundada (consolidada). Assinale a opção que apresenta um componente típico da </w:t>
      </w:r>
      <w:r>
        <w:rPr>
          <w:rFonts w:ascii="Arial" w:hAnsi="Arial"/>
          <w:b/>
          <w:i w:val="0"/>
          <w:color w:val="111827"/>
          <w:sz w:val="24"/>
        </w:rPr>
        <w:t>dívida flutuante</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Títulos públicos da dívida mobiliária estadual com vencimento para cinco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Contrato de financiamento firmado com o Banco Interamericano de Desenvolvimento (BID) para amortização em dez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Restos a Pagar processados e não processados inscritos ao término do exercício financeiro.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Precatórios judiciais incluídos na proposta orçamentária para quitação ao longo de três exercícios sucessivos.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Debêntures emitidas por sociedade de economia mista não dependente com garantia real imobiliária.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Títulos públicos da dívida mobiliária com prazo superior a 12 meses integram a dívida consolidada (fundada).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Contratos de empréstimos com organismos internacionais amortizáveis a longo prazo compõem a dívida fundada contratual.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Nos termos do art. 92 da Lei Federal nº 4.320/1964, a dívida flutuante compreende os compromissos exigíveis a curto prazo cuja liquidação independe de dotação orçamentária continuada, abrangendo expressamente os Restos a Pagar (processados e não processados), os serviços da dívida a pagar, os depósitos/cauções e os débitos de tesouraria decorrentes de ARO.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Precatórios com parcelamento em prazo superior a 12 meses são computados na dívida consolidada (art. 30, § 7º da LRF).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Debêntures privadas emitidas por estatais não dependentes não constituem obrigação direta da Fazenda Pública Estadual.</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Analista Jurídico de Controle)</w:t>
      </w:r>
    </w:p>
    <w:p>
      <w:pPr>
        <w:spacing w:line="360" w:lineRule="auto" w:before="0" w:after="80"/>
        <w:jc w:val="both"/>
      </w:pPr>
      <w:r>
        <w:rPr>
          <w:rFonts w:ascii="Arial" w:hAnsi="Arial"/>
          <w:b w:val="0"/>
          <w:i w:val="0"/>
          <w:color w:val="111827"/>
          <w:sz w:val="24"/>
        </w:rPr>
        <w:t>Ao elaborar o projeto de Lei Orçamentária Anual (LOA), a Secretaria de Economia do Estado de Goiás estimou uma reserva global sem destinação específica a órgão ou programa determinado, vinculada unicamente à cobertura de passivos contingentes e outros riscos fiscais imprevistos.</w:t>
      </w:r>
    </w:p>
    <w:p>
      <w:pPr>
        <w:spacing w:line="360" w:lineRule="auto" w:before="0" w:after="80"/>
        <w:jc w:val="both"/>
      </w:pPr>
      <w:r>
        <w:rPr>
          <w:rFonts w:ascii="Arial" w:hAnsi="Arial"/>
          <w:b w:val="0"/>
          <w:i w:val="0"/>
          <w:color w:val="111827"/>
          <w:sz w:val="24"/>
        </w:rPr>
        <w:t>Nos termos do artigo 5º, inciso III da Lei de Responsabilidade Fiscal (LC nº 101/2000) e da legislação financeira, essa dotação denomina-se: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Crédito Adicional Extraordinário Vinculado.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Reserva de Contingência, cuja dotação pode servir como fonte de recursos para abertura de créditos adicionais.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Provisão Judicial para Perdas Trabalhistas.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Fundo de Estabilização Fiscal de Repartição Obrigatória.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Superávit de Liquidez de Tesouraria.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Crédito extraordinário é instrumento de alteração orçamentária para emergências e calamidades, não dotação preventiva originária da LOA.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5º, inciso III da Lei de Responsabilidade Fiscal prescreve que o projeto de LOA conterá reserva de contingência, cuja forma de utilização e montante são definidos na LDO, destinada ao atendimento de passivos contingentes e outros riscos e eventos fiscais imprevistos, servindo perfeitamente como fonte de recursos para anulação e abertura de créditos suplementares e especiais.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Provisão contábil é instituto de mensuração patrimonial e não rubrica orçamentária da LOA.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Expressão desconexa do regramento de dotações orçamentárias gerais.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Refere-se a saldo de caixa de tesouraria, não a dotação autorizativa de despesa pública.</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05 - Lei de Responsabilidade Fiscal (LRF), Despesa com Pessoal e Limites de Endividamento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Administração Financeira e Orçamentária (AFO)</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05_lei_de_responsabilidade_fiscal_lrf_e_despesa_com_pessoal.md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Lei de Responsabilidade Fiscal (Lei Complementar nº 101/2000): princípios fundamentais, planejamento, transparência, controle e responsabilidade na gestão fiscal;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Despesa Obrigatória de Caráter Continuado (DOCC - Artigo 17 da LRF): conceito, requisitos para criação/aumento e medidas permanentes de compensação;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Despesa Total com Pessoal (DTP - Artigos 18 a 23 da LRF):</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Definição ampla de despesa com pessoal, parcelas computáveis e parcelas expressamente excluídas;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Base de cálculo: Receita Corrente Líquida (RCL) nos últimos doze meses (mês de referência + 11 anteriores);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Limites globais: União (50%), Estados (60%) e Municípios (60%);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Repartição dos limites nos Estados (60%): Poder Executivo (49%), Poder Judiciário (6%), Ministério Público (2%) e Poder Legislativo/TC (3%, sendo 1,8% Assembleia Legislativa e 1,2% TCE);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Limites operacionais: Limite de Alerta (90%), Limite Prudencial (95%) e Limite Total/Máximo (100%);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Vedações decorrentes do atingimento do limite prudencial (Artigo 22, parágrafo único);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Prazos e regras de recondução do excesso (Artigo 23 da LRF) e medidas constitucionais drásticas de corte (Artigo 169 da CF/88);</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Operações de crédito e endividamento público: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Conceito de operação de crédito e competência do Senado Federal para fixação de limites globais;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"Regra de Ouro" orçamentária (Artigo 167, III da CF/88);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Operações de Crédito por Antecipação de Receita Orçamentária (ARO - Artigo 38 da LRF): requisitos estritos e proibições;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Regras de gestão fiscal em final de mandato: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Vedação do Artigo 42 da LRF (assunção de obrigação financeira nos últimos dois quadrimestres sem disponibilidade de caixa);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Nulidade de atos que aumentem despesa com pessoal nos últimos 180 dias de mandato (Artigo 21, parágrafo único da LRF).</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e Instrumentos de Transparência da LRF</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Premissas da Gestão Fiscal Responsável (Art. 1º, § 1º)</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Os Relatórios Fiscais Obrigatórios: RREO e RGF</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Despesa Obrigatória de Caráter Continuado (DOCC - Art. 17)</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Conceito Legal e Requisitos Formais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Mecanismos Permanentes de Compensação Fiscal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Despesa Total com Pessoal (DTP) e Gatilhos de Controle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Conceito, Apuração Quadrimestral e Base da RCL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Repartição dos Limites Globais e a Cota do TCE-GO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Limite de Alerta, Prudencial e Máximo: Gatilhos e Vedações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Regras de Recondução e Medidas Constitucionais Sucessivas de Corte (Art. 169)</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Endividamento, Regra de Ouro, ARO e Vedações de Fim de Mandato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A Regra de Ouro Orçamentária (Art. 167, III da CF/88)</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Regime das Operações de Crédito por ARO (Art. 38)</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As Restrições Severas de Final de Mandato (Arts. 21 e 42 da LRF)</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&amp; Normativas Recomendadas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no Padrão FCC</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Fundamentos e Instrumentos de Transparência da LRF</w:t>
      </w:r>
    </w:p>
    <w:p>
      <w:pPr>
        <w:keepNext/>
        <w:spacing w:before="120" w:after="40"/>
      </w:pPr>
      <w:r>
        <w:rPr>
          <w:rFonts w:ascii="Arial" w:hAnsi="Arial"/>
          <w:b/>
          <w:i/>
          <w:color w:val="334155"/>
          <w:sz w:val="22"/>
        </w:rPr>
        <w:t>1.1 Premissas da Gestão Fiscal Responsável (Art. 1º, § 1º)</w:t>
      </w:r>
    </w:p>
    <w:p>
      <w:pPr>
        <w:spacing w:line="360" w:lineRule="auto" w:before="0" w:after="80"/>
        <w:jc w:val="both"/>
      </w:pPr>
      <w:r>
        <w:rPr>
          <w:rFonts w:ascii="Arial" w:hAnsi="Arial"/>
          <w:b w:val="0"/>
          <w:i w:val="0"/>
          <w:color w:val="111827"/>
          <w:sz w:val="24"/>
        </w:rPr>
        <w:t xml:space="preserve">A Lei Complementar Federal nº 101/2000 (Lei de Responsabilidade Fiscal - LRF) estabelece normas de finanças públicas voltadas para a responsabilidade na gestão fiscal, que pressupõe a </w:t>
      </w:r>
      <w:r>
        <w:rPr>
          <w:rFonts w:ascii="Arial" w:hAnsi="Arial"/>
          <w:b/>
          <w:i w:val="0"/>
          <w:color w:val="111827"/>
          <w:sz w:val="24"/>
        </w:rPr>
        <w:t>ação planejada e transparente</w:t>
      </w:r>
      <w:r>
        <w:rPr>
          <w:rFonts w:ascii="Arial" w:hAnsi="Arial"/>
          <w:b w:val="0"/>
          <w:i w:val="0"/>
          <w:color w:val="111827"/>
          <w:sz w:val="24"/>
        </w:rPr>
        <w:t>, em que se previnem riscos e corrigem desvios capazes de afetar o equilíbrio das contas públicas, mediante o cumprimento de metas de resultados entre receitas e despesas e a obediência a limites e condições no que tange a renúncia de receita, geração de despesas com pessoal, da seguridade social e outras, dívidas consolidada e mobiliária, operações de crédito, inclusive por antecipação de receita, concessão de garantia e inscrição em Restos a Pagar.</w:t>
      </w:r>
    </w:p>
    <w:p>
      <w:pPr>
        <w:keepNext/>
        <w:spacing w:before="120" w:after="40"/>
      </w:pPr>
      <w:r>
        <w:rPr>
          <w:rFonts w:ascii="Arial" w:hAnsi="Arial"/>
          <w:b/>
          <w:i/>
          <w:color w:val="334155"/>
          <w:sz w:val="22"/>
        </w:rPr>
        <w:t>1.2 Os Relatórios Fiscais Obrigatórios: RREO e RGF</w:t>
      </w:r>
    </w:p>
    <w:p>
      <w:pPr>
        <w:spacing w:line="360" w:lineRule="auto" w:before="0" w:after="80"/>
        <w:jc w:val="both"/>
      </w:pPr>
      <w:r>
        <w:rPr>
          <w:rFonts w:ascii="Arial" w:hAnsi="Arial"/>
          <w:b w:val="0"/>
          <w:i w:val="0"/>
          <w:color w:val="111827"/>
          <w:sz w:val="24"/>
        </w:rPr>
        <w:t>Para viabilizar a ampla fiscalização pela sociedade e pelos órgãos de controle externo (TCEs e Ministério Público de Contas), a LRF institui dois relatórios periódicos estruturantes:</w:t>
      </w:r>
    </w:p>
    <w:p>
      <w:pPr>
        <w:spacing w:after="120"/>
      </w:pPr>
    </w:p>
    <w:p>
      <w:pPr>
        <w:keepNext/>
        <w:spacing w:before="200" w:after="80"/>
      </w:pPr>
      <w:r>
        <w:rPr>
          <w:rFonts w:ascii="Arial" w:hAnsi="Arial"/>
          <w:b/>
          <w:i w:val="0"/>
          <w:color w:val="2B6CB0"/>
          <w:sz w:val="24"/>
        </w:rPr>
        <w:t>2. Despesa Obrigatória de Caráter Continuado (DOCC - Art. 17)</w:t>
      </w:r>
    </w:p>
    <w:p>
      <w:pPr>
        <w:keepNext/>
        <w:spacing w:before="120" w:after="40"/>
      </w:pPr>
      <w:r>
        <w:rPr>
          <w:rFonts w:ascii="Arial" w:hAnsi="Arial"/>
          <w:b/>
          <w:i/>
          <w:color w:val="334155"/>
          <w:sz w:val="22"/>
        </w:rPr>
        <w:t>2.1 Conceito Legal e Requisitos Formais</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Despesa Obrigatória de Caráter Continuado (DOCC)</w:t>
      </w:r>
      <w:r>
        <w:rPr>
          <w:rFonts w:ascii="Arial" w:hAnsi="Arial"/>
          <w:b w:val="0"/>
          <w:i w:val="0"/>
          <w:color w:val="111827"/>
          <w:sz w:val="24"/>
        </w:rPr>
        <w:t xml:space="preserve"> é a despesa corrente derivada de lei, medida provisória ou ato administrativo normativo que fixe para o ente público a obrigação legal de sua execução por um </w:t>
      </w:r>
      <w:r>
        <w:rPr>
          <w:rFonts w:ascii="Arial" w:hAnsi="Arial"/>
          <w:b/>
          <w:i w:val="0"/>
          <w:color w:val="111827"/>
          <w:sz w:val="24"/>
        </w:rPr>
        <w:t>período superior a dois (2) anos</w:t>
      </w:r>
      <w:r>
        <w:rPr>
          <w:rFonts w:ascii="Arial" w:hAnsi="Arial"/>
          <w:b w:val="0"/>
          <w:i w:val="0"/>
          <w:color w:val="111827"/>
          <w:sz w:val="24"/>
        </w:rPr>
        <w:t xml:space="preserve"> (art. 17, </w:t>
      </w:r>
      <w:r>
        <w:rPr>
          <w:rFonts w:ascii="Arial" w:hAnsi="Arial"/>
          <w:b w:val="0"/>
          <w:i/>
          <w:color w:val="111827"/>
          <w:sz w:val="24"/>
        </w:rPr>
        <w:t>caput</w:t>
      </w:r>
      <w:r>
        <w:rPr>
          <w:rFonts w:ascii="Arial" w:hAnsi="Arial"/>
          <w:b w:val="0"/>
          <w:i w:val="0"/>
          <w:color w:val="111827"/>
          <w:sz w:val="24"/>
        </w:rPr>
        <w:t xml:space="preserve"> da LRF).</w:t>
      </w:r>
    </w:p>
    <w:p>
      <w:pPr>
        <w:keepNext/>
        <w:spacing w:before="120" w:after="40"/>
      </w:pPr>
      <w:r>
        <w:rPr>
          <w:rFonts w:ascii="Arial" w:hAnsi="Arial"/>
          <w:b/>
          <w:i/>
          <w:color w:val="334155"/>
          <w:sz w:val="22"/>
        </w:rPr>
        <w:t>2.2 Mecanismos Permanentes de Compensação Fiscal</w:t>
      </w:r>
    </w:p>
    <w:p>
      <w:pPr>
        <w:spacing w:line="360" w:lineRule="auto" w:before="0" w:after="80"/>
        <w:jc w:val="both"/>
      </w:pPr>
      <w:r>
        <w:rPr>
          <w:rFonts w:ascii="Arial" w:hAnsi="Arial"/>
          <w:b w:val="0"/>
          <w:i w:val="0"/>
          <w:color w:val="111827"/>
          <w:sz w:val="24"/>
        </w:rPr>
        <w:t>A criação ou aumento de DOCC submete-se a rígidas condições cumulativas de higidez fiscal, sob pena de nulidade absoluta do ato e caracterização de crime fiscal: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Estimativa Trienal do Impacto Orçamentário-Financeiro:</w:t>
      </w:r>
      <w:r>
        <w:rPr>
          <w:rFonts w:ascii="Arial" w:hAnsi="Arial"/>
          <w:b w:val="0"/>
          <w:i w:val="0"/>
          <w:color w:val="111827"/>
          <w:sz w:val="22"/>
        </w:rPr>
        <w:t xml:space="preserve"> Aferição do impacto financeiro no exercício em que deva entrar em vigor e nos dois subsequentes;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Declaração do Ordenador de Despesas:</w:t>
      </w:r>
      <w:r>
        <w:rPr>
          <w:rFonts w:ascii="Arial" w:hAnsi="Arial"/>
          <w:b w:val="0"/>
          <w:i w:val="0"/>
          <w:color w:val="111827"/>
          <w:sz w:val="22"/>
        </w:rPr>
        <w:t xml:space="preserve"> Demonstração expressa de que o aumento tem adequação orçamentária e financeira com a LOA e compatibilidade com o PPA e a LDO;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Compensação Financeira Permanente:</w:t>
      </w:r>
      <w:r>
        <w:rPr>
          <w:rFonts w:ascii="Arial" w:hAnsi="Arial"/>
          <w:b w:val="0"/>
          <w:i w:val="0"/>
          <w:color w:val="111827"/>
          <w:sz w:val="22"/>
        </w:rPr>
        <w:t xml:space="preserve"> O ato deve ser acompanhado de </w:t>
      </w:r>
      <w:r>
        <w:rPr>
          <w:rFonts w:ascii="Arial" w:hAnsi="Arial"/>
          <w:b/>
          <w:i w:val="0"/>
          <w:color w:val="111827"/>
          <w:sz w:val="22"/>
        </w:rPr>
        <w:t>medida de compensação financeira contínua</w:t>
      </w:r>
      <w:r>
        <w:rPr>
          <w:rFonts w:ascii="Arial" w:hAnsi="Arial"/>
          <w:b w:val="0"/>
          <w:i w:val="0"/>
          <w:color w:val="111827"/>
          <w:sz w:val="22"/>
        </w:rPr>
        <w:t>, efetivada por meio 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Aumento permanente de receitas (elevação de alíquotas ou criação de novos tributos); OU</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Redução permanente de despesas públicas preexistentes.</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frequentemente tenta igualar a compensação da DOCC com a da renúncia de receita. Na DOCC, </w:t>
            </w:r>
            <w:r>
              <w:rPr>
                <w:rFonts w:ascii="Arial" w:hAnsi="Arial"/>
                <w:b/>
                <w:i w:val="0"/>
                <w:color w:val="111827"/>
                <w:sz w:val="21"/>
              </w:rPr>
              <w:t>a compensação deve ser estritamente PERMANENTE</w:t>
            </w:r>
            <w:r>
              <w:rPr>
                <w:rFonts w:ascii="Arial" w:hAnsi="Arial"/>
                <w:b w:val="0"/>
                <w:i w:val="0"/>
                <w:color w:val="111827"/>
                <w:sz w:val="21"/>
              </w:rPr>
              <w:t>! Não basta indicar que há superávit temporário no ano corrente; o governante tem que aumentar receitas contínuas ou cortar outras despesas em caráter definitivo.</w:t>
            </w:r>
          </w:p>
        </w:tc>
      </w:tr>
    </w:tbl>
    <w:p>
      <w:pPr>
        <w:spacing w:before="0" w:after="120"/>
      </w:pPr>
    </w:p>
    <w:p>
      <w:pPr>
        <w:keepNext/>
        <w:spacing w:before="200" w:after="80"/>
      </w:pPr>
      <w:r>
        <w:rPr>
          <w:rFonts w:ascii="Arial" w:hAnsi="Arial"/>
          <w:b/>
          <w:i w:val="0"/>
          <w:color w:val="2B6CB0"/>
          <w:sz w:val="24"/>
        </w:rPr>
        <w:t>3. Despesa Total com Pessoal (DTP) e Gatilhos de Controle</w:t>
      </w:r>
    </w:p>
    <w:p>
      <w:pPr>
        <w:keepNext/>
        <w:spacing w:before="120" w:after="40"/>
      </w:pPr>
      <w:r>
        <w:rPr>
          <w:rFonts w:ascii="Arial" w:hAnsi="Arial"/>
          <w:b/>
          <w:i/>
          <w:color w:val="334155"/>
          <w:sz w:val="22"/>
        </w:rPr>
        <w:t>3.1 Conceito, Apuração Quadrimestral e Base da RCL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Definição Ampla (Art. 18):</w:t>
      </w:r>
      <w:r>
        <w:rPr>
          <w:rFonts w:ascii="Arial" w:hAnsi="Arial"/>
          <w:b w:val="0"/>
          <w:i w:val="0"/>
          <w:color w:val="111827"/>
          <w:sz w:val="22"/>
        </w:rPr>
        <w:t xml:space="preserve"> Entende-se por despesa total com pessoal o somatório dos gastos do ente com os ativos, inativos e pensionistas, relativos a mandatos eletivos, cargos, funções ou empregos, subsídios e vencimentos, vantagens fixas e variáveis, proventos de aposentadoria e pensões, adicionais, gratificações, horas extras, bem como encargos sociais e contribuições recolhidas pelo ente às entidades de previdência, além dos valores decorrentes de contratos de terceirização de mão de obra que substituam servidores de cargos vagos (art. 18, § 1º).</w:t>
      </w:r>
    </w:p>
    <w:p>
      <w:pPr>
        <w:spacing w:line="276" w:lineRule="auto" w:before="20" w:after="40"/>
        <w:ind w:left="425"/>
      </w:pPr>
      <w:r>
        <w:rPr>
          <w:rFonts w:ascii="Arial" w:hAnsi="Arial"/>
          <w:b/>
          <w:color w:val="2B6CB0"/>
          <w:sz w:val="22"/>
        </w:rPr>
        <w:t xml:space="preserve">• </w:t>
      </w:r>
      <w:r>
        <w:rPr>
          <w:rFonts w:ascii="Arial" w:hAnsi="Arial"/>
          <w:b/>
          <w:i w:val="0"/>
          <w:color w:val="111827"/>
          <w:sz w:val="22"/>
        </w:rPr>
        <w:t>Base de Cálculo:</w:t>
      </w:r>
      <w:r>
        <w:rPr>
          <w:rFonts w:ascii="Arial" w:hAnsi="Arial"/>
          <w:b w:val="0"/>
          <w:i w:val="0"/>
          <w:color w:val="111827"/>
          <w:sz w:val="22"/>
        </w:rPr>
        <w:t xml:space="preserve"> O somatório da </w:t>
      </w:r>
      <w:r>
        <w:rPr>
          <w:rFonts w:ascii="Arial" w:hAnsi="Arial"/>
          <w:b/>
          <w:i w:val="0"/>
          <w:color w:val="111827"/>
          <w:sz w:val="22"/>
        </w:rPr>
        <w:t>Receita Corrente Líquida (RCL)</w:t>
      </w:r>
      <w:r>
        <w:rPr>
          <w:rFonts w:ascii="Arial" w:hAnsi="Arial"/>
          <w:b w:val="0"/>
          <w:i w:val="0"/>
          <w:color w:val="111827"/>
          <w:sz w:val="22"/>
        </w:rPr>
        <w:t xml:space="preserve"> do ente apurada no mês de referência e nos onze meses imediatamente anteriores (período móvel de 12 meses).</w:t>
      </w:r>
    </w:p>
    <w:p>
      <w:pPr>
        <w:keepNext/>
        <w:spacing w:before="120" w:after="40"/>
      </w:pPr>
      <w:r>
        <w:rPr>
          <w:rFonts w:ascii="Arial" w:hAnsi="Arial"/>
          <w:b/>
          <w:i/>
          <w:color w:val="334155"/>
          <w:sz w:val="22"/>
        </w:rPr>
        <w:t>3.2 Repartição dos Limites Globais e a Cota do TCE-GO</w:t>
      </w:r>
    </w:p>
    <w:p>
      <w:pPr>
        <w:spacing w:line="360" w:lineRule="auto" w:before="0" w:after="80"/>
        <w:jc w:val="both"/>
      </w:pPr>
      <w:r>
        <w:rPr>
          <w:rFonts w:ascii="Arial" w:hAnsi="Arial"/>
          <w:b w:val="0"/>
          <w:i w:val="0"/>
          <w:color w:val="111827"/>
          <w:sz w:val="24"/>
        </w:rPr>
        <w:t>A DTP de cada ente da Federação não poderá exceder os seguintes percentuais máximos da Receita Corrente Líquida: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União:</w:t>
      </w:r>
      <w:r>
        <w:rPr>
          <w:rFonts w:ascii="Arial" w:hAnsi="Arial"/>
          <w:b w:val="0"/>
          <w:i w:val="0"/>
          <w:color w:val="111827"/>
          <w:sz w:val="22"/>
        </w:rPr>
        <w:t xml:space="preserve"> 50% da RCL;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Estados e Distrito Federal:</w:t>
      </w:r>
      <w:r>
        <w:rPr>
          <w:rFonts w:ascii="Arial" w:hAnsi="Arial"/>
          <w:b w:val="0"/>
          <w:i w:val="0"/>
          <w:color w:val="111827"/>
          <w:sz w:val="22"/>
        </w:rPr>
        <w:t xml:space="preserve"> 60% da RCL;</w:t>
      </w:r>
    </w:p>
    <w:p>
      <w:pPr>
        <w:spacing w:line="276" w:lineRule="auto" w:before="20" w:after="40"/>
        <w:ind w:left="425"/>
      </w:pPr>
      <w:r>
        <w:rPr>
          <w:rFonts w:ascii="Arial" w:hAnsi="Arial"/>
          <w:b/>
          <w:color w:val="2B6CB0"/>
          <w:sz w:val="22"/>
        </w:rPr>
        <w:t xml:space="preserve">• </w:t>
      </w:r>
      <w:r>
        <w:rPr>
          <w:rFonts w:ascii="Arial" w:hAnsi="Arial"/>
          <w:b/>
          <w:i w:val="0"/>
          <w:color w:val="111827"/>
          <w:sz w:val="22"/>
        </w:rPr>
        <w:t>Municípios:</w:t>
      </w:r>
      <w:r>
        <w:rPr>
          <w:rFonts w:ascii="Arial" w:hAnsi="Arial"/>
          <w:b w:val="0"/>
          <w:i w:val="0"/>
          <w:color w:val="111827"/>
          <w:sz w:val="22"/>
        </w:rPr>
        <w:t xml:space="preserve"> 60% da RCL.</w:t>
      </w:r>
    </w:p>
    <w:p>
      <w:pPr>
        <w:spacing w:after="120"/>
      </w:pP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rPr>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Ente Federado</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Limite Global Máximo</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Poder Executivo</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Poder Judiciário</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Ministério Público</w:t>
            </w:r>
          </w:p>
        </w:tc>
        <w:tc>
          <w:tcPr>
            <w:tcW w:type="dxa" w:w="1512"/>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Poder Legislativo e Tribunais de Contas</w:t>
            </w: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União</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50%</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40,9%</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6,0%</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0,6%</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2,5% (Câmara 1,4%, Senado 0,9%, TCU 0,2%)</w:t>
            </w:r>
          </w:p>
        </w:tc>
      </w:tr>
      <w:tr>
        <w:trPr>
          <w:cantSplit/>
        </w:trPr>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Estados e DF</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60%</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49,0%</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6,0%</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2,0%</w:t>
            </w:r>
          </w:p>
        </w:tc>
        <w:tc>
          <w:tcPr>
            <w:tcW w:type="dxa" w:w="1512"/>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3,0%</w:t>
            </w:r>
            <w:r>
              <w:rPr>
                <w:rFonts w:ascii="Arial" w:hAnsi="Arial"/>
                <w:b w:val="0"/>
                <w:i w:val="0"/>
                <w:color w:val="111827"/>
                <w:sz w:val="19"/>
              </w:rPr>
              <w:t xml:space="preserve"> (Assembleia 1,8% e TCE 1,2%)</w:t>
            </w:r>
          </w:p>
        </w:tc>
      </w:tr>
      <w:tr>
        <w:trPr>
          <w:cantSplit/>
        </w:trPr>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Municípios</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60%</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54,0%</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(Não há)</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(Não há)</w:t>
            </w:r>
          </w:p>
        </w:tc>
        <w:tc>
          <w:tcPr>
            <w:tcW w:type="dxa" w:w="1512"/>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6,0%</w:t>
            </w:r>
            <w:r>
              <w:rPr>
                <w:rFonts w:ascii="Arial" w:hAnsi="Arial"/>
                <w:b w:val="0"/>
                <w:i w:val="0"/>
                <w:color w:val="111827"/>
                <w:sz w:val="19"/>
              </w:rPr>
              <w:t xml:space="preserve"> (Câmara Municipal de Vereadores)</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cota de </w:t>
            </w:r>
            <w:r>
              <w:rPr>
                <w:rFonts w:ascii="Arial" w:hAnsi="Arial"/>
                <w:b/>
                <w:i w:val="0"/>
                <w:color w:val="111827"/>
                <w:sz w:val="21"/>
              </w:rPr>
              <w:t>3,0% da RCL</w:t>
            </w:r>
            <w:r>
              <w:rPr>
                <w:rFonts w:ascii="Arial" w:hAnsi="Arial"/>
                <w:b w:val="0"/>
                <w:i w:val="0"/>
                <w:color w:val="111827"/>
                <w:sz w:val="21"/>
              </w:rPr>
              <w:t xml:space="preserve"> reservada ao Poder Legislativo Estadual é dividida por lei de forma taxativa: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1,8%</w:t>
            </w:r>
            <w:r>
              <w:rPr>
                <w:rFonts w:ascii="Arial" w:hAnsi="Arial"/>
                <w:b w:val="0"/>
                <w:i w:val="0"/>
                <w:color w:val="111827"/>
                <w:sz w:val="21"/>
              </w:rPr>
              <w:t xml:space="preserve"> para a Assembleia Legislativa;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1,2%</w:t>
            </w:r>
            <w:r>
              <w:rPr>
                <w:rFonts w:ascii="Arial" w:hAnsi="Arial"/>
                <w:b w:val="0"/>
                <w:i w:val="0"/>
                <w:color w:val="111827"/>
                <w:sz w:val="21"/>
              </w:rPr>
              <w:t xml:space="preserve"> para o Tribunal de Contas do Estado (TCE-GO).</w:t>
            </w:r>
          </w:p>
          <w:p>
            <w:pPr>
              <w:spacing w:line="288" w:lineRule="auto" w:before="40" w:after="40"/>
            </w:pPr>
            <w:r>
              <w:rPr>
                <w:rFonts w:ascii="Arial" w:hAnsi="Arial"/>
                <w:b w:val="0"/>
                <w:i w:val="0"/>
                <w:color w:val="111827"/>
                <w:sz w:val="21"/>
              </w:rPr>
              <w:t>A banca frequentemente afirma que o Tribunal de Contas integra a cota do Judiciário (falso!) ou altera os percentuais para 1,5% e 1,5% (falso!).</w:t>
            </w:r>
          </w:p>
        </w:tc>
      </w:tr>
    </w:tbl>
    <w:p>
      <w:pPr>
        <w:spacing w:before="0" w:after="120"/>
      </w:pPr>
    </w:p>
    <w:p>
      <w:pPr>
        <w:keepNext/>
        <w:spacing w:before="120" w:after="40"/>
      </w:pPr>
      <w:r>
        <w:rPr>
          <w:rFonts w:ascii="Arial" w:hAnsi="Arial"/>
          <w:b/>
          <w:i/>
          <w:color w:val="334155"/>
          <w:sz w:val="22"/>
        </w:rPr>
        <w:t>3.3 Limite de Alerta, Prudencial e Máximo: Gatilhos e Vedações</w:t>
      </w:r>
    </w:p>
    <w:p>
      <w:pPr>
        <w:spacing w:line="360" w:lineRule="auto" w:before="0" w:after="80"/>
        <w:jc w:val="both"/>
      </w:pPr>
      <w:r>
        <w:rPr>
          <w:rFonts w:ascii="Arial" w:hAnsi="Arial"/>
          <w:b w:val="0"/>
          <w:i w:val="0"/>
          <w:color w:val="111827"/>
          <w:sz w:val="24"/>
        </w:rPr>
        <w:t>A fiscalização do cumprimento dos limites de pessoal processa-se através de três patamares escalonados:</w:t>
      </w:r>
    </w:p>
    <w:p>
      <w:pPr>
        <w:spacing w:after="120"/>
      </w:pPr>
    </w:p>
    <w:p>
      <w:pPr>
        <w:keepNext/>
        <w:spacing w:before="120" w:after="40"/>
      </w:pPr>
      <w:r>
        <w:rPr>
          <w:rFonts w:ascii="Arial" w:hAnsi="Arial"/>
          <w:b/>
          <w:i/>
          <w:color w:val="334155"/>
          <w:sz w:val="22"/>
        </w:rPr>
        <w:t>Vedações Expressas do Limite Prudencial (Art. 22, Parágrafo Único da LRF)</w:t>
      </w:r>
    </w:p>
    <w:p>
      <w:pPr>
        <w:spacing w:line="360" w:lineRule="auto" w:before="0" w:after="80"/>
        <w:jc w:val="both"/>
      </w:pPr>
      <w:r>
        <w:rPr>
          <w:rFonts w:ascii="Arial" w:hAnsi="Arial"/>
          <w:b w:val="0"/>
          <w:i w:val="0"/>
          <w:color w:val="111827"/>
          <w:sz w:val="24"/>
        </w:rPr>
        <w:t>Ao atingir 95% do limite legal máximo, aplicam-se imediatamente ao Poder ou órgão as seguintes proibições: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Concessão de vantagem, aumento, reajuste ou adequação de remuneração a qualquer título (salvo revisão geral anual do art. 37, X da CF);</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Criação de cargos, empregos ou funções públicas;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Alteração de estrutura de carreira que implique aumento de despesa;</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Provimento de cargo público, admissão ou contratação de pessoal a qualquer título;</w:t>
      </w:r>
    </w:p>
    <w:p>
      <w:pPr>
        <w:spacing w:line="276" w:lineRule="auto" w:before="20" w:after="40"/>
        <w:ind w:left="992"/>
      </w:pPr>
      <w:r>
        <w:rPr>
          <w:rFonts w:ascii="Arial" w:hAnsi="Arial"/>
          <w:b/>
          <w:color w:val="2B6CB0"/>
          <w:sz w:val="22"/>
        </w:rPr>
        <w:t xml:space="preserve">• </w:t>
      </w:r>
      <w:r>
        <w:rPr>
          <w:rFonts w:ascii="Arial" w:hAnsi="Arial"/>
          <w:b/>
          <w:i w:val="0"/>
          <w:color w:val="111827"/>
          <w:sz w:val="22"/>
        </w:rPr>
        <w:t>Exceção Constitucional e Legal:</w:t>
      </w:r>
      <w:r>
        <w:rPr>
          <w:rFonts w:ascii="Arial" w:hAnsi="Arial"/>
          <w:b w:val="0"/>
          <w:i w:val="0"/>
          <w:color w:val="111827"/>
          <w:sz w:val="22"/>
        </w:rPr>
        <w:t xml:space="preserve"> Permite-se a reposição decorrente de </w:t>
      </w:r>
      <w:r>
        <w:rPr>
          <w:rFonts w:ascii="Arial" w:hAnsi="Arial"/>
          <w:b/>
          <w:i w:val="0"/>
          <w:color w:val="111827"/>
          <w:sz w:val="22"/>
        </w:rPr>
        <w:t>aposentadoria ou falecimento de servidores das áreas de educação, saúde e segurança pública</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Contratação de serviço extraordinário (horas extras), ressalvada situação de emergência e calamidade pública justificada.</w:t>
      </w:r>
    </w:p>
    <w:p>
      <w:pPr>
        <w:keepNext/>
        <w:spacing w:before="120" w:after="40"/>
      </w:pPr>
      <w:r>
        <w:rPr>
          <w:rFonts w:ascii="Arial" w:hAnsi="Arial"/>
          <w:b/>
          <w:i/>
          <w:color w:val="334155"/>
          <w:sz w:val="22"/>
        </w:rPr>
        <w:t>3.4 Regras de Recondução e Medidas Constitucionais Sucessivas de Corte (Art. 169)</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a DTP ultrapassar o </w:t>
      </w:r>
      <w:r>
        <w:rPr>
          <w:rFonts w:ascii="Arial" w:hAnsi="Arial"/>
          <w:b/>
          <w:i w:val="0"/>
          <w:color w:val="111827"/>
          <w:sz w:val="22"/>
        </w:rPr>
        <w:t>Limite Máximo (100%)</w:t>
      </w:r>
      <w:r>
        <w:rPr>
          <w:rFonts w:ascii="Arial" w:hAnsi="Arial"/>
          <w:b w:val="0"/>
          <w:i w:val="0"/>
          <w:color w:val="111827"/>
          <w:sz w:val="22"/>
        </w:rPr>
        <w:t xml:space="preserve">, o excedente deverá ser integralmente eliminado nos </w:t>
      </w:r>
      <w:r>
        <w:rPr>
          <w:rFonts w:ascii="Arial" w:hAnsi="Arial"/>
          <w:b/>
          <w:i w:val="0"/>
          <w:color w:val="111827"/>
          <w:sz w:val="22"/>
        </w:rPr>
        <w:t>dois quadrimestres imediatamente seguintes</w:t>
      </w:r>
      <w:r>
        <w:rPr>
          <w:rFonts w:ascii="Arial" w:hAnsi="Arial"/>
          <w:b w:val="0"/>
          <w:i w:val="0"/>
          <w:color w:val="111827"/>
          <w:sz w:val="22"/>
        </w:rPr>
        <w:t xml:space="preserve">, devendo ser eliminado </w:t>
      </w:r>
      <w:r>
        <w:rPr>
          <w:rFonts w:ascii="Arial" w:hAnsi="Arial"/>
          <w:b/>
          <w:i w:val="0"/>
          <w:color w:val="111827"/>
          <w:sz w:val="22"/>
        </w:rPr>
        <w:t>pelo menos um terço (1/3) no primeiro quadrimestre</w:t>
      </w:r>
      <w:r>
        <w:rPr>
          <w:rFonts w:ascii="Arial" w:hAnsi="Arial"/>
          <w:b w:val="0"/>
          <w:i w:val="0"/>
          <w:color w:val="111827"/>
          <w:sz w:val="22"/>
        </w:rPr>
        <w:t xml:space="preserve"> (art. 23 da LRF).</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Medidas Sucessivas Obrigatórias do Art. 169, §§ 3º e 4º da CF/88:</w:t>
      </w:r>
    </w:p>
    <w:p>
      <w:pPr>
        <w:spacing w:line="276" w:lineRule="auto" w:before="20" w:after="40"/>
        <w:ind w:left="992"/>
      </w:pPr>
      <w:r>
        <w:rPr>
          <w:rFonts w:ascii="Arial" w:hAnsi="Arial"/>
          <w:b/>
          <w:color w:val="1B365D"/>
          <w:sz w:val="22"/>
        </w:rPr>
        <w:t xml:space="preserve">1. </w:t>
      </w:r>
      <w:r>
        <w:rPr>
          <w:rFonts w:ascii="Arial" w:hAnsi="Arial"/>
          <w:b/>
          <w:i w:val="0"/>
          <w:color w:val="111827"/>
          <w:sz w:val="22"/>
        </w:rPr>
        <w:t>1º Passo:</w:t>
      </w:r>
      <w:r>
        <w:rPr>
          <w:rFonts w:ascii="Arial" w:hAnsi="Arial"/>
          <w:b w:val="0"/>
          <w:i w:val="0"/>
          <w:color w:val="111827"/>
          <w:sz w:val="22"/>
        </w:rPr>
        <w:t xml:space="preserve"> Redução de pelo menos </w:t>
      </w:r>
      <w:r>
        <w:rPr>
          <w:rFonts w:ascii="Arial" w:hAnsi="Arial"/>
          <w:b/>
          <w:i w:val="0"/>
          <w:color w:val="111827"/>
          <w:sz w:val="22"/>
        </w:rPr>
        <w:t>20% (vinte por cento)</w:t>
      </w:r>
      <w:r>
        <w:rPr>
          <w:rFonts w:ascii="Arial" w:hAnsi="Arial"/>
          <w:b w:val="0"/>
          <w:i w:val="0"/>
          <w:color w:val="111827"/>
          <w:sz w:val="22"/>
        </w:rPr>
        <w:t xml:space="preserve"> das despesas com cargos em comissão e funções de confiança;</w:t>
      </w:r>
    </w:p>
    <w:p>
      <w:pPr>
        <w:spacing w:line="276" w:lineRule="auto" w:before="20" w:after="40"/>
        <w:ind w:left="992"/>
      </w:pPr>
      <w:r>
        <w:rPr>
          <w:rFonts w:ascii="Arial" w:hAnsi="Arial"/>
          <w:b/>
          <w:color w:val="1B365D"/>
          <w:sz w:val="22"/>
        </w:rPr>
        <w:t xml:space="preserve">2. </w:t>
      </w:r>
      <w:r>
        <w:rPr>
          <w:rFonts w:ascii="Arial" w:hAnsi="Arial"/>
          <w:b/>
          <w:i w:val="0"/>
          <w:color w:val="111827"/>
          <w:sz w:val="22"/>
        </w:rPr>
        <w:t>2º Passo:</w:t>
      </w:r>
      <w:r>
        <w:rPr>
          <w:rFonts w:ascii="Arial" w:hAnsi="Arial"/>
          <w:b w:val="0"/>
          <w:i w:val="0"/>
          <w:color w:val="111827"/>
          <w:sz w:val="22"/>
        </w:rPr>
        <w:t xml:space="preserve"> Exoneração dos servidores públicos </w:t>
      </w:r>
      <w:r>
        <w:rPr>
          <w:rFonts w:ascii="Arial" w:hAnsi="Arial"/>
          <w:b/>
          <w:i w:val="0"/>
          <w:color w:val="111827"/>
          <w:sz w:val="22"/>
        </w:rPr>
        <w:t>não estáveis</w:t>
      </w:r>
      <w:r>
        <w:rPr>
          <w:rFonts w:ascii="Arial" w:hAnsi="Arial"/>
          <w:b w:val="0"/>
          <w:i w:val="0"/>
          <w:color w:val="111827"/>
          <w:sz w:val="22"/>
        </w:rPr>
        <w:t xml:space="preserve"> (admitidos sem concurso antes da CF/88 ou em estágio probatório);</w:t>
      </w:r>
    </w:p>
    <w:p>
      <w:pPr>
        <w:spacing w:line="276" w:lineRule="auto" w:before="20" w:after="40"/>
        <w:ind w:left="992"/>
      </w:pPr>
      <w:r>
        <w:rPr>
          <w:rFonts w:ascii="Arial" w:hAnsi="Arial"/>
          <w:b/>
          <w:color w:val="1B365D"/>
          <w:sz w:val="22"/>
        </w:rPr>
        <w:t xml:space="preserve">3. </w:t>
      </w:r>
      <w:r>
        <w:rPr>
          <w:rFonts w:ascii="Arial" w:hAnsi="Arial"/>
          <w:b/>
          <w:i w:val="0"/>
          <w:color w:val="111827"/>
          <w:sz w:val="22"/>
        </w:rPr>
        <w:t>3º Passo:</w:t>
      </w:r>
      <w:r>
        <w:rPr>
          <w:rFonts w:ascii="Arial" w:hAnsi="Arial"/>
          <w:b w:val="0"/>
          <w:i w:val="0"/>
          <w:color w:val="111827"/>
          <w:sz w:val="22"/>
        </w:rPr>
        <w:t xml:space="preserve"> Se as duas medidas anteriores forem insuficientes, poderá haver a </w:t>
      </w:r>
      <w:r>
        <w:rPr>
          <w:rFonts w:ascii="Arial" w:hAnsi="Arial"/>
          <w:b/>
          <w:i w:val="0"/>
          <w:color w:val="111827"/>
          <w:sz w:val="22"/>
        </w:rPr>
        <w:t>demissão de servidores públicos estáveis</w:t>
      </w:r>
      <w:r>
        <w:rPr>
          <w:rFonts w:ascii="Arial" w:hAnsi="Arial"/>
          <w:b w:val="0"/>
          <w:i w:val="0"/>
          <w:color w:val="111827"/>
          <w:sz w:val="22"/>
        </w:rPr>
        <w:t>, mediante processo administrativo individual fundamentado, cabendo ao servidor indenização pecuniária correspondente a 1 (um) mês de remuneração por ano de serviço prestado.</w:t>
      </w:r>
    </w:p>
    <w:p>
      <w:pPr>
        <w:keepNext/>
        <w:spacing w:before="200" w:after="80"/>
      </w:pPr>
      <w:r>
        <w:rPr>
          <w:rFonts w:ascii="Arial" w:hAnsi="Arial"/>
          <w:b/>
          <w:i w:val="0"/>
          <w:color w:val="2B6CB0"/>
          <w:sz w:val="24"/>
        </w:rPr>
        <w:t>4. Endividamento, Regra de Ouro, ARO e Vedações de Fim de Mandato</w:t>
      </w:r>
    </w:p>
    <w:p>
      <w:pPr>
        <w:keepNext/>
        <w:spacing w:before="120" w:after="40"/>
      </w:pPr>
      <w:r>
        <w:rPr>
          <w:rFonts w:ascii="Arial" w:hAnsi="Arial"/>
          <w:b/>
          <w:i/>
          <w:color w:val="334155"/>
          <w:sz w:val="22"/>
        </w:rPr>
        <w:t>4.1 A Regra de Ouro Orçamentária (Art. 167, III da CF/88)</w:t>
      </w:r>
    </w:p>
    <w:p>
      <w:pPr>
        <w:spacing w:line="360" w:lineRule="auto" w:before="0" w:after="80"/>
        <w:jc w:val="both"/>
      </w:pPr>
      <w:r>
        <w:rPr>
          <w:rFonts w:ascii="Arial" w:hAnsi="Arial"/>
          <w:b w:val="0"/>
          <w:i w:val="0"/>
          <w:color w:val="111827"/>
          <w:sz w:val="24"/>
        </w:rPr>
        <w:t>A Constituição Federal consagra a célebre "Regra de Ouro" das finanças públicas:</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\text{Operações de Crédito Realizadas no Exercício} \le \text{Despesas de Capital Fixadas na LOA}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Objetivo Econômico:</w:t>
      </w:r>
      <w:r>
        <w:rPr>
          <w:rFonts w:ascii="Arial" w:hAnsi="Arial"/>
          <w:b w:val="0"/>
          <w:i w:val="0"/>
          <w:color w:val="111827"/>
          <w:sz w:val="22"/>
        </w:rPr>
        <w:t xml:space="preserve"> Impedir que o governante contraia empréstimos públicos ou emita títulos soberanos para pagar despesas correntes de manutenção (salários e diárias), endividando as gerações futuras sem criar capital ou infraestrutura física durável.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Ressalva Constitucional:</w:t>
      </w:r>
      <w:r>
        <w:rPr>
          <w:rFonts w:ascii="Arial" w:hAnsi="Arial"/>
          <w:b w:val="0"/>
          <w:i w:val="0"/>
          <w:color w:val="111827"/>
          <w:sz w:val="22"/>
        </w:rPr>
        <w:t xml:space="preserve"> É admitida a realização de operações de crédito em montante superior às despesas de capital caso seja autorizada pelo Poder Legislativo mediante </w:t>
      </w:r>
      <w:r>
        <w:rPr>
          <w:rFonts w:ascii="Arial" w:hAnsi="Arial"/>
          <w:b/>
          <w:i w:val="0"/>
          <w:color w:val="111827"/>
          <w:sz w:val="22"/>
        </w:rPr>
        <w:t>créditos adicionais suplementares ou especiais com finalidade precisa</w:t>
      </w:r>
      <w:r>
        <w:rPr>
          <w:rFonts w:ascii="Arial" w:hAnsi="Arial"/>
          <w:b w:val="0"/>
          <w:i w:val="0"/>
          <w:color w:val="111827"/>
          <w:sz w:val="22"/>
        </w:rPr>
        <w:t xml:space="preserve">, aprovados por </w:t>
      </w:r>
      <w:r>
        <w:rPr>
          <w:rFonts w:ascii="Arial" w:hAnsi="Arial"/>
          <w:b/>
          <w:i w:val="0"/>
          <w:color w:val="111827"/>
          <w:sz w:val="22"/>
        </w:rPr>
        <w:t>maioria absoluta</w:t>
      </w:r>
      <w:r>
        <w:rPr>
          <w:rFonts w:ascii="Arial" w:hAnsi="Arial"/>
          <w:b w:val="0"/>
          <w:i w:val="0"/>
          <w:color w:val="111827"/>
          <w:sz w:val="22"/>
        </w:rPr>
        <w:t xml:space="preserve"> dos votos dos membros do parlamento.</w:t>
      </w:r>
    </w:p>
    <w:p>
      <w:pPr>
        <w:keepNext/>
        <w:spacing w:before="120" w:after="40"/>
      </w:pPr>
      <w:r>
        <w:rPr>
          <w:rFonts w:ascii="Arial" w:hAnsi="Arial"/>
          <w:b/>
          <w:i/>
          <w:color w:val="334155"/>
          <w:sz w:val="22"/>
        </w:rPr>
        <w:t>4.2 Regime das Operações de Crédito por ARO (Art. 38)</w:t>
      </w:r>
    </w:p>
    <w:p>
      <w:pPr>
        <w:spacing w:line="360" w:lineRule="auto" w:before="0" w:after="80"/>
        <w:jc w:val="both"/>
      </w:pPr>
      <w:r>
        <w:rPr>
          <w:rFonts w:ascii="Arial" w:hAnsi="Arial"/>
          <w:b w:val="0"/>
          <w:i w:val="0"/>
          <w:color w:val="111827"/>
          <w:sz w:val="24"/>
        </w:rPr>
        <w:t>A Antecipação de Receita Orçamentária (ARO) é uma operação de crédito de curto prazo autorizada pelo art. 165, § 8º da CF/88 e regulada estritamente pelo art. 38 da LRF:</w:t>
      </w:r>
    </w:p>
    <w:p>
      <w:pPr>
        <w:spacing w:line="276" w:lineRule="auto" w:before="20" w:after="40"/>
        <w:ind w:left="425"/>
      </w:pPr>
      <w:r>
        <w:rPr>
          <w:rFonts w:ascii="Arial" w:hAnsi="Arial"/>
          <w:b/>
          <w:color w:val="2B6CB0"/>
          <w:sz w:val="22"/>
        </w:rPr>
        <w:t xml:space="preserve">• </w:t>
      </w:r>
      <w:r>
        <w:rPr>
          <w:rFonts w:ascii="Arial" w:hAnsi="Arial"/>
          <w:b/>
          <w:i w:val="0"/>
          <w:color w:val="111827"/>
          <w:sz w:val="22"/>
        </w:rPr>
        <w:t>Finalidade Exclusiva:</w:t>
      </w:r>
      <w:r>
        <w:rPr>
          <w:rFonts w:ascii="Arial" w:hAnsi="Arial"/>
          <w:b w:val="0"/>
          <w:i w:val="0"/>
          <w:color w:val="111827"/>
          <w:sz w:val="22"/>
        </w:rPr>
        <w:t xml:space="preserve"> Suprir insuficiência passageira de caixa ao longo do exercício orçamentário;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Prazo Fatal de Resgate:</w:t>
      </w:r>
      <w:r>
        <w:rPr>
          <w:rFonts w:ascii="Arial" w:hAnsi="Arial"/>
          <w:b w:val="0"/>
          <w:i w:val="0"/>
          <w:color w:val="111827"/>
          <w:sz w:val="22"/>
        </w:rPr>
        <w:t xml:space="preserve"> Deve ser integralmente liquidada, com juros e encargos contratuais, </w:t>
      </w:r>
      <w:r>
        <w:rPr>
          <w:rFonts w:ascii="Arial" w:hAnsi="Arial"/>
          <w:b/>
          <w:i w:val="0"/>
          <w:color w:val="111827"/>
          <w:sz w:val="22"/>
        </w:rPr>
        <w:t>até o dia 10 de dezembro de cada ano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Proibições Insuperáveis: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proibida nova ARO enquanto existir outra da mesma natureza pendente de liquidação integral;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w:t>
      </w:r>
      <w:r>
        <w:rPr>
          <w:rFonts w:ascii="Arial" w:hAnsi="Arial"/>
          <w:b/>
          <w:i w:val="0"/>
          <w:color w:val="111827"/>
          <w:sz w:val="22"/>
        </w:rPr>
        <w:t>terminantemente proibida no último ano de mandato</w:t>
      </w:r>
      <w:r>
        <w:rPr>
          <w:rFonts w:ascii="Arial" w:hAnsi="Arial"/>
          <w:b w:val="0"/>
          <w:i w:val="0"/>
          <w:color w:val="111827"/>
          <w:sz w:val="22"/>
        </w:rPr>
        <w:t xml:space="preserve"> do governante.</w:t>
      </w:r>
    </w:p>
    <w:p>
      <w:pPr>
        <w:keepNext/>
        <w:spacing w:before="120" w:after="40"/>
      </w:pPr>
      <w:r>
        <w:rPr>
          <w:rFonts w:ascii="Arial" w:hAnsi="Arial"/>
          <w:b/>
          <w:i/>
          <w:color w:val="334155"/>
          <w:sz w:val="22"/>
        </w:rPr>
        <w:t>4.3 As Restrições Severas de Final de Mandato (Arts. 21 e 42 da LRF)</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Artigo 42 da LRF (Últimos 8 Meses do Mandato):</w:t>
      </w:r>
      <w:r>
        <w:rPr>
          <w:rFonts w:ascii="Arial" w:hAnsi="Arial"/>
          <w:b w:val="0"/>
          <w:i w:val="0"/>
          <w:color w:val="111827"/>
          <w:sz w:val="22"/>
        </w:rPr>
        <w:t xml:space="preserve"> É vedado ao titular de Poder ou órgão, nos últimos dois quadrimestres do seu mandato, contrair obrigação de despesa que não possa ser cumprida integralmente dentro dele, ou que tenha parcelas a serem pagas no exercício seguinte sem que haja suficiente disponibilidade de caixa para este efeito. O descumprimento sujeita o governante ao crime do art. 359-C do Código Penal (pena de reclusão de 1 a 4 anos).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Artigo 21, Parágrafo Único da LRF (Últimos 180 Dias):</w:t>
      </w:r>
      <w:r>
        <w:rPr>
          <w:rFonts w:ascii="Arial" w:hAnsi="Arial"/>
          <w:b w:val="0"/>
          <w:i w:val="0"/>
          <w:color w:val="111827"/>
          <w:sz w:val="22"/>
        </w:rPr>
        <w:t xml:space="preserve"> É nulo de pleno direito o ato que resulte em aumento da despesa com pessoal editado nos cento e oitenta dias anteriores ao final do mandato do titular do respectivo Poder ou órgão. O descumprimento configura o crime do art. 359-G do Código Penal.</w:t>
      </w:r>
    </w:p>
    <w:p>
      <w:pPr>
        <w:keepNext/>
        <w:spacing w:before="280" w:after="120"/>
      </w:pPr>
      <w:r>
        <w:rPr>
          <w:rFonts w:ascii="Arial" w:hAnsi="Arial"/>
          <w:b/>
          <w:i w:val="0"/>
          <w:color w:val="2C5282"/>
          <w:sz w:val="28"/>
        </w:rPr>
        <w:t>🌐 Fontes Oficiais &amp; Normativas Recomendadas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Complementar Federal nº 101/2000 (Lei de Responsabilidade Fiscal)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Arts. 15 a 24 (Despesa Pública e Pessoal) e Arts. 29 a 42 (Dívida, ARO e Fim de Mandato).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da República Federativa do Brasil de 1988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 167, III (Regra de Ouro) e Art. 169 (Limites Constitucionais e Medidas de Redução de Pessoal).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Demonstrativos Fiscais (MDF) - 14ª Edição (STN)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Metodologia de cálculo da Receita Corrente Líquida e elaboração do RREO e RGF.</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Código Penal Brasileiro - Crimes Contra as Finanças Públicas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Arts. 359-A a 359-H (inseridos pela Lei Federal nº 10.028/2000).</w:t>
      </w:r>
    </w:p>
    <w:p>
      <w:pPr>
        <w:keepNext/>
        <w:spacing w:before="280" w:after="120"/>
      </w:pPr>
      <w:r>
        <w:rPr>
          <w:rFonts w:ascii="Arial" w:hAnsi="Arial"/>
          <w:b/>
          <w:i w:val="0"/>
          <w:color w:val="2C5282"/>
          <w:sz w:val="28"/>
        </w:rPr>
        <w:t>📝 Questões Comentadas no Padrão FCC</w:t>
      </w:r>
    </w:p>
    <w:p>
      <w:pPr>
        <w:keepNext/>
        <w:spacing w:before="200" w:after="80"/>
      </w:pPr>
      <w:r>
        <w:rPr>
          <w:rFonts w:ascii="Arial" w:hAnsi="Arial"/>
          <w:b/>
          <w:i w:val="0"/>
          <w:color w:val="2B6CB0"/>
          <w:sz w:val="24"/>
        </w:rPr>
        <w:t>Questão 1 (FCC - Adaptada / TCE-PI - Auditor de Controle Externo)</w:t>
      </w:r>
    </w:p>
    <w:p>
      <w:pPr>
        <w:spacing w:line="360" w:lineRule="auto" w:before="0" w:after="80"/>
        <w:jc w:val="both"/>
      </w:pPr>
      <w:r>
        <w:rPr>
          <w:rFonts w:ascii="Arial" w:hAnsi="Arial"/>
          <w:b w:val="0"/>
          <w:i w:val="0"/>
          <w:color w:val="111827"/>
          <w:sz w:val="24"/>
        </w:rPr>
        <w:t>Determinado Estado da Federação, ao apurar o Relatório de Gestão Fiscal (RGF) ao término do segundo quadrimestre, verificou que as despesas com pessoal do Poder Executivo atingiram 96% do limite máximo legalmente fixado pela Lei de Responsabilidade Fiscal.</w:t>
      </w:r>
    </w:p>
    <w:p>
      <w:pPr>
        <w:spacing w:line="360" w:lineRule="auto" w:before="0" w:after="80"/>
        <w:jc w:val="both"/>
      </w:pPr>
      <w:r>
        <w:rPr>
          <w:rFonts w:ascii="Arial" w:hAnsi="Arial"/>
          <w:b w:val="0"/>
          <w:i w:val="0"/>
          <w:color w:val="111827"/>
          <w:sz w:val="24"/>
        </w:rPr>
        <w:t>Diante da constatação da superação do limite prudencial, o Governador do Estado: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Deverá ser sumariamente afastado do cargo pelo Tribunal de Contas por crime de responsabilidade contra as finanças públicas.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Poderá nomear novos servidores aprovados em concurso público para cargos administrativos recém-criados, desde que não haja impacto financeiro no exercício.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Ficará impedido de conceder vantagem, aumento, reajuste ou adequação de remuneração a qualquer título aos servidores públicos, ressalvada a revisão geral anual.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Terá o prazo de quatro quadrimestres para reconduzir a despesa ao limite prudencial, devendo demitir compulsoriamente os servidores estáveis no primeiro mês.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Ficará automaticamente autorizado a contrair operações de crédito por antecipação de receita orçamentária para saldar a folha de pagamento.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Tribunal de Contas não tem competência para decretar monocraticamente o afastamento sumário de governadores em virtude do atingimento do limite prudencial.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art. 22, parágrafo único, IV da LRF proíbe expressamente o provimento de cargos públicos e contratação de pessoal quando atingido o limite prudencial, abrindo exceção apenas para reposição em saúde, educação e segurança por morte ou aposentadoria.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Ao ultrapassar o limite prudencial de 95% do teto máximo de pessoal, disparam-se automaticamente as vedações do art. 22, parágrafo único da LRF, dentre as quais a vedação categórica de concessão de vantagens, aumentos ou reajustes de remuneração, ressalvada tão somente a revisão geral anual do art. 37, X da CF/88.</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prazo de recondução de dois quadrimestres aplica-se à superação do limite total (100%), e a demissão de estáveis é a última das medidas extremas do art. 169 da CF.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É vedada a contratação de ARO para financiar despesas de pessoal.</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Adaptada / TCE-RS - Auditor de Controle Externo)</w:t>
      </w:r>
    </w:p>
    <w:p>
      <w:pPr>
        <w:spacing w:line="360" w:lineRule="auto" w:before="0" w:after="80"/>
        <w:jc w:val="both"/>
      </w:pPr>
      <w:r>
        <w:rPr>
          <w:rFonts w:ascii="Arial" w:hAnsi="Arial"/>
          <w:b w:val="0"/>
          <w:i w:val="0"/>
          <w:color w:val="111827"/>
          <w:sz w:val="24"/>
        </w:rPr>
        <w:t>A respeito das regras atinentes às Operações de Crédito por Antecipação de Receita Orçamentária (ARO) e às vedações do final de mandato disciplinadas na Lei Complementar nº 101/2000 (LRF),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ARO pode ser contratada a qualquer momento do último ano de mandato do governante, desde que aprovada por dois terços dos membros do Poder Legislativo.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operação de crédito por ARO destina-se a financiar despesas de capital de longo prazo, devendo ser amortizada no prazo de trinta e seis meses.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É vedado ao titular de Poder contrair obrigação de despesa nos últimos dois quadrimestres do seu mandato sem que haja suficiente disponibilidade de caixa para o seu pagamento.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liquidação da ARO poderá ser postergada para o exercício seguinte caso a arrecadação tributária no mês de dezembro fique abaixo da média anual.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realização de ARO dispensa a cobrança de juros bancários por se tratar de operação de curto prazo de assistência mútua federativa.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art. 38, IV, "b" da LRF proíbe terminantemente a contratação de operações por ARO no último ano de mandato do governante.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ARO é mecanismo de curto prazo para cobrir insuficiência momentânea de fluxo de caixa, e não para financiar despesas de capital de longo prazo.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Trata-se da regra expressa do art. 42 da LRF: é vedado ao governante, nos últimos dois quadrimestres do mandato (últimos 8 meses), assumir obrigação financeira que não possa ser paga dentro dele ou que deixe parcelas para o ano seguinte sem suficiente saldo de caixa disponível.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data de resgate final da ARO é improrrogável: deve ser liquidada até o dia 10 de dezembro do mesmo exercício financeiro.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Operações de crédito bancário de ARO sujeitam-se às taxas de juros contratuais de mercado.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3 (FCC - Adaptada / Analista de Controle Externo - TCE-GO)</w:t>
      </w:r>
    </w:p>
    <w:p>
      <w:pPr>
        <w:spacing w:line="360" w:lineRule="auto" w:before="0" w:after="80"/>
        <w:jc w:val="both"/>
      </w:pPr>
      <w:r>
        <w:rPr>
          <w:rFonts w:ascii="Arial" w:hAnsi="Arial"/>
          <w:b w:val="0"/>
          <w:i w:val="0"/>
          <w:color w:val="111827"/>
          <w:sz w:val="24"/>
        </w:rPr>
        <w:t>Consoante as normas da Lei de Responsabilidade Fiscal (LC nº 101/2000), a despesa total com pessoal do Poder Legislativo do Estado de Goiás, incluído o Tribunal de Contas do Estado, não poderá exceder determinado percentual da Receita Corrente Líquida (RCL).</w:t>
      </w:r>
    </w:p>
    <w:p>
      <w:pPr>
        <w:spacing w:line="360" w:lineRule="auto" w:before="0" w:after="80"/>
        <w:jc w:val="both"/>
      </w:pPr>
      <w:r>
        <w:rPr>
          <w:rFonts w:ascii="Arial" w:hAnsi="Arial"/>
          <w:b w:val="0"/>
          <w:i w:val="0"/>
          <w:color w:val="111827"/>
          <w:sz w:val="24"/>
        </w:rPr>
        <w:t>A fatia global reservada pela LRF e sua respectiva repartição entre os órgãos do Legislativo goiano é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6,0% da RCL, sendo 3,0% para a Assembleia Legislativa e 3,0% para o Tribunal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3,0% da RCL, sendo 1,8% para a Assembleia Legislativa e 1,2% para o Tribunal de Contas do Estado (TCE-GO).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2,0% da RCL, sendo 1,0% para a Assembleia Legislativa e 1,0% para o Tribunal de Contas do Estado.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3,0% da RCL, cabendo 2,0% à Assembleia Legislativa e 1,0% ao Tribunal de Contas do Estado.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4,0% da RCL, com repartição disciplinada discricionariamente por ato conjunto dos Presidentes dos órgãos.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limite global estadual do Legislativo é de 3% (o limite de 6% é aplicável às Câmaras Municipais).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o art. 20, inciso II, alínea "a" da Lei de Responsabilidade Fiscal, a cota de 3,0% da Receita Corrente Líquida destinada ao Poder Legislativo Estadual é repartida em 1,8% para a Assembleia Legislativa e 1,2% para o Tribunal de Contas do Estado (TCE-GO).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limite de 2,0% pertence ao Ministério Público Estadual.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repartição legal correta é exatamente 1,8% para a ALEGO e 1,2% para o TCE-GO.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repartição decorre de norma expressa da lei complementar nacional, não de ato discricionário interno.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Técnico de Controle Externo)</w:t>
      </w:r>
    </w:p>
    <w:p>
      <w:pPr>
        <w:spacing w:line="360" w:lineRule="auto" w:before="0" w:after="80"/>
        <w:jc w:val="both"/>
      </w:pPr>
      <w:r>
        <w:rPr>
          <w:rFonts w:ascii="Arial" w:hAnsi="Arial"/>
          <w:b w:val="0"/>
          <w:i w:val="0"/>
          <w:color w:val="111827"/>
          <w:sz w:val="24"/>
        </w:rPr>
        <w:t>Ao término do primeiro quadrimestre do exercício, a unidade técnica do Tribunal de Contas apurou que as despesas com pessoal da Assembleia Legislativa atingiram 92% do seu limite máximo legal.</w:t>
      </w:r>
    </w:p>
    <w:p>
      <w:pPr>
        <w:spacing w:line="360" w:lineRule="auto" w:before="0" w:after="80"/>
        <w:jc w:val="both"/>
      </w:pPr>
      <w:r>
        <w:rPr>
          <w:rFonts w:ascii="Arial" w:hAnsi="Arial"/>
          <w:b w:val="0"/>
          <w:i w:val="0"/>
          <w:color w:val="111827"/>
          <w:sz w:val="24"/>
        </w:rPr>
        <w:t>Nos termos do artigo 59, § 1º, inciso II da Lei Complementar nº 101/2000, diante dessa situação fática, compete ao Tribunal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Determinar a imediata demissão de servidores comissionados para recomposição das metas fiscais.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Emitir alerta formal ao Poder Legislativo informando que o montante da despesa com pessoal ultrapassou 90% do limite máximo legal.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Declarar a indisponibilidade dos bens do Presidente da Mesa Diretora da Casa Legislativa.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Proibir o Poder Executivo de realizar o repasse do duodécimo orçamentário constitucional.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Decretar intervenção fiscal no parlamento com nomeação de interventor econômico.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redução de 20% das comissões só é exigível após o transcurso do prazo de descumprimento do limite total (100%).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Conforme o art. 59, § 1º, II da LRF, o Tribunal de Contas alertará formalmente o respectivo Poder ou órgão sempre que constatar que o montante da despesa total com pessoal ultrapassou 90% do limite máximo (Limite de Alerta). Tendo atingido 92%, a medida técnica imediata é a expedição de Alerta.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Medida cautelar patrimonial desproporcional e inexistente para mera situação de alerta.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repasse dos duodécimos constitucionais até o dia 20 de cada mês (art. 168 da CF) é imperativo e insuscetível de retenção unilateral.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Inexiste figura de intervenção fiscal no parlamento pelo órgão de contas.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Adaptada / Analista de Planejamento e Orçamento)</w:t>
      </w:r>
    </w:p>
    <w:p>
      <w:pPr>
        <w:spacing w:line="360" w:lineRule="auto" w:before="0" w:after="80"/>
        <w:jc w:val="both"/>
      </w:pPr>
      <w:r>
        <w:rPr>
          <w:rFonts w:ascii="Arial" w:hAnsi="Arial"/>
          <w:b w:val="0"/>
          <w:i w:val="0"/>
          <w:color w:val="111827"/>
          <w:sz w:val="24"/>
        </w:rPr>
        <w:t>Determinado Secretário de Estado pretende criar um novo programa social continuado de concessão de bolsas financeiras mensais a estudantes do ensino médio da rede pública estadual, com vigência estimada por tempo indeterminado.</w:t>
      </w:r>
    </w:p>
    <w:p>
      <w:pPr>
        <w:spacing w:line="360" w:lineRule="auto" w:before="0" w:after="80"/>
        <w:jc w:val="both"/>
      </w:pPr>
      <w:r>
        <w:rPr>
          <w:rFonts w:ascii="Arial" w:hAnsi="Arial"/>
          <w:b w:val="0"/>
          <w:i w:val="0"/>
          <w:color w:val="111827"/>
          <w:sz w:val="24"/>
        </w:rPr>
        <w:t>Nos termos do artigo 17 da Lei de Responsabilidade Fiscal, por se tratar de Despesa Obrigatória de Caráter Continuado (DOCC), a criação desse programa exige: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Mera autorização na Lei Orçamentária Anual vigente, dispensando qualquer compensação financeira.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Estimativa do impacto orçamentário-financeiro no exercício em que deva entrar em vigor e nos dois subsequentes, comprovação de que a despesa não afetará as metas de resultados fiscais e compensação permanente pelo aumento de receita ou redução permanente de despesa.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Aprovação prévia unânime do Tribunal de Contas do Estado em sessão plenária extraordinária.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Demonstração de superávit orçamentário no balanço geral da União dos últimos cinco exercícios.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Declaração de nulidade de todos os contratos temporários em vigor na Secretaria de Educação.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DOCC impõe condicionantes rigorosas de validade que vão muito além da simples inclusão na LOA.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art. 17 da LRF define que os atos que criarem ou aumentarem Despesa Obrigatória de Caráter Continuado (vigência superior a 2 anos) devem ser instruídos com estimativa de impacto orçamentário-financeiro no exercício de vigência e nos dois seguintes (triênio fiscal), declaração de compatibilidade com PPA/LDO/LOA, demonstração de não afetação de metas e compensação contínua permanente por aumento permanente de receitas ou redução permanente de outras despesas.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atuação dos Tribunais de Contas é de controle externo concomitante e a posteriori, não cabendo aprovação unânime prévia de projetos de governo.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programa é estadual e sua compensação opera-se dentro das finanças do próprio Estado de Goiás.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Inexiste qualquer exigência de rescisão arbitrária de contratos temporários regulares.</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01 - NBC TSP Estrutura Conceitual e Normas Gerais no Setor Público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Contabilidade Aplicada ao Setor Público (CASP)</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01_nbc_tsp_estrutura_conceitual_e_normas_gerais.md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Normas Brasileiras de Contabilidade Aplicadas ao Setor Público (NBC TSP): processo de convergência às normas internacionais IPSAS (</w:t>
      </w:r>
      <w:r>
        <w:rPr>
          <w:rFonts w:ascii="Arial" w:hAnsi="Arial"/>
          <w:b w:val="0"/>
          <w:i/>
          <w:color w:val="111827"/>
          <w:sz w:val="22"/>
        </w:rPr>
        <w:t>International Public Sector Accounting Standards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NBC TSP Estrutura Conceitual: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Usuários primários da informação contábil governamental: cidadãos, seus representantes políticos (parlamentares e Tribunais de Contas) e provedores de recursos;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Objetivos dos Relatórios Contábeis de Propósito Geral das Entidades do Setor Público (RCPGs): prestação de contas (</w:t>
      </w:r>
      <w:r>
        <w:rPr>
          <w:rFonts w:ascii="Arial" w:hAnsi="Arial"/>
          <w:b w:val="0"/>
          <w:i/>
          <w:color w:val="111827"/>
          <w:sz w:val="22"/>
        </w:rPr>
        <w:t>accountability</w:t>
      </w:r>
      <w:r>
        <w:rPr>
          <w:rFonts w:ascii="Arial" w:hAnsi="Arial"/>
          <w:b w:val="0"/>
          <w:i w:val="0"/>
          <w:color w:val="111827"/>
          <w:sz w:val="22"/>
        </w:rPr>
        <w:t>) e tomada de decisão;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Características qualitativas da informação contábil: relevância, representação fidedigna, compreensibilidade, tempestividade, comparabilidade e verificabilidade;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Restrições inerentes à informação: materialidade, custo-benefício e alcance do equilíbrio entre características;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Elementos das demonstrações contábeis patrimoniais: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Ativo sob o enfoque patrimonial e o conceito distintivo de </w:t>
      </w:r>
      <w:r>
        <w:rPr>
          <w:rFonts w:ascii="Arial" w:hAnsi="Arial"/>
          <w:b/>
          <w:i w:val="0"/>
          <w:color w:val="111827"/>
          <w:sz w:val="22"/>
        </w:rPr>
        <w:t>potencial de serviços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Passivo, Situação Patrimonial Líquida, Receita (Variação Patrimonial Aumentativa - VPA) e Despesa (Variação Patrimonial Diminutiva - VPD) sob a ótica da competência pura;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Critérios e bases de mensuração de ativos e passivos: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Bases para Ativos: custo histórico, valor de mercado, custo de reposição ou substituição, preço líquido de venda e valor em uso;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Bases para Passivos: custo histórico, custo de cumprimento da obrigação, valor de mercado, custo de liberação e preço de assunção;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Visão geral das normas específicas fundamentais: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NBC TSP 03: Provisões, Passivos Contingentes e Ativos Contingentes (matriz de probabilidade de desembolso);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NBC TSP 04: Estoques e mensuração de itens mantidos para distribuição gratuita na rede pública;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NBC TSP 07: Ativo Imobilizado, mensuração e depreciação periódica;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NBC TSP 34: Sistema de Informação de Custos no Setor Público.</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O Enfoque Patrimonial da Contabilidade Pública e a Convergência IPSAS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Evolução: Do Enfoque Orçamentário ao Patrimonial Integrado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 Conceito Crítico de "Potencial de Serviços"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Usuários Primários e Objetivos Centrais dos RCPGs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Características Qualitativas da Informação Contábil Útil (NBC TSP EC)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As Seis Características Qualitativas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Restrições Inerentes: Custo-Benefício e Materialidade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Elementos das Demonstrações Contábeis e Bases de Mensuração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Elementos Patrimoniais: Ativo, Passivo, SPL, VPA e VPD</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Bases de Mensuração para Ativos e Passivos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Normas Específicas Fundamentais no Padrão FCC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Matriz de Provisões e Passivos Contingentes (NBC TSP 03)</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Mensuração de Estoques Públicos para Distribuição Gratuita (NBC TSP 04)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Ativo Imobilizado e Depreciação Sistemática (NBC TSP 07)</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&amp; Normativas Recomendadas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no Padrão FCC</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O Enfoque Patrimonial da Contabilidade Pública e a Convergência IPSAS</w:t>
      </w:r>
    </w:p>
    <w:p>
      <w:pPr>
        <w:keepNext/>
        <w:spacing w:before="120" w:after="40"/>
      </w:pPr>
      <w:r>
        <w:rPr>
          <w:rFonts w:ascii="Arial" w:hAnsi="Arial"/>
          <w:b/>
          <w:i/>
          <w:color w:val="334155"/>
          <w:sz w:val="22"/>
        </w:rPr>
        <w:t>1.1 Evolução: Do Enfoque Orçamentário ao Patrimonial Integrado</w:t>
      </w:r>
    </w:p>
    <w:p>
      <w:pPr>
        <w:spacing w:line="360" w:lineRule="auto" w:before="0" w:after="80"/>
        <w:jc w:val="both"/>
      </w:pPr>
      <w:r>
        <w:rPr>
          <w:rFonts w:ascii="Arial" w:hAnsi="Arial"/>
          <w:b w:val="0"/>
          <w:i w:val="0"/>
          <w:color w:val="111827"/>
          <w:sz w:val="24"/>
        </w:rPr>
        <w:t xml:space="preserve">Historicamente, a contabilidade governamental brasileira sob a égide da Lei Federal nº 4.320/1964 priorizou o </w:t>
      </w:r>
      <w:r>
        <w:rPr>
          <w:rFonts w:ascii="Arial" w:hAnsi="Arial"/>
          <w:b/>
          <w:i w:val="0"/>
          <w:color w:val="111827"/>
          <w:sz w:val="24"/>
        </w:rPr>
        <w:t>enfoque orçamentário</w:t>
      </w:r>
      <w:r>
        <w:rPr>
          <w:rFonts w:ascii="Arial" w:hAnsi="Arial"/>
          <w:b w:val="0"/>
          <w:i w:val="0"/>
          <w:color w:val="111827"/>
          <w:sz w:val="24"/>
        </w:rPr>
        <w:t xml:space="preserve"> (controle de legalidade de créditos, empenhos e arrecadação de tributos), adotando um regime misto: caixa para as receitas e competência para as despesas (art. 35 da Lei nº 4.320/1964).</w:t>
      </w:r>
    </w:p>
    <w:p>
      <w:pPr>
        <w:spacing w:line="360" w:lineRule="auto" w:before="0" w:after="80"/>
        <w:jc w:val="both"/>
      </w:pPr>
      <w:r>
        <w:rPr>
          <w:rFonts w:ascii="Arial" w:hAnsi="Arial"/>
          <w:b w:val="0"/>
          <w:i w:val="0"/>
          <w:color w:val="111827"/>
          <w:sz w:val="24"/>
        </w:rPr>
        <w:t>Com o processo de convergência às normas internacionais do setor público (</w:t>
      </w:r>
      <w:r>
        <w:rPr>
          <w:rFonts w:ascii="Arial" w:hAnsi="Arial"/>
          <w:b/>
          <w:i w:val="0"/>
          <w:color w:val="111827"/>
          <w:sz w:val="24"/>
        </w:rPr>
        <w:t>IPSAS</w:t>
      </w:r>
      <w:r>
        <w:rPr>
          <w:rFonts w:ascii="Arial" w:hAnsi="Arial"/>
          <w:b w:val="0"/>
          <w:i w:val="0"/>
          <w:color w:val="111827"/>
          <w:sz w:val="24"/>
        </w:rPr>
        <w:t xml:space="preserve"> - </w:t>
      </w:r>
      <w:r>
        <w:rPr>
          <w:rFonts w:ascii="Arial" w:hAnsi="Arial"/>
          <w:b w:val="0"/>
          <w:i/>
          <w:color w:val="111827"/>
          <w:sz w:val="24"/>
        </w:rPr>
        <w:t>International Public Sector Accounting Standards</w:t>
      </w:r>
      <w:r>
        <w:rPr>
          <w:rFonts w:ascii="Arial" w:hAnsi="Arial"/>
          <w:b w:val="0"/>
          <w:i w:val="0"/>
          <w:color w:val="111827"/>
          <w:sz w:val="24"/>
        </w:rPr>
        <w:t xml:space="preserve">), emitidas pelo </w:t>
      </w:r>
      <w:r>
        <w:rPr>
          <w:rFonts w:ascii="Arial" w:hAnsi="Arial"/>
          <w:b w:val="0"/>
          <w:i/>
          <w:color w:val="111827"/>
          <w:sz w:val="24"/>
        </w:rPr>
        <w:t>International Public Sector Accounting Standards Board</w:t>
      </w:r>
      <w:r>
        <w:rPr>
          <w:rFonts w:ascii="Arial" w:hAnsi="Arial"/>
          <w:b w:val="0"/>
          <w:i w:val="0"/>
          <w:color w:val="111827"/>
          <w:sz w:val="24"/>
        </w:rPr>
        <w:t xml:space="preserve"> (IPSASB) e traduzidas no Brasil pelo Conselho Federal de Contabilidade (CFC) como </w:t>
      </w:r>
      <w:r>
        <w:rPr>
          <w:rFonts w:ascii="Arial" w:hAnsi="Arial"/>
          <w:b/>
          <w:i w:val="0"/>
          <w:color w:val="111827"/>
          <w:sz w:val="24"/>
        </w:rPr>
        <w:t>NBC TSP</w:t>
      </w:r>
      <w:r>
        <w:rPr>
          <w:rFonts w:ascii="Arial" w:hAnsi="Arial"/>
          <w:b w:val="0"/>
          <w:i w:val="0"/>
          <w:color w:val="111827"/>
          <w:sz w:val="24"/>
        </w:rPr>
        <w:t xml:space="preserve"> em articulação com a Secretaria do Tesouro Nacional (STN), consolidou-se o </w:t>
      </w:r>
      <w:r>
        <w:rPr>
          <w:rFonts w:ascii="Arial" w:hAnsi="Arial"/>
          <w:b/>
          <w:i w:val="0"/>
          <w:color w:val="111827"/>
          <w:sz w:val="24"/>
        </w:rPr>
        <w:t>enfoque patrimonial pleno</w:t>
      </w:r>
      <w:r>
        <w:rPr>
          <w:rFonts w:ascii="Arial" w:hAnsi="Arial"/>
          <w:b w:val="0"/>
          <w:i w:val="0"/>
          <w:color w:val="111827"/>
          <w:sz w:val="24"/>
        </w:rPr>
        <w:t>:</w:t>
      </w:r>
    </w:p>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registro contábil patrimonial independe da execução orçamentária: o reconhecimento de bens, direitos e obrigações ocorre no momento do </w:t>
      </w:r>
      <w:r>
        <w:rPr>
          <w:rFonts w:ascii="Arial" w:hAnsi="Arial"/>
          <w:b/>
          <w:i w:val="0"/>
          <w:color w:val="111827"/>
          <w:sz w:val="22"/>
        </w:rPr>
        <w:t>fato gerador</w:t>
      </w:r>
      <w:r>
        <w:rPr>
          <w:rFonts w:ascii="Arial" w:hAnsi="Arial"/>
          <w:b w:val="0"/>
          <w:i w:val="0"/>
          <w:color w:val="111827"/>
          <w:sz w:val="22"/>
        </w:rPr>
        <w:t xml:space="preserve"> (regime de competência), gerando Variações Patrimoniais Aumentativas (VPA) e Variações Patrimoniais Diminutivas (VPD);</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dimensão orçamentária e a patrimonial coexistem de forma harmônica e integrada por meio do Plano de Contas Aplicado ao Setor Público (PCASP).</w:t>
      </w:r>
    </w:p>
    <w:p>
      <w:pPr>
        <w:keepNext/>
        <w:spacing w:before="120" w:after="40"/>
      </w:pPr>
      <w:r>
        <w:rPr>
          <w:rFonts w:ascii="Arial" w:hAnsi="Arial"/>
          <w:b/>
          <w:i/>
          <w:color w:val="334155"/>
          <w:sz w:val="22"/>
        </w:rPr>
        <w:t>1.2 O Conceito Crítico de "Potencial de Serviços"</w:t>
      </w:r>
    </w:p>
    <w:p>
      <w:pPr>
        <w:spacing w:line="360" w:lineRule="auto" w:before="0" w:after="80"/>
        <w:jc w:val="both"/>
      </w:pPr>
      <w:r>
        <w:rPr>
          <w:rFonts w:ascii="Arial" w:hAnsi="Arial"/>
          <w:b w:val="0"/>
          <w:i w:val="0"/>
          <w:color w:val="111827"/>
          <w:sz w:val="24"/>
        </w:rPr>
        <w:t>No setor empresarial privado, um item é classificado como ativo porque tem o potencial de gerar lucros e fluxos futuros de caixa positivos para os acionistas.</w:t>
      </w:r>
    </w:p>
    <w:p>
      <w:pPr>
        <w:spacing w:line="360" w:lineRule="auto" w:before="0" w:after="80"/>
        <w:jc w:val="both"/>
      </w:pPr>
      <w:r>
        <w:rPr>
          <w:rFonts w:ascii="Arial" w:hAnsi="Arial"/>
          <w:b w:val="0"/>
          <w:i w:val="0"/>
          <w:color w:val="111827"/>
          <w:sz w:val="24"/>
        </w:rPr>
        <w:t xml:space="preserve">No setor público, a grande maioria dos ativos controlados pelo Estado (escolas públicas, postos de saúde, pontes, praças, viaturas policiais e sistemas de esgoto) não se destina a gerar lucro financeiro, mas sim a </w:t>
      </w:r>
      <w:r>
        <w:rPr>
          <w:rFonts w:ascii="Arial" w:hAnsi="Arial"/>
          <w:b/>
          <w:i w:val="0"/>
          <w:color w:val="111827"/>
          <w:sz w:val="24"/>
        </w:rPr>
        <w:t>atender necessidades coletivas e prestar serviços públicos gratuitos ou subsidiados à sociedade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 xml:space="preserve">Por essa razão, a Estrutura Conceitual da NBC TSP introduziu o conceito de </w:t>
      </w:r>
      <w:r>
        <w:rPr>
          <w:rFonts w:ascii="Arial" w:hAnsi="Arial"/>
          <w:b/>
          <w:i w:val="0"/>
          <w:color w:val="111827"/>
          <w:sz w:val="24"/>
        </w:rPr>
        <w:t>potencial de serviços</w:t>
      </w:r>
      <w:r>
        <w:rPr>
          <w:rFonts w:ascii="Arial" w:hAnsi="Arial"/>
          <w:b w:val="0"/>
          <w:i w:val="0"/>
          <w:color w:val="111827"/>
          <w:sz w:val="24"/>
        </w:rPr>
        <w:t>:</w:t>
      </w:r>
    </w:p>
    <w:p>
      <w:pPr>
        <w:spacing w:line="240" w:lineRule="auto" w:before="40" w:after="40"/>
        <w:ind w:left="2268"/>
      </w:pPr>
      <w:r>
        <w:rPr>
          <w:rFonts w:ascii="Arial" w:hAnsi="Arial"/>
          <w:b w:val="0"/>
          <w:i/>
          <w:color w:val="111827"/>
          <w:sz w:val="20"/>
        </w:rPr>
        <w:t>"Potencial de serviços é a capacidade de gerar serviços que contribuam para alcançar os objetivos da entidade pública, sem necessariamente gerar fluxos de caixa líquidos positivos."</w:t>
      </w:r>
    </w:p>
    <w:p>
      <w:pPr>
        <w:spacing w:after="80"/>
      </w:pPr>
    </w:p>
    <w:p>
      <w:pPr>
        <w:keepNext/>
        <w:spacing w:before="120" w:after="40"/>
      </w:pPr>
      <w:r>
        <w:rPr>
          <w:rFonts w:ascii="Arial" w:hAnsi="Arial"/>
          <w:b/>
          <w:i/>
          <w:color w:val="334155"/>
          <w:sz w:val="22"/>
        </w:rPr>
        <w:t>1.3 Usuários Primários e Objetivos Centrais dos RCPGs</w:t>
      </w:r>
    </w:p>
    <w:p>
      <w:pPr>
        <w:spacing w:line="360" w:lineRule="auto" w:before="0" w:after="80"/>
        <w:jc w:val="both"/>
      </w:pPr>
      <w:r>
        <w:rPr>
          <w:rFonts w:ascii="Arial" w:hAnsi="Arial"/>
          <w:b w:val="0"/>
          <w:i w:val="0"/>
          <w:color w:val="111827"/>
          <w:sz w:val="24"/>
        </w:rPr>
        <w:t xml:space="preserve">Conforme a NBC TSP Estrutura Conceitual, os Relatórios Contábeis de Propósito Geral das Entidades do Setor Público (RCPGs) destinam-se a atender às necessidades comuns dos seguintes </w:t>
      </w:r>
      <w:r>
        <w:rPr>
          <w:rFonts w:ascii="Arial" w:hAnsi="Arial"/>
          <w:b/>
          <w:i w:val="0"/>
          <w:color w:val="111827"/>
          <w:sz w:val="24"/>
        </w:rPr>
        <w:t>usuários primários</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Cidadãos e usuários de serviços públicos:</w:t>
      </w:r>
      <w:r>
        <w:rPr>
          <w:rFonts w:ascii="Arial" w:hAnsi="Arial"/>
          <w:b w:val="0"/>
          <w:i w:val="0"/>
          <w:color w:val="111827"/>
          <w:sz w:val="22"/>
        </w:rPr>
        <w:t xml:space="preserve"> Avaliam a gestão dos recursos públicos, a sustentabilidade intergeracional e a qualidade dos serviços ofertados (controle social);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Representantes políticos:</w:t>
      </w:r>
      <w:r>
        <w:rPr>
          <w:rFonts w:ascii="Arial" w:hAnsi="Arial"/>
          <w:b w:val="0"/>
          <w:i w:val="0"/>
          <w:color w:val="111827"/>
          <w:sz w:val="22"/>
        </w:rPr>
        <w:t xml:space="preserve"> Parlamentares da Assembleia Legislativa, vereadores e os órgãos de controle externo (</w:t>
      </w:r>
      <w:r>
        <w:rPr>
          <w:rFonts w:ascii="Arial" w:hAnsi="Arial"/>
          <w:b/>
          <w:i w:val="0"/>
          <w:color w:val="111827"/>
          <w:sz w:val="22"/>
        </w:rPr>
        <w:t>Tribunais de Contas</w:t>
      </w:r>
      <w:r>
        <w:rPr>
          <w:rFonts w:ascii="Arial" w:hAnsi="Arial"/>
          <w:b w:val="0"/>
          <w:i w:val="0"/>
          <w:color w:val="111827"/>
          <w:sz w:val="22"/>
        </w:rPr>
        <w:t>), que necessitam de informações fidedignas para o julgamento das contas e a fiscalização orçamentária e financeira;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Provedores de recursos:</w:t>
      </w:r>
      <w:r>
        <w:rPr>
          <w:rFonts w:ascii="Arial" w:hAnsi="Arial"/>
          <w:b w:val="0"/>
          <w:i w:val="0"/>
          <w:color w:val="111827"/>
          <w:sz w:val="22"/>
        </w:rPr>
        <w:t xml:space="preserve"> Contribuintes tributários, credores, investidores e organismos multilaterais de crédito (BID, BIRD) que financiam o Estado.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Os Dois Objetivos Centrais dos RCPGs: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Fornecer informações úteis para a **prestação de contas e responsabilização (</w:t>
      </w:r>
      <w:r>
        <w:rPr>
          <w:rFonts w:ascii="Arial" w:hAnsi="Arial"/>
          <w:b w:val="0"/>
          <w:i/>
          <w:color w:val="111827"/>
          <w:sz w:val="22"/>
        </w:rPr>
        <w:t>accountability</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Fornecer subsídios técnicos indispensáveis para a </w:t>
      </w:r>
      <w:r>
        <w:rPr>
          <w:rFonts w:ascii="Arial" w:hAnsi="Arial"/>
          <w:b/>
          <w:i w:val="0"/>
          <w:color w:val="111827"/>
          <w:sz w:val="22"/>
        </w:rPr>
        <w:t>tomada de decisão</w:t>
      </w:r>
      <w:r>
        <w:rPr>
          <w:rFonts w:ascii="Arial" w:hAnsi="Arial"/>
          <w:b w:val="0"/>
          <w:i w:val="0"/>
          <w:color w:val="111827"/>
          <w:sz w:val="22"/>
        </w:rPr>
        <w:t xml:space="preserve"> sobre a alocação de recursos públicos.</w:t>
      </w:r>
    </w:p>
    <w:p>
      <w:pPr>
        <w:keepNext/>
        <w:spacing w:before="200" w:after="80"/>
      </w:pPr>
      <w:r>
        <w:rPr>
          <w:rFonts w:ascii="Arial" w:hAnsi="Arial"/>
          <w:b/>
          <w:i w:val="0"/>
          <w:color w:val="2B6CB0"/>
          <w:sz w:val="24"/>
        </w:rPr>
        <w:t>2. Características Qualitativas da Informação Contábil Útil (NBC TSP EC)</w:t>
      </w:r>
    </w:p>
    <w:p>
      <w:pPr>
        <w:spacing w:line="360" w:lineRule="auto" w:before="0" w:after="80"/>
        <w:jc w:val="both"/>
      </w:pPr>
      <w:r>
        <w:rPr>
          <w:rFonts w:ascii="Arial" w:hAnsi="Arial"/>
          <w:b w:val="0"/>
          <w:i w:val="0"/>
          <w:color w:val="111827"/>
          <w:sz w:val="24"/>
        </w:rPr>
        <w:t>As características qualitativas são atributos indispensáveis que tornam as informações contidas nos RCPGs úteis para os usuários na tomada de decisão e na prestação de contas:</w:t>
      </w:r>
    </w:p>
    <w:p>
      <w:pPr>
        <w:spacing w:after="120"/>
      </w:pPr>
    </w:p>
    <w:p>
      <w:pPr>
        <w:keepNext/>
        <w:spacing w:before="120" w:after="40"/>
      </w:pPr>
      <w:r>
        <w:rPr>
          <w:rFonts w:ascii="Arial" w:hAnsi="Arial"/>
          <w:b/>
          <w:i/>
          <w:color w:val="334155"/>
          <w:sz w:val="22"/>
        </w:rPr>
        <w:t>2.1 As Seis Características Qualitativas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Relevância:</w:t>
      </w:r>
      <w:r>
        <w:rPr>
          <w:rFonts w:ascii="Arial" w:hAnsi="Arial"/>
          <w:b w:val="0"/>
          <w:i w:val="0"/>
          <w:color w:val="111827"/>
          <w:sz w:val="22"/>
        </w:rPr>
        <w:t xml:space="preserve"> A informação é relevante se for capaz de influenciar as decisões dos usuários, auxiliando-os a avaliar eventos passados, presentes ou futuros (valor preditivo) ou confirmando/alterando avaliações prévias (valor confirmatório).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Representação Fidedigna:</w:t>
      </w:r>
      <w:r>
        <w:rPr>
          <w:rFonts w:ascii="Arial" w:hAnsi="Arial"/>
          <w:b w:val="0"/>
          <w:i w:val="0"/>
          <w:color w:val="111827"/>
          <w:sz w:val="22"/>
        </w:rPr>
        <w:t xml:space="preserve"> A informação deve retratar com fidelidade a substância econômica das transações. Para ser fidedigna, a representação deve ser </w:t>
      </w:r>
      <w:r>
        <w:rPr>
          <w:rFonts w:ascii="Arial" w:hAnsi="Arial"/>
          <w:b/>
          <w:i w:val="0"/>
          <w:color w:val="111827"/>
          <w:sz w:val="22"/>
        </w:rPr>
        <w:t>completa, neutra e livre de erro material</w:t>
      </w:r>
      <w:r>
        <w:rPr>
          <w:rFonts w:ascii="Arial" w:hAnsi="Arial"/>
          <w:b w:val="0"/>
          <w:i w:val="0"/>
          <w:color w:val="111827"/>
          <w:sz w:val="22"/>
        </w:rPr>
        <w:t xml:space="preserve"> (a neutralidade implica a ausência de viés na seleção ou apresentação dos dados).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Compreensibilidade:</w:t>
      </w:r>
      <w:r>
        <w:rPr>
          <w:rFonts w:ascii="Arial" w:hAnsi="Arial"/>
          <w:b w:val="0"/>
          <w:i w:val="0"/>
          <w:color w:val="111827"/>
          <w:sz w:val="22"/>
        </w:rPr>
        <w:t xml:space="preserve"> Qualidade que permite aos usuários com conhecimento razoável do setor público e disposição para estudar as demonstrações compreender prontamente o significado das informações contábeis.  </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Atenção:</w:t>
            </w:r>
            <w:r>
              <w:rPr>
                <w:rFonts w:ascii="Arial" w:hAnsi="Arial"/>
                <w:b w:val="0"/>
                <w:i w:val="0"/>
                <w:color w:val="111827"/>
                <w:sz w:val="21"/>
              </w:rPr>
              <w:t xml:space="preserve"> Informações complexas e essenciais à governança jamais devem ser omitidas sob o pretexto de tornar o relatório "simples" ou acessível!</w:t>
            </w:r>
          </w:p>
        </w:tc>
      </w:tr>
    </w:tbl>
    <w:p>
      <w:pPr>
        <w:spacing w:before="0" w:after="120"/>
      </w:pPr>
    </w:p>
    <w:p>
      <w:pPr>
        <w:spacing w:line="276" w:lineRule="auto" w:before="20" w:after="40"/>
        <w:ind w:left="425"/>
      </w:pPr>
      <w:r>
        <w:rPr>
          <w:rFonts w:ascii="Arial" w:hAnsi="Arial"/>
          <w:b/>
          <w:color w:val="1B365D"/>
          <w:sz w:val="22"/>
        </w:rPr>
        <w:t xml:space="preserve">4. </w:t>
      </w:r>
      <w:r>
        <w:rPr>
          <w:rFonts w:ascii="Arial" w:hAnsi="Arial"/>
          <w:b/>
          <w:i w:val="0"/>
          <w:color w:val="111827"/>
          <w:sz w:val="22"/>
        </w:rPr>
        <w:t>Tempestividade:</w:t>
      </w:r>
      <w:r>
        <w:rPr>
          <w:rFonts w:ascii="Arial" w:hAnsi="Arial"/>
          <w:b w:val="0"/>
          <w:i w:val="0"/>
          <w:color w:val="111827"/>
          <w:sz w:val="22"/>
        </w:rPr>
        <w:t xml:space="preserve"> Significa disponibilizar a informação aos tomadores de decisão antes que ela perca sua capacidade de influenciar decisões. Uma informação contábil perfeita, mas disponibilizada com anos de atraso, perde sua utilidade gerencial.</w:t>
      </w:r>
    </w:p>
    <w:p>
      <w:pPr>
        <w:spacing w:line="276" w:lineRule="auto" w:before="20" w:after="40"/>
        <w:ind w:left="425"/>
      </w:pPr>
      <w:r>
        <w:rPr>
          <w:rFonts w:ascii="Arial" w:hAnsi="Arial"/>
          <w:b/>
          <w:color w:val="1B365D"/>
          <w:sz w:val="22"/>
        </w:rPr>
        <w:t xml:space="preserve">5. </w:t>
      </w:r>
      <w:r>
        <w:rPr>
          <w:rFonts w:ascii="Arial" w:hAnsi="Arial"/>
          <w:b/>
          <w:i w:val="0"/>
          <w:color w:val="111827"/>
          <w:sz w:val="22"/>
        </w:rPr>
        <w:t>Comparabilidade:</w:t>
      </w:r>
      <w:r>
        <w:rPr>
          <w:rFonts w:ascii="Arial" w:hAnsi="Arial"/>
          <w:b w:val="0"/>
          <w:i w:val="0"/>
          <w:color w:val="111827"/>
          <w:sz w:val="22"/>
        </w:rPr>
        <w:t xml:space="preserve"> Permite aos usuários identificar semelhanças e diferenças entre diferentes entidades governamentais no mesmo período (comparabilidade espacial) ou em relação à mesma entidade ao longo de exercícios sucessivos (comparabilidade temporal). Requer consistência na aplicação de políticas e planos de contas.</w:t>
      </w:r>
    </w:p>
    <w:p>
      <w:pPr>
        <w:spacing w:line="276" w:lineRule="auto" w:before="20" w:after="40"/>
        <w:ind w:left="425"/>
      </w:pPr>
      <w:r>
        <w:rPr>
          <w:rFonts w:ascii="Arial" w:hAnsi="Arial"/>
          <w:b/>
          <w:color w:val="1B365D"/>
          <w:sz w:val="22"/>
        </w:rPr>
        <w:t xml:space="preserve">6. </w:t>
      </w:r>
      <w:r>
        <w:rPr>
          <w:rFonts w:ascii="Arial" w:hAnsi="Arial"/>
          <w:b/>
          <w:i w:val="0"/>
          <w:color w:val="111827"/>
          <w:sz w:val="22"/>
        </w:rPr>
        <w:t>Verificabilidade:</w:t>
      </w:r>
      <w:r>
        <w:rPr>
          <w:rFonts w:ascii="Arial" w:hAnsi="Arial"/>
          <w:b w:val="0"/>
          <w:i w:val="0"/>
          <w:color w:val="111827"/>
          <w:sz w:val="22"/>
        </w:rPr>
        <w:t xml:space="preserve"> Qualidade que assegura aos usuários que a informação representa fidedignamente o que se propõe a representar, possibilitando que diferentes auditores e observadores independentes e capacitados cheguem a um consenso razoável sobre a exatidão das conclusões.</w:t>
      </w:r>
    </w:p>
    <w:p>
      <w:pPr>
        <w:keepNext/>
        <w:spacing w:before="120" w:after="40"/>
      </w:pPr>
      <w:r>
        <w:rPr>
          <w:rFonts w:ascii="Arial" w:hAnsi="Arial"/>
          <w:b/>
          <w:i/>
          <w:color w:val="334155"/>
          <w:sz w:val="22"/>
        </w:rPr>
        <w:t>2.2 Restrições Inerentes: Custo-Benefício e Materialidade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Custo-Benefício:</w:t>
      </w:r>
      <w:r>
        <w:rPr>
          <w:rFonts w:ascii="Arial" w:hAnsi="Arial"/>
          <w:b w:val="0"/>
          <w:i w:val="0"/>
          <w:color w:val="111827"/>
          <w:sz w:val="22"/>
        </w:rPr>
        <w:t xml:space="preserve"> Os benefícios derivados da informação devem exceder os custos decorrentes de sua coleta, processamento e divulgação.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Materialidade:</w:t>
      </w:r>
      <w:r>
        <w:rPr>
          <w:rFonts w:ascii="Arial" w:hAnsi="Arial"/>
          <w:b w:val="0"/>
          <w:i w:val="0"/>
          <w:color w:val="111827"/>
          <w:sz w:val="22"/>
        </w:rPr>
        <w:t xml:space="preserve"> A informação é material se a sua omissão ou distorção puder influenciar o julgamento ou as decisões dos usuários dos RCPGs. A materialidade depende da natureza ou da magnitude do item no contexto orçamentário e patrimonial específico.</w:t>
      </w:r>
    </w:p>
    <w:p>
      <w:pPr>
        <w:keepNext/>
        <w:spacing w:before="200" w:after="80"/>
      </w:pPr>
      <w:r>
        <w:rPr>
          <w:rFonts w:ascii="Arial" w:hAnsi="Arial"/>
          <w:b/>
          <w:i w:val="0"/>
          <w:color w:val="2B6CB0"/>
          <w:sz w:val="24"/>
        </w:rPr>
        <w:t>3. Elementos das Demonstrações Contábeis e Bases de Mensuração</w:t>
      </w:r>
    </w:p>
    <w:p>
      <w:pPr>
        <w:keepNext/>
        <w:spacing w:before="120" w:after="40"/>
      </w:pPr>
      <w:r>
        <w:rPr>
          <w:rFonts w:ascii="Arial" w:hAnsi="Arial"/>
          <w:b/>
          <w:i/>
          <w:color w:val="334155"/>
          <w:sz w:val="22"/>
        </w:rPr>
        <w:t>3.1 Elementos Patrimoniais: Ativo, Passivo, SPL, VPA e VPD</w:t>
      </w:r>
    </w:p>
    <w:p>
      <w:pPr>
        <w:spacing w:line="360" w:lineRule="auto" w:before="0" w:after="80"/>
        <w:jc w:val="both"/>
      </w:pPr>
      <w:r>
        <w:rPr>
          <w:rFonts w:ascii="Arial" w:hAnsi="Arial"/>
          <w:b w:val="0"/>
          <w:i w:val="0"/>
          <w:color w:val="111827"/>
          <w:sz w:val="24"/>
        </w:rPr>
        <w:t>A Estrutura Conceitual define os seguintes elementos constitutivos dos relatórios patrimoniais:</w:t>
      </w:r>
    </w:p>
    <w:p>
      <w:pPr>
        <w:spacing w:after="120"/>
      </w:pPr>
    </w:p>
    <w:p>
      <w:pPr>
        <w:keepNext/>
        <w:spacing w:before="120" w:after="40"/>
      </w:pPr>
      <w:r>
        <w:rPr>
          <w:rFonts w:ascii="Arial" w:hAnsi="Arial"/>
          <w:b/>
          <w:i/>
          <w:color w:val="334155"/>
          <w:sz w:val="22"/>
        </w:rPr>
        <w:t>3.2 Bases de Mensuração para Ativos e Passivos</w:t>
      </w:r>
    </w:p>
    <w:p>
      <w:pPr>
        <w:spacing w:line="360" w:lineRule="auto" w:before="0" w:after="80"/>
        <w:jc w:val="both"/>
      </w:pPr>
      <w:r>
        <w:rPr>
          <w:rFonts w:ascii="Arial" w:hAnsi="Arial"/>
          <w:b w:val="0"/>
          <w:i w:val="0"/>
          <w:color w:val="111827"/>
          <w:sz w:val="24"/>
        </w:rPr>
        <w:t>A mensuração consiste no processo de determinar os valores monetários pelos quais os elementos serão reconhecidos nas demonstrações contábeis.</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Base de Mensuração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Aplicação a Ativos</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Aplicação a Passivos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Custo Histórico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Montante de caixa fornecido para adquirir ou construir o ativo.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Montante de recursos recebidos para assumir a obrigação no passado.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Valor de Mercado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Montante pelo qual um ativo pode ser trocado entre partes conhecedoras, dispostas e em condições normais de mercado.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Montante pelo qual o passivo poderia ser liquidado entre partes independentes.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Custo de Reposição / Substituição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Custo mais econômico exigido para a entidade substituir o </w:t>
            </w:r>
            <w:r>
              <w:rPr>
                <w:rFonts w:ascii="Arial" w:hAnsi="Arial"/>
                <w:b/>
                <w:i w:val="0"/>
                <w:color w:val="111827"/>
                <w:sz w:val="19"/>
              </w:rPr>
              <w:t>potencial de serviços</w:t>
            </w:r>
            <w:r>
              <w:rPr>
                <w:rFonts w:ascii="Arial" w:hAnsi="Arial"/>
                <w:b w:val="0"/>
                <w:i w:val="0"/>
                <w:color w:val="111827"/>
                <w:sz w:val="19"/>
              </w:rPr>
              <w:t xml:space="preserve"> do ativo na data de mensuração.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(Não aplicável nesta forma conceitual)</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Valor em Uso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Valor presente do potencial de serviços remanescente do ativo ao longo de sua vida útil remanescente.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(Não aplicável)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Custo de Cumprimento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(Não aplicável)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Custos que a entidade pública incorrerá para satisfazer as obrigações assumidas com terceiros.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Preço de Assunção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(Não aplicável)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Valor monetário que um terceiro independente exigiria para assumir formalmente a obrigação da entidade.</w:t>
            </w:r>
          </w:p>
        </w:tc>
      </w:tr>
    </w:tbl>
    <w:p>
      <w:pPr>
        <w:spacing w:after="120"/>
      </w:pPr>
    </w:p>
    <w:p>
      <w:pPr>
        <w:keepNext/>
        <w:spacing w:before="200" w:after="80"/>
      </w:pPr>
      <w:r>
        <w:rPr>
          <w:rFonts w:ascii="Arial" w:hAnsi="Arial"/>
          <w:b/>
          <w:i w:val="0"/>
          <w:color w:val="2B6CB0"/>
          <w:sz w:val="24"/>
        </w:rPr>
        <w:t>4. Normas Específicas Fundamentais no Padrão FCC</w:t>
      </w:r>
    </w:p>
    <w:p>
      <w:pPr>
        <w:keepNext/>
        <w:spacing w:before="120" w:after="40"/>
      </w:pPr>
      <w:r>
        <w:rPr>
          <w:rFonts w:ascii="Arial" w:hAnsi="Arial"/>
          <w:b/>
          <w:i/>
          <w:color w:val="334155"/>
          <w:sz w:val="22"/>
        </w:rPr>
        <w:t>4.1 Matriz de Provisões e Passivos Contingentes (NBC TSP 03)</w:t>
      </w:r>
    </w:p>
    <w:p>
      <w:pPr>
        <w:spacing w:line="360" w:lineRule="auto" w:before="0" w:after="80"/>
        <w:jc w:val="both"/>
      </w:pPr>
      <w:r>
        <w:rPr>
          <w:rFonts w:ascii="Arial" w:hAnsi="Arial"/>
          <w:b w:val="0"/>
          <w:i w:val="0"/>
          <w:color w:val="111827"/>
          <w:sz w:val="24"/>
        </w:rPr>
        <w:t>A aplicação contábil de ações judiciais e litígios contra o Poder Público submete-se à matriz de probabilidade estipulada na NBC TSP 03:</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frequentemente tenta confundir o candidato afirmando que um risco </w:t>
            </w:r>
            <w:r>
              <w:rPr>
                <w:rFonts w:ascii="Arial" w:hAnsi="Arial"/>
                <w:b/>
                <w:i w:val="0"/>
                <w:color w:val="111827"/>
                <w:sz w:val="21"/>
              </w:rPr>
              <w:t>possível</w:t>
            </w:r>
            <w:r>
              <w:rPr>
                <w:rFonts w:ascii="Arial" w:hAnsi="Arial"/>
                <w:b w:val="0"/>
                <w:i w:val="0"/>
                <w:color w:val="111827"/>
                <w:sz w:val="21"/>
              </w:rPr>
              <w:t xml:space="preserve"> deve ser registrado no Balanço Patrimonial. </w:t>
            </w:r>
            <w:r>
              <w:rPr>
                <w:rFonts w:ascii="Arial" w:hAnsi="Arial"/>
                <w:b/>
                <w:i w:val="0"/>
                <w:color w:val="111827"/>
                <w:sz w:val="21"/>
              </w:rPr>
              <w:t>FALSO!</w:t>
            </w:r>
          </w:p>
          <w:p>
            <w:pPr>
              <w:spacing w:line="288" w:lineRule="auto" w:before="40" w:after="40"/>
            </w:pPr>
            <w:r>
              <w:rPr>
                <w:rFonts w:ascii="Arial" w:hAnsi="Arial"/>
                <w:b w:val="0"/>
                <w:i w:val="0"/>
                <w:color w:val="111827"/>
                <w:sz w:val="21"/>
              </w:rPr>
              <w:t xml:space="preserve">- Apenas o evento </w:t>
            </w:r>
            <w:r>
              <w:rPr>
                <w:rFonts w:ascii="Arial" w:hAnsi="Arial"/>
                <w:b/>
                <w:i w:val="0"/>
                <w:color w:val="111827"/>
                <w:sz w:val="21"/>
              </w:rPr>
              <w:t>provável</w:t>
            </w:r>
            <w:r>
              <w:rPr>
                <w:rFonts w:ascii="Arial" w:hAnsi="Arial"/>
                <w:b w:val="0"/>
                <w:i w:val="0"/>
                <w:color w:val="111827"/>
                <w:sz w:val="21"/>
              </w:rPr>
              <w:t xml:space="preserve"> com valor estimável com segurança gera lançamento contábil no Balanço (Provisão);</w:t>
            </w:r>
          </w:p>
          <w:p>
            <w:pPr>
              <w:spacing w:line="288" w:lineRule="auto" w:before="40" w:after="40"/>
            </w:pPr>
            <w:r>
              <w:rPr>
                <w:rFonts w:ascii="Arial" w:hAnsi="Arial"/>
                <w:b w:val="0"/>
                <w:i w:val="0"/>
                <w:color w:val="111827"/>
                <w:sz w:val="21"/>
              </w:rPr>
              <w:t xml:space="preserve">- O risco </w:t>
            </w:r>
            <w:r>
              <w:rPr>
                <w:rFonts w:ascii="Arial" w:hAnsi="Arial"/>
                <w:b/>
                <w:i w:val="0"/>
                <w:color w:val="111827"/>
                <w:sz w:val="21"/>
              </w:rPr>
              <w:t>possível</w:t>
            </w:r>
            <w:r>
              <w:rPr>
                <w:rFonts w:ascii="Arial" w:hAnsi="Arial"/>
                <w:b w:val="0"/>
                <w:i w:val="0"/>
                <w:color w:val="111827"/>
                <w:sz w:val="21"/>
              </w:rPr>
              <w:t xml:space="preserve"> é apenas divulgado em Notas Explicativas (</w:t>
            </w:r>
            <w:r>
              <w:rPr>
                <w:rFonts w:ascii="Arial" w:hAnsi="Arial"/>
                <w:b/>
                <w:i w:val="0"/>
                <w:color w:val="111827"/>
                <w:sz w:val="21"/>
              </w:rPr>
              <w:t>Passivo Contingente</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O risco </w:t>
            </w:r>
            <w:r>
              <w:rPr>
                <w:rFonts w:ascii="Arial" w:hAnsi="Arial"/>
                <w:b/>
                <w:i w:val="0"/>
                <w:color w:val="111827"/>
                <w:sz w:val="21"/>
              </w:rPr>
              <w:t>remoto</w:t>
            </w:r>
            <w:r>
              <w:rPr>
                <w:rFonts w:ascii="Arial" w:hAnsi="Arial"/>
                <w:b w:val="0"/>
                <w:i w:val="0"/>
                <w:color w:val="111827"/>
                <w:sz w:val="21"/>
              </w:rPr>
              <w:t xml:space="preserve"> é sumariamente ignorado (sem registro e sem nota explicativa).</w:t>
            </w:r>
          </w:p>
        </w:tc>
      </w:tr>
    </w:tbl>
    <w:p>
      <w:pPr>
        <w:spacing w:before="0" w:after="120"/>
      </w:pPr>
    </w:p>
    <w:p>
      <w:pPr>
        <w:keepNext/>
        <w:spacing w:before="120" w:after="40"/>
      </w:pPr>
      <w:r>
        <w:rPr>
          <w:rFonts w:ascii="Arial" w:hAnsi="Arial"/>
          <w:b/>
          <w:i/>
          <w:color w:val="334155"/>
          <w:sz w:val="22"/>
        </w:rPr>
        <w:t>4.2 Mensuração de Estoques Públicos para Distribuição Gratuita (NBC TSP 04)</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Regra Mercantil Comum:</w:t>
      </w:r>
      <w:r>
        <w:rPr>
          <w:rFonts w:ascii="Arial" w:hAnsi="Arial"/>
          <w:b w:val="0"/>
          <w:i w:val="0"/>
          <w:color w:val="111827"/>
          <w:sz w:val="22"/>
        </w:rPr>
        <w:t xml:space="preserve"> Estoques são avaliados pelo menor valor entre o custo histórico e o valor realizável líquido (preço estimado de venda menos despesas de concretização).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Regra Específica do Setor Público (Distribuição Gratuita):</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Quando os estoques forem mantidos para </w:t>
      </w:r>
      <w:r>
        <w:rPr>
          <w:rFonts w:ascii="Arial" w:hAnsi="Arial"/>
          <w:b/>
          <w:i w:val="0"/>
          <w:color w:val="111827"/>
          <w:sz w:val="24"/>
        </w:rPr>
        <w:t>distribuição gratuita ou por valor simbólico</w:t>
      </w:r>
      <w:r>
        <w:rPr>
          <w:rFonts w:ascii="Arial" w:hAnsi="Arial"/>
          <w:b w:val="0"/>
          <w:i w:val="0"/>
          <w:color w:val="111827"/>
          <w:sz w:val="24"/>
        </w:rPr>
        <w:t xml:space="preserve"> (ex.: medicamentos e vacinas do SUS, kits de merenda escolar, livros didáticos), eles devem ser mensurados pelo </w:t>
      </w:r>
      <w:r>
        <w:rPr>
          <w:rFonts w:ascii="Arial" w:hAnsi="Arial"/>
          <w:b/>
          <w:i w:val="0"/>
          <w:color w:val="111827"/>
          <w:sz w:val="24"/>
        </w:rPr>
        <w:t>menor valor entre o custo histórico de aquisição e o CUSTO CORRENTE DE REPOSIÇÃO</w:t>
      </w:r>
      <w:r>
        <w:rPr>
          <w:rFonts w:ascii="Arial" w:hAnsi="Arial"/>
          <w:b w:val="0"/>
          <w:i w:val="0"/>
          <w:color w:val="111827"/>
          <w:sz w:val="24"/>
        </w:rPr>
        <w:t>!</w:t>
      </w:r>
    </w:p>
    <w:p>
      <w:pPr>
        <w:spacing w:line="360" w:lineRule="auto" w:before="0" w:after="80"/>
        <w:jc w:val="both"/>
      </w:pPr>
      <w:r>
        <w:rPr>
          <w:rFonts w:ascii="Arial" w:hAnsi="Arial"/>
          <w:b w:val="0"/>
          <w:i/>
          <w:color w:val="111827"/>
          <w:sz w:val="24"/>
        </w:rPr>
        <w:t>(Fundamento: como esses bens públicos não se destinam à venda comercial, o conceito de "preço de venda/valor realizável líquido" é economicamente inaplicável).</w:t>
      </w:r>
    </w:p>
    <w:p>
      <w:pPr>
        <w:keepNext/>
        <w:spacing w:before="120" w:after="40"/>
      </w:pPr>
      <w:r>
        <w:rPr>
          <w:rFonts w:ascii="Arial" w:hAnsi="Arial"/>
          <w:b/>
          <w:i/>
          <w:color w:val="334155"/>
          <w:sz w:val="22"/>
        </w:rPr>
        <w:t>4.3 Ativo Imobilizado e Depreciação Sistemática (NBC TSP 07)</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Mensuração Inicial:</w:t>
      </w:r>
      <w:r>
        <w:rPr>
          <w:rFonts w:ascii="Arial" w:hAnsi="Arial"/>
          <w:b w:val="0"/>
          <w:i w:val="0"/>
          <w:color w:val="111827"/>
          <w:sz w:val="22"/>
        </w:rPr>
        <w:t xml:space="preserve"> O ativo imobilizado é reconhecido inicialmente pelo seu custo histórico (preço de aquisição somado a todas as despesas diretamente atribuíveis para colocar o bem em condições operacionais de uso).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Depreciação Periódica:</w:t>
      </w:r>
      <w:r>
        <w:rPr>
          <w:rFonts w:ascii="Arial" w:hAnsi="Arial"/>
          <w:b w:val="0"/>
          <w:i w:val="0"/>
          <w:color w:val="111827"/>
          <w:sz w:val="22"/>
        </w:rPr>
        <w:t xml:space="preserve"> Consiste na alocação sistemática do valor depreciável de um bem ativo ao longo de sua vida útil estimada. Reconhece-se a perda de potencial de serviços por uso, desgaste natural ou obsolescência tecnológica:</w:t>
      </w:r>
    </w:p>
    <w:p>
      <w:pPr>
        <w:spacing w:line="276" w:lineRule="auto" w:before="20" w:after="40"/>
        <w:ind w:left="992"/>
      </w:pPr>
      <w:r>
        <w:rPr>
          <w:rFonts w:ascii="Arial" w:hAnsi="Arial"/>
          <w:b/>
          <w:color w:val="2B6CB0"/>
          <w:sz w:val="22"/>
        </w:rPr>
        <w:t xml:space="preserve">• </w:t>
      </w:r>
      <w:r>
        <w:rPr>
          <w:rFonts w:ascii="Arial" w:hAnsi="Arial"/>
          <w:b/>
          <w:i w:val="0"/>
          <w:color w:val="111827"/>
          <w:sz w:val="22"/>
        </w:rPr>
        <w:t>Lançamento Contábil:</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D</w:t>
      </w:r>
      <w:r>
        <w:rPr>
          <w:rFonts w:ascii="Arial" w:hAnsi="Arial"/>
          <w:b w:val="0"/>
          <w:i w:val="0"/>
          <w:color w:val="111827"/>
          <w:sz w:val="22"/>
        </w:rPr>
        <w:t xml:space="preserve"> - Variação Patrimonial Diminutiva (VPD - Depreciação);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C</w:t>
      </w:r>
      <w:r>
        <w:rPr>
          <w:rFonts w:ascii="Arial" w:hAnsi="Arial"/>
          <w:b w:val="0"/>
          <w:i w:val="0"/>
          <w:color w:val="111827"/>
          <w:sz w:val="22"/>
        </w:rPr>
        <w:t xml:space="preserve"> - Depreciação Acumulada (Conta retificadora do Ativo Imobilizado).</w:t>
      </w:r>
    </w:p>
    <w:p>
      <w:pPr>
        <w:keepNext/>
        <w:spacing w:before="280" w:after="120"/>
      </w:pPr>
      <w:r>
        <w:rPr>
          <w:rFonts w:ascii="Arial" w:hAnsi="Arial"/>
          <w:b/>
          <w:i w:val="0"/>
          <w:color w:val="2C5282"/>
          <w:sz w:val="28"/>
        </w:rPr>
        <w:t>🌐 Fontes Oficiais &amp; Normativas Recomendadas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Conselho Federal de Contabilidade (CFC) - NBC TSP Estrutura Conceitual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Postulados contábeis, características qualitativas e elementos patrimoniais.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NBC TSP 03 - Provisões, Passivos Contingentes e Ativos Contingentes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Disciplina o reconhecimento, mensuração e divulgação de riscos judiciais.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NBC TSP 04 - Estoques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Regras de estoques de consumo e bens para distribuição gratuita no setor público.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NBC TSP 07 - Ativo Imobilizado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Mensuração inicial, custos atribuíveis e depreciação periódica.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Contabilidade Aplicada ao Setor Público (MCASP) - 11ª Edição (STN)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Parte II: Procedimentos Contábeis Patrimoniais (PCP).</w:t>
      </w:r>
    </w:p>
    <w:p>
      <w:pPr>
        <w:keepNext/>
        <w:spacing w:before="280" w:after="120"/>
      </w:pPr>
      <w:r>
        <w:rPr>
          <w:rFonts w:ascii="Arial" w:hAnsi="Arial"/>
          <w:b/>
          <w:i w:val="0"/>
          <w:color w:val="2C5282"/>
          <w:sz w:val="28"/>
        </w:rPr>
        <w:t>📝 Questões Comentadas no Padrão FCC</w:t>
      </w:r>
    </w:p>
    <w:p>
      <w:pPr>
        <w:keepNext/>
        <w:spacing w:before="200" w:after="80"/>
      </w:pPr>
      <w:r>
        <w:rPr>
          <w:rFonts w:ascii="Arial" w:hAnsi="Arial"/>
          <w:b/>
          <w:i w:val="0"/>
          <w:color w:val="2B6CB0"/>
          <w:sz w:val="24"/>
        </w:rPr>
        <w:t>Questão 1 (FCC - Adaptada / TCE-RS - Auditor de Controle Externo)</w:t>
      </w:r>
    </w:p>
    <w:p>
      <w:pPr>
        <w:spacing w:line="360" w:lineRule="auto" w:before="0" w:after="80"/>
        <w:jc w:val="both"/>
      </w:pPr>
      <w:r>
        <w:rPr>
          <w:rFonts w:ascii="Arial" w:hAnsi="Arial"/>
          <w:b w:val="0"/>
          <w:i w:val="0"/>
          <w:color w:val="111827"/>
          <w:sz w:val="24"/>
        </w:rPr>
        <w:t>A Estrutura Conceitual das Normas Brasileiras de Contabilidade Aplicadas ao Setor Público (NBC TSP EC) estabelece as características qualitativas da informação contábil incluída nos Relatórios Contábeis de Propósito Geral das Entidades do Setor Público (RCPGs).</w:t>
      </w:r>
    </w:p>
    <w:p>
      <w:pPr>
        <w:spacing w:line="360" w:lineRule="auto" w:before="0" w:after="80"/>
        <w:jc w:val="both"/>
      </w:pPr>
      <w:r>
        <w:rPr>
          <w:rFonts w:ascii="Arial" w:hAnsi="Arial"/>
          <w:b w:val="0"/>
          <w:i w:val="0"/>
          <w:color w:val="111827"/>
          <w:sz w:val="24"/>
        </w:rPr>
        <w:t>A característica qualitativa que permite aos usuários identificar semelhanças e diferenças entre itens e fenômenos econômicos, seja entre diferentes entidades do setor público, seja em relação à mesma entidade ao longo de períodos contábeis consecutivos, denomina-se: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Compreensibilidade.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Comparabilidade.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Tempestividade.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Representação fidedigna.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Verificabilidade.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Compreensibilidade é a qualidade que possibilita a rápida compreensão do significado da informação contábil por usuários com conhecimento razoável.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Comparabilidade é definida textualmente na NBC TSP EC como a característica qualitativa que permite aos usuários identificar semelhanças e diferenças entre itens, cobrindo tanto a comparação temporal (mesma entidade ao longo de exercícios sucessivos) quanto a comparação espacial (entre diferentes órgãos e entidades públicas).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Tempestividade refere-se à disponibilização da informação em tempo oportuno para influenciar julgamentos e decisões.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Representação fidedigna significa retratar com completude, neutralidade e ausência de erro material a substância dos eventos econômicos.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Verificabilidade é a qualidade que assegura que diferentes observadores independentes e capacitados cheguem a um consenso razoável sobre a informação apresentada.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TCE-PI - Auditor de Controle Externo)</w:t>
      </w:r>
    </w:p>
    <w:p>
      <w:pPr>
        <w:spacing w:line="360" w:lineRule="auto" w:before="0" w:after="80"/>
        <w:jc w:val="both"/>
      </w:pPr>
      <w:r>
        <w:rPr>
          <w:rFonts w:ascii="Arial" w:hAnsi="Arial"/>
          <w:b w:val="0"/>
          <w:i w:val="0"/>
          <w:color w:val="111827"/>
          <w:sz w:val="24"/>
        </w:rPr>
        <w:t xml:space="preserve">A Procuradoria-Geral de determinado Estado foi intimada de ação judicial de grande repercussão econômica proposta por consórcio de empreiteiras cobrando reequilíbrio econômico-financeiro de contrato de obras. O departamento jurídico do Estado avaliou o risco de perda da ação judicial como </w:t>
      </w:r>
      <w:r>
        <w:rPr>
          <w:rFonts w:ascii="Arial" w:hAnsi="Arial"/>
          <w:b/>
          <w:i w:val="0"/>
          <w:color w:val="111827"/>
          <w:sz w:val="24"/>
        </w:rPr>
        <w:t>provável</w:t>
      </w:r>
      <w:r>
        <w:rPr>
          <w:rFonts w:ascii="Arial" w:hAnsi="Arial"/>
          <w:b w:val="0"/>
          <w:i w:val="0"/>
          <w:color w:val="111827"/>
          <w:sz w:val="24"/>
        </w:rPr>
        <w:t xml:space="preserve"> e mensurou com segurança razoável o valor do desembolso futuro estimado em R$ 15.000.000,00.</w:t>
      </w:r>
    </w:p>
    <w:p>
      <w:pPr>
        <w:spacing w:line="360" w:lineRule="auto" w:before="0" w:after="80"/>
        <w:jc w:val="both"/>
      </w:pPr>
      <w:r>
        <w:rPr>
          <w:rFonts w:ascii="Arial" w:hAnsi="Arial"/>
          <w:b w:val="0"/>
          <w:i w:val="0"/>
          <w:color w:val="111827"/>
          <w:sz w:val="24"/>
        </w:rPr>
        <w:t>Consoante as disposições da NBC TSP 03 e do Manual de Contabilidade Aplicada ao Setor Público (MCASP):</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Estado não deve efetuar nenhum registro contábil nem em notas explicativas até o trânsito em julgado irrecorrível da decisão judicial condenatória.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entidade deve divulgar a informação exclusivamente em notas explicativas, sem efetuar quaisquer lançamentos contábeis no Balanço Patrimonial.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entidade pública deve reconhecer uma provisão no Passivo, em contrapartida a uma Variação Patrimonial Diminutiva (VPD) no resultado do exercício.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perda potencial deve ser reconhecida como despesa orçamentária imediatamente no estágio da fixação da Lei Orçamentária Anual.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Trata-se de um ativo contingente cujo ingresso de recursos deve ser registrado preventivamente no subsistema orçamentário.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regime de competência contábil exige o registro tempestivo da obrigação presente assim que o fato gerador e os critérios de probabilidade se consolidem, não aguardando o trânsito em julgado formal.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divulgação exclusiva em notas explicativas aplica-se aos passivos contingentes com risco de perda possível, e não provável.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De acordo com a NBC TSP 03 e o MCASP, existindo uma obrigação presente resultante de evento passado cuja liquidação implique saída de recursos classificada como provável e o valor possa ser estimado com confiabilidade técnica, a entidade pública deve reconhecer formalmente uma Provisão no Passivo, lançando a débito uma Variação Patrimonial Diminutiva (VPD) no resultado do exercício patrimonial.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provisão é ato estritamente patrimonial, não transitando pela fixação de créditos orçamentários da LOA nem exigindo nota de empenho imediata.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Litígio judicial que exige desembolso de recursos configura potencial passivo e não ativo contingente.</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3 (FCC - Adaptada / Analista de Gestão Pública - Contabilidade)</w:t>
      </w:r>
    </w:p>
    <w:p>
      <w:pPr>
        <w:spacing w:line="360" w:lineRule="auto" w:before="0" w:after="80"/>
        <w:jc w:val="both"/>
      </w:pPr>
      <w:r>
        <w:rPr>
          <w:rFonts w:ascii="Arial" w:hAnsi="Arial"/>
          <w:b w:val="0"/>
          <w:i w:val="0"/>
          <w:color w:val="111827"/>
          <w:sz w:val="24"/>
        </w:rPr>
        <w:t>No âmbito do setor público, a Secretaria de Estado da Saúde de Goiás mantém em seus depósitos centrais vultosos estoques de vacinas e medicamentos essenciais destinados exclusivamente à distribuição gratuita à população nos postos de saúde da rede pública.</w:t>
      </w:r>
    </w:p>
    <w:p>
      <w:pPr>
        <w:spacing w:line="360" w:lineRule="auto" w:before="0" w:after="80"/>
        <w:jc w:val="both"/>
      </w:pPr>
      <w:r>
        <w:rPr>
          <w:rFonts w:ascii="Arial" w:hAnsi="Arial"/>
          <w:b w:val="0"/>
          <w:i w:val="0"/>
          <w:color w:val="111827"/>
          <w:sz w:val="24"/>
        </w:rPr>
        <w:t>De acordo com as regras de mensuração de estoques contidas na NBC TSP 04:</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Os estoques devem ser mensurados pelo menor valor entre o custo histórico de aquisição e o valor justo de mercado para revenda.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Os estoques mantidos para distribuição gratuita devem ser mensurados pelo menor valor entre o custo e o custo corrente de reposição.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Secretaria de Saúde deve mensurar seus estoques obrigatoriamente a valor presente descontado pela taxa básica de juros (Selic).</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Medicamentos para distribuição gratuita não configuram ativo, devendo ser lançados como despesa de consumo no ato do recebimento da nota fiscal.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Os estoques devem ser mantidos sem qualquer registro patrimonial até o momento da efetiva aplicação nos pacientes.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Bens destinados à distribuição gratuita à sociedade não têm como objetivo a comercialização, inexistindo valor justo ou valor realizável de venda no mercado.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Conforme a regra expressa da NBC TSP 04 (Estoques), os bens mantidos pela administração pública para distribuição gratuita ou para consumo na prestação de serviços sem contraprestação financeira devem ser mensurados pelo menor valor entre o custo histórico de aquisição e o custo corrente de reposição.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Não se aplica metodologia de desconto a valor presente por taxa Selic para estoques de suprimentos médicos.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Medicamentos estocados representam recursos controlados com potencial de serviços, configurando ativo circulante de estoques até a entrega final ao usuário do SUS.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controle de almoxarifado exige controle patrimonial contínuo pelo princípio da competência.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Analista Contábil)</w:t>
      </w:r>
    </w:p>
    <w:p>
      <w:pPr>
        <w:spacing w:line="360" w:lineRule="auto" w:before="0" w:after="80"/>
        <w:jc w:val="both"/>
      </w:pPr>
      <w:r>
        <w:rPr>
          <w:rFonts w:ascii="Arial" w:hAnsi="Arial"/>
          <w:b w:val="0"/>
          <w:i w:val="0"/>
          <w:color w:val="111827"/>
          <w:sz w:val="24"/>
        </w:rPr>
        <w:t>A respeito do conceito de Ativo no setor público preconizado na NBC TSP Estrutura Conceitual,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capacidade de um bem público gerar fluxos futuros de caixa positivos é requisito indispensável para sua classificação como ativo governamental.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Um recurso pode ser reconhecido como ativo no setor público quando a entidade possui o controle do recurso, decorrente de evento passado, e do qual se espera a geração de benefícios econômicos ou potencial de serviços.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Bens de uso comum do povo, como rodovias e praças públicas, não podem ser classificados como ativos patrimoniais em virtude de sua inalienabilidade civil.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titularidade da propriedade jurídica formal é elemento obrigatório e insubstituível para o reconhecimento de qualquer ativo no setor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Os ativos intangíveis desenvolvidos pelo ente público são vedados na contabilidade governamental por ausência de valor físico tangível.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No setor público, a esmagadora maioria dos bens não gera fluxos de caixa positivos, mas gera potencial de serviços essenciais à coletividade.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Reproduz a definição clássica da NBC TSP EC: ativo é um recurso controlado no presente pela entidade em decorrência de eventos passados, do qual se espera a geração de benefícios econômicos futuros ou potencial de serviços.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Bens de uso comum do povo integram o patrimônio público e compõem o Ativo Não Circulante (Imobilizado de infraestrutura) quando controlados pelo 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elemento central para o reconhecimento é o controle econômico e não a propriedade jurídica formal, prevalecendo a primazia da essência econômica sobre a forma jurídica (ex.: arrendamento mercantil financeiro).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Ativos intangíveis (sistemas de TI, softwares, licenças) são plenamente reconhecidos no Ativo Não Circulante (Intangível) conforme a NBC TSP 08.</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Adaptada / Auditor de Controle Externo)</w:t>
      </w:r>
    </w:p>
    <w:p>
      <w:pPr>
        <w:spacing w:line="360" w:lineRule="auto" w:before="0" w:after="80"/>
        <w:jc w:val="both"/>
      </w:pPr>
      <w:r>
        <w:rPr>
          <w:rFonts w:ascii="Arial" w:hAnsi="Arial"/>
          <w:b w:val="0"/>
          <w:i w:val="0"/>
          <w:color w:val="111827"/>
          <w:sz w:val="24"/>
        </w:rPr>
        <w:t xml:space="preserve">Em determinado processo judicial em trâmite na Justiça do Trabalho contra uma autarquia estadual, a assessoria jurídica emitiu parecer formal classificando o risco de condenação e perda patrimonial da entidade como </w:t>
      </w:r>
      <w:r>
        <w:rPr>
          <w:rFonts w:ascii="Arial" w:hAnsi="Arial"/>
          <w:b/>
          <w:i w:val="0"/>
          <w:color w:val="111827"/>
          <w:sz w:val="24"/>
        </w:rPr>
        <w:t>possível</w:t>
      </w:r>
      <w:r>
        <w:rPr>
          <w:rFonts w:ascii="Arial" w:hAnsi="Arial"/>
          <w:b w:val="0"/>
          <w:i w:val="0"/>
          <w:color w:val="111827"/>
          <w:sz w:val="24"/>
        </w:rPr>
        <w:t>, sem possibilidade de definição precisa de valores no momento.</w:t>
      </w:r>
    </w:p>
    <w:p>
      <w:pPr>
        <w:spacing w:line="360" w:lineRule="auto" w:before="0" w:after="80"/>
        <w:jc w:val="both"/>
      </w:pPr>
      <w:r>
        <w:rPr>
          <w:rFonts w:ascii="Arial" w:hAnsi="Arial"/>
          <w:b w:val="0"/>
          <w:i w:val="0"/>
          <w:color w:val="111827"/>
          <w:sz w:val="24"/>
        </w:rPr>
        <w:t>Em observância à NBC TSP 03 e ao MCASP, a conduta contábil adequada a ser adotada pela autarquia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Reconhecer imediatamente uma provisão no Passivo Não Circulante pelo valor estimado pelo autor da 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Não efetuar lançamento contábil de provisão no Balanço Patrimonial, divulgando as informações relevantes sobre o passivo contingente em Notas Explicativas.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Deixar de efetuar qualquer lançamento contábil e dispensar a divulgação em notas explicativas em virtude do princípio do sigilo processual.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Registrar uma Variação Patrimonial Aumentativa para neutralizar o impacto financeiro futuro.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Solicitar abertura imediata de crédito adicional extraordinário para cobertura judicial.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reconhecimento de provisão no Balanço Patrimonial é cabível apenas e tão somente quando o risco de saída de recursos for classificado como provável.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a NBC TSP 03, quando a probabilidade de desembolso futuro for classificada como possível, a obrigação consubstancia um Passivo Contingente: não deve ser reconhecida no Balanço Patrimonial, mas deve ser compulsoriamente divulgada em Notas Explicativas, especificando a natureza da ação e as incertezas existentes.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dispensa de notas explicativas ocorre unicamente quando a probabilidade de perda for remota.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Ação indenizatória contra a entidade jamais configurará VPA (ganho patrimonial).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Crédito extraordinário destina-se exclusivamente a calamidades, guerra e comoção interna.</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02 - Procedimentos Contábeis Orçamentários (PCO) e Patrimoniais (PCP) - MCASP 11ª Edição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Contabilidade Aplicada ao Setor Público (CASP)</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02_mcasp_procedimentos_orcamentarios_e_patrimoniais.md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Manual de Contabilidade Aplicada ao Setor Público (MCASP, 11ª edição):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Parte I – Procedimentos Contábeis Orçamentários (PCO):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Regime Contábil Orçamentário (Artigo 35 da Lei nº 4.320/1964: Caixa para Receitas e Competência para Despesas);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Confronto analítico entre a execução orçamentária e as variações patrimoniais;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Variações Patrimoniais Quantitativas (Aumentativas e Diminutivas) e Qualitativas (Fatos Permutativos);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Variações Resultantes da Execução Orçamentária vs. Variações Independentes da Execução Orçamentária;</w:t>
      </w:r>
    </w:p>
    <w:p>
      <w:pPr>
        <w:spacing w:line="276" w:lineRule="auto" w:before="20" w:after="40"/>
        <w:ind w:left="992"/>
      </w:pPr>
      <w:r>
        <w:rPr>
          <w:rFonts w:ascii="Arial" w:hAnsi="Arial"/>
          <w:b/>
          <w:color w:val="2B6CB0"/>
          <w:sz w:val="22"/>
        </w:rPr>
        <w:t xml:space="preserve">• </w:t>
      </w:r>
      <w:r>
        <w:rPr>
          <w:rFonts w:ascii="Arial" w:hAnsi="Arial"/>
          <w:b/>
          <w:i w:val="0"/>
          <w:color w:val="111827"/>
          <w:sz w:val="22"/>
        </w:rPr>
        <w:t>Parte II – Procedimentos Contábeis Patrimoniais (PCP):</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Princípio da Competência aplicado aos fatos patrimoniais (reconhecimento de VPA e VPD pelo fato gerador econômico);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Ativo Imobilizado: reconhecimento, mensuração inicial ao custo e mensuração subsequente;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Bens de Uso Comum do Povo e Bens de Infraestrutura: critérios de reconhecimento no Balanço Patrimonial;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Depreciação, Amortização e Exaustão no setor público: valor depreciável, valor residual, vida útil econômica e ativos não depreciáveis;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Teste de Redução ao Valor Recuperável de Ativos (</w:t>
      </w:r>
      <w:r>
        <w:rPr>
          <w:rFonts w:ascii="Arial" w:hAnsi="Arial"/>
          <w:b w:val="0"/>
          <w:i/>
          <w:color w:val="111827"/>
          <w:sz w:val="22"/>
        </w:rPr>
        <w:t>Impairment Test</w:t>
      </w:r>
      <w:r>
        <w:rPr>
          <w:rFonts w:ascii="Arial" w:hAnsi="Arial"/>
          <w:b w:val="0"/>
          <w:i w:val="0"/>
          <w:color w:val="111827"/>
          <w:sz w:val="22"/>
        </w:rPr>
        <w:t>): conceitos e aplicação a ativos geradores e não geradores de caixa;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Provisões e desreconhecimento de ativos.</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O Dualismo de Regimes na Contabilidade Pública (Orçamentário vs. Patrimonial)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O Regime Orçamentário da Lei nº 4.320/1964 (Art. 35)</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 Regime Patrimonial da Competência Integral (MCASP e NBC TSP)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Quadro Sinótico de Confronto e Fatos Contábeis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Variações Patrimoniais: Classificações e Origens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Variações Qualitativas (Permutativas) vs. Quantitativas (Modificativas)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Variações Resultantes vs. Independentes da Execução Orçamentária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Procedimentos Patrimoniais Aplicados ao Ativo Imobilizado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Mensuração Inicial, Custos Atribuíveis e Bens de Infraestrutura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Depreciação, Amortização e Exaustão: Conceitos e Fórmulas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Ativos que NÃO Sofrem Depreciação Periódica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Teste de Redução ao Valor Recuperável de Ativos (*Impairment Test*)</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Mecanismo de Aferição do Valor Recuperável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Reconhecimento Contábil da Perda e Reversões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&amp; Manuais Técnicos Recomendados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no Padrão FCC</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O Dualismo de Regimes na Contabilidade Pública (Orçamentário vs. Patrimonial)</w:t>
      </w:r>
    </w:p>
    <w:p>
      <w:pPr>
        <w:spacing w:line="360" w:lineRule="auto" w:before="0" w:after="80"/>
        <w:jc w:val="both"/>
      </w:pPr>
      <w:r>
        <w:rPr>
          <w:rFonts w:ascii="Arial" w:hAnsi="Arial"/>
          <w:b w:val="0"/>
          <w:i w:val="0"/>
          <w:color w:val="111827"/>
          <w:sz w:val="24"/>
        </w:rPr>
        <w:t>A Contabilidade Aplicada ao Setor Público (CASP) no Brasil opera com a convivência harmônica e integrada de dois regimes contábeis fundamentais:</w:t>
      </w:r>
    </w:p>
    <w:p>
      <w:pPr>
        <w:spacing w:after="120"/>
      </w:pPr>
    </w:p>
    <w:p>
      <w:pPr>
        <w:keepNext/>
        <w:spacing w:before="120" w:after="40"/>
      </w:pPr>
      <w:r>
        <w:rPr>
          <w:rFonts w:ascii="Arial" w:hAnsi="Arial"/>
          <w:b/>
          <w:i/>
          <w:color w:val="334155"/>
          <w:sz w:val="22"/>
        </w:rPr>
        <w:t>1.1 O Regime Orçamentário da Lei nº 4.320/1964 (Art. 35)</w:t>
      </w:r>
    </w:p>
    <w:p>
      <w:pPr>
        <w:spacing w:line="360" w:lineRule="auto" w:before="0" w:after="80"/>
        <w:jc w:val="both"/>
      </w:pPr>
      <w:r>
        <w:rPr>
          <w:rFonts w:ascii="Arial" w:hAnsi="Arial"/>
          <w:b w:val="0"/>
          <w:i w:val="0"/>
          <w:color w:val="111827"/>
          <w:sz w:val="24"/>
        </w:rPr>
        <w:t>O art. 35 da Lei Federal nº 4.320/1964 disciplina a apropriação dos créditos orçamentários sob um regime misto: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Receita Orçamentária:</w:t>
      </w:r>
      <w:r>
        <w:rPr>
          <w:rFonts w:ascii="Arial" w:hAnsi="Arial"/>
          <w:b w:val="0"/>
          <w:i w:val="0"/>
          <w:color w:val="111827"/>
          <w:sz w:val="22"/>
        </w:rPr>
        <w:t xml:space="preserve"> Pertence ao exercício financeiro em que for efetivamente </w:t>
      </w:r>
      <w:r>
        <w:rPr>
          <w:rFonts w:ascii="Arial" w:hAnsi="Arial"/>
          <w:b/>
          <w:i w:val="0"/>
          <w:color w:val="111827"/>
          <w:sz w:val="22"/>
        </w:rPr>
        <w:t>arrecadada</w:t>
      </w:r>
      <w:r>
        <w:rPr>
          <w:rFonts w:ascii="Arial" w:hAnsi="Arial"/>
          <w:b w:val="0"/>
          <w:i w:val="0"/>
          <w:color w:val="111827"/>
          <w:sz w:val="22"/>
        </w:rPr>
        <w:t xml:space="preserve"> pelos agentes bancários credenciados (regime de caixa puro na dimensão orçamentária);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Despesa Orçamentária:</w:t>
      </w:r>
      <w:r>
        <w:rPr>
          <w:rFonts w:ascii="Arial" w:hAnsi="Arial"/>
          <w:b w:val="0"/>
          <w:i w:val="0"/>
          <w:color w:val="111827"/>
          <w:sz w:val="22"/>
        </w:rPr>
        <w:t xml:space="preserve"> Pertence ao exercício financeiro em que for legalmente </w:t>
      </w:r>
      <w:r>
        <w:rPr>
          <w:rFonts w:ascii="Arial" w:hAnsi="Arial"/>
          <w:b/>
          <w:i w:val="0"/>
          <w:color w:val="111827"/>
          <w:sz w:val="22"/>
        </w:rPr>
        <w:t>empenhada</w:t>
      </w:r>
      <w:r>
        <w:rPr>
          <w:rFonts w:ascii="Arial" w:hAnsi="Arial"/>
          <w:b w:val="0"/>
          <w:i w:val="0"/>
          <w:color w:val="111827"/>
          <w:sz w:val="22"/>
        </w:rPr>
        <w:t xml:space="preserve"> pela autoridade ordenadora (regime de competência orçamentária, assegurando a reserva do crédito antes da contratação).</w:t>
      </w:r>
    </w:p>
    <w:p>
      <w:pPr>
        <w:keepNext/>
        <w:spacing w:before="120" w:after="40"/>
      </w:pPr>
      <w:r>
        <w:rPr>
          <w:rFonts w:ascii="Arial" w:hAnsi="Arial"/>
          <w:b/>
          <w:i/>
          <w:color w:val="334155"/>
          <w:sz w:val="22"/>
        </w:rPr>
        <w:t>1.2 O Regime Patrimonial da Competência Integral (MCASP e NBC TSP)</w:t>
      </w:r>
    </w:p>
    <w:p>
      <w:pPr>
        <w:spacing w:line="360" w:lineRule="auto" w:before="0" w:after="80"/>
        <w:jc w:val="both"/>
      </w:pPr>
      <w:r>
        <w:rPr>
          <w:rFonts w:ascii="Arial" w:hAnsi="Arial"/>
          <w:b w:val="0"/>
          <w:i w:val="0"/>
          <w:color w:val="111827"/>
          <w:sz w:val="24"/>
        </w:rPr>
        <w:t xml:space="preserve">No âmbito patrimonial (MCASP e NBC TSP Estrutura Conceitual), vigora o </w:t>
      </w:r>
      <w:r>
        <w:rPr>
          <w:rFonts w:ascii="Arial" w:hAnsi="Arial"/>
          <w:b/>
          <w:i w:val="0"/>
          <w:color w:val="111827"/>
          <w:sz w:val="24"/>
        </w:rPr>
        <w:t>regime de competência puro e irrestrito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Os efeitos das transações e demais eventos contábeis são reconhecidos quando ocorrem os seus respectivos fatos geradores econômicos, independentemente do recebimento ou pagamento em dinheiro de caixa;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As receitas patrimoniais denominam-se </w:t>
      </w:r>
      <w:r>
        <w:rPr>
          <w:rFonts w:ascii="Arial" w:hAnsi="Arial"/>
          <w:b/>
          <w:i w:val="0"/>
          <w:color w:val="111827"/>
          <w:sz w:val="22"/>
        </w:rPr>
        <w:t>Variações Patrimoniais Aumentativas (VPA)</w:t>
      </w:r>
      <w:r>
        <w:rPr>
          <w:rFonts w:ascii="Arial" w:hAnsi="Arial"/>
          <w:b w:val="0"/>
          <w:i w:val="0"/>
          <w:color w:val="111827"/>
          <w:sz w:val="22"/>
        </w:rPr>
        <w:t xml:space="preserve"> e as despesas patrimoniais denominam-se </w:t>
      </w:r>
      <w:r>
        <w:rPr>
          <w:rFonts w:ascii="Arial" w:hAnsi="Arial"/>
          <w:b/>
          <w:i w:val="0"/>
          <w:color w:val="111827"/>
          <w:sz w:val="22"/>
        </w:rPr>
        <w:t>Variações Patrimoniais Diminutivas (VPD)</w:t>
      </w:r>
      <w:r>
        <w:rPr>
          <w:rFonts w:ascii="Arial" w:hAnsi="Arial"/>
          <w:b w:val="0"/>
          <w:i w:val="0"/>
          <w:color w:val="111827"/>
          <w:sz w:val="22"/>
        </w:rPr>
        <w:t>.</w:t>
      </w:r>
    </w:p>
    <w:p>
      <w:pPr>
        <w:keepNext/>
        <w:spacing w:before="120" w:after="40"/>
      </w:pPr>
      <w:r>
        <w:rPr>
          <w:rFonts w:ascii="Arial" w:hAnsi="Arial"/>
          <w:b/>
          <w:i/>
          <w:color w:val="334155"/>
          <w:sz w:val="22"/>
        </w:rPr>
        <w:t>1.3 Quadro Sinótico de Confronto e Fatos Contábeis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Evento Prático Governamental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Enfoque Orçamentário (Lei nº 4.320/1964)</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Enfoque Patrimonial (MCASP / NBC TSP)</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Natureza do Fato Contábil</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Lançamento do IPTU ou IPVA pelo Fisco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há receita orçamentária realizada (aguarda arrecadação).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Ocorre VPA</w:t>
            </w:r>
            <w:r>
              <w:rPr>
                <w:rFonts w:ascii="Arial" w:hAnsi="Arial"/>
                <w:b w:val="0"/>
                <w:i w:val="0"/>
                <w:color w:val="111827"/>
                <w:sz w:val="19"/>
              </w:rPr>
              <w:t xml:space="preserve"> (direito líquido e certo gerado pelo fato gerador tributário).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Fato Modificativo Aumentativo</w:t>
            </w:r>
            <w:r>
              <w:rPr>
                <w:rFonts w:ascii="Arial" w:hAnsi="Arial"/>
                <w:b w:val="0"/>
                <w:i w:val="0"/>
                <w:color w:val="111827"/>
                <w:sz w:val="19"/>
              </w:rPr>
              <w:t xml:space="preserve"> (aumenta o PL da entidade).</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Contribuinte paga o tributo no caixa bancário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Receita Orçamentária Realizada</w:t>
            </w:r>
            <w:r>
              <w:rPr>
                <w:rFonts w:ascii="Arial" w:hAnsi="Arial"/>
                <w:b w:val="0"/>
                <w:i w:val="0"/>
                <w:color w:val="111827"/>
                <w:sz w:val="19"/>
              </w:rPr>
              <w:t xml:space="preserve"> (estágio da arrecadação/recolhimento).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Nenhum impacto no resultado patrimonial! (D: Caixa / C: Tributos a Receber).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Fato Permutativo / Qualitativo</w:t>
            </w:r>
            <w:r>
              <w:rPr>
                <w:rFonts w:ascii="Arial" w:hAnsi="Arial"/>
                <w:b w:val="0"/>
                <w:i w:val="0"/>
                <w:color w:val="111827"/>
                <w:sz w:val="19"/>
              </w:rPr>
              <w:t xml:space="preserve"> (o PL não é alterado).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Emissão de Nota de Empenho de material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Despesa Orçamentária Executada</w:t>
            </w:r>
            <w:r>
              <w:rPr>
                <w:rFonts w:ascii="Arial" w:hAnsi="Arial"/>
                <w:b w:val="0"/>
                <w:i w:val="0"/>
                <w:color w:val="111827"/>
                <w:sz w:val="19"/>
              </w:rPr>
              <w:t xml:space="preserve"> (reserva de crédito na LOA).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Não há fato patrimonial (nenhum bem ou serviço ingressou no patrimônio).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Ato Potencial</w:t>
            </w:r>
            <w:r>
              <w:rPr>
                <w:rFonts w:ascii="Arial" w:hAnsi="Arial"/>
                <w:b w:val="0"/>
                <w:i w:val="0"/>
                <w:color w:val="111827"/>
                <w:sz w:val="19"/>
              </w:rPr>
              <w:t xml:space="preserve"> (registro puramente orçamentário e de controle).</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Recebimento e Atesto do material (Liquidação)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Despesa orçamentária liquidada (passivo orçamentário a pagar).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Ocorre VPD ou Ativo</w:t>
            </w:r>
            <w:r>
              <w:rPr>
                <w:rFonts w:ascii="Arial" w:hAnsi="Arial"/>
                <w:b w:val="0"/>
                <w:i w:val="0"/>
                <w:color w:val="111827"/>
                <w:sz w:val="19"/>
              </w:rPr>
              <w:t xml:space="preserve"> (se for material de consumo imediato gera VPD; se for estoque/imobilizado gera ativo).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Fato Modificativo Diminutivo</w:t>
            </w:r>
            <w:r>
              <w:rPr>
                <w:rFonts w:ascii="Arial" w:hAnsi="Arial"/>
                <w:b w:val="0"/>
                <w:i w:val="0"/>
                <w:color w:val="111827"/>
                <w:sz w:val="19"/>
              </w:rPr>
              <w:t xml:space="preserve"> (se consumo) ou </w:t>
            </w:r>
            <w:r>
              <w:rPr>
                <w:rFonts w:ascii="Arial" w:hAnsi="Arial"/>
                <w:b/>
                <w:i w:val="0"/>
                <w:color w:val="111827"/>
                <w:sz w:val="19"/>
              </w:rPr>
              <w:t>Permutativo</w:t>
            </w:r>
            <w:r>
              <w:rPr>
                <w:rFonts w:ascii="Arial" w:hAnsi="Arial"/>
                <w:b w:val="0"/>
                <w:i w:val="0"/>
                <w:color w:val="111827"/>
                <w:sz w:val="19"/>
              </w:rPr>
              <w:t xml:space="preserve"> (se estocagem).</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Ordem Bancária de Pagamento emitida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Despesa orçamentária paga (extingue dotação e passivo).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Extingue o passivo financeiro com saída de disponibilidades (D: Fornecedores / C: Caixa).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Fato Permutativo</w:t>
            </w:r>
            <w:r>
              <w:rPr>
                <w:rFonts w:ascii="Arial" w:hAnsi="Arial"/>
                <w:b w:val="0"/>
                <w:i w:val="0"/>
                <w:color w:val="111827"/>
                <w:sz w:val="19"/>
              </w:rPr>
              <w:t xml:space="preserve"> (não afeta o PL).</w:t>
            </w:r>
          </w:p>
        </w:tc>
      </w:tr>
    </w:tbl>
    <w:p>
      <w:pPr>
        <w:spacing w:after="120"/>
      </w:pPr>
    </w:p>
    <w:p>
      <w:pPr>
        <w:keepNext/>
        <w:spacing w:before="200" w:after="80"/>
      </w:pPr>
      <w:r>
        <w:rPr>
          <w:rFonts w:ascii="Arial" w:hAnsi="Arial"/>
          <w:b/>
          <w:i w:val="0"/>
          <w:color w:val="2B6CB0"/>
          <w:sz w:val="24"/>
        </w:rPr>
        <w:t>2. Variações Patrimoniais: Classificações e Origens</w:t>
      </w:r>
    </w:p>
    <w:p>
      <w:pPr>
        <w:keepNext/>
        <w:spacing w:before="120" w:after="40"/>
      </w:pPr>
      <w:r>
        <w:rPr>
          <w:rFonts w:ascii="Arial" w:hAnsi="Arial"/>
          <w:b/>
          <w:i/>
          <w:color w:val="334155"/>
          <w:sz w:val="22"/>
        </w:rPr>
        <w:t>2.1 Variações Qualitativas (Permutativas) vs. Quantitativas (Modificativas)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Variações Qualitativas (Fatos Permutativos):</w:t>
      </w:r>
      <w:r>
        <w:rPr>
          <w:rFonts w:ascii="Arial" w:hAnsi="Arial"/>
          <w:b w:val="0"/>
          <w:i w:val="0"/>
          <w:color w:val="111827"/>
          <w:sz w:val="22"/>
        </w:rPr>
        <w:t xml:space="preserve"> São transações que alteram a composição dos elementos patrimoniais (Ativos e Passivos) sem provocar qualquer variação no montante líquido do Patrimônio Líquido (ex.: compra à vista de equipamentos, recebimento de créditos tributários lançados anteriormente, pagamento de fornecedores);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Variações Quantitativas (Fatos Modificativos):</w:t>
      </w:r>
      <w:r>
        <w:rPr>
          <w:rFonts w:ascii="Arial" w:hAnsi="Arial"/>
          <w:b w:val="0"/>
          <w:i w:val="0"/>
          <w:color w:val="111827"/>
          <w:sz w:val="22"/>
        </w:rPr>
        <w:t xml:space="preserve"> Transações que impactam diretamente e alteram o valor total do Patrimônio Líquido da entidade pública:</w:t>
      </w:r>
    </w:p>
    <w:p>
      <w:pPr>
        <w:spacing w:line="276" w:lineRule="auto" w:before="20" w:after="40"/>
        <w:ind w:left="992"/>
      </w:pPr>
      <w:r>
        <w:rPr>
          <w:rFonts w:ascii="Arial" w:hAnsi="Arial"/>
          <w:b/>
          <w:color w:val="2B6CB0"/>
          <w:sz w:val="22"/>
        </w:rPr>
        <w:t xml:space="preserve">• </w:t>
      </w:r>
      <w:r>
        <w:rPr>
          <w:rFonts w:ascii="Arial" w:hAnsi="Arial"/>
          <w:b w:val="0"/>
          <w:i/>
          <w:color w:val="111827"/>
          <w:sz w:val="22"/>
        </w:rPr>
        <w:t>Variação Patrimonial Aumentativa (VPA):</w:t>
      </w:r>
      <w:r>
        <w:rPr>
          <w:rFonts w:ascii="Arial" w:hAnsi="Arial"/>
          <w:b w:val="0"/>
          <w:i w:val="0"/>
          <w:color w:val="111827"/>
          <w:sz w:val="22"/>
        </w:rPr>
        <w:t xml:space="preserve"> Transação que eleva o PL (ex.: arrecadação de tributos não lançados, doações de bens recebidas de terceiros, juros ativos ganhos em aplicações);</w:t>
      </w:r>
    </w:p>
    <w:p>
      <w:pPr>
        <w:spacing w:line="276" w:lineRule="auto" w:before="20" w:after="40"/>
        <w:ind w:left="992"/>
      </w:pPr>
      <w:r>
        <w:rPr>
          <w:rFonts w:ascii="Arial" w:hAnsi="Arial"/>
          <w:b/>
          <w:color w:val="2B6CB0"/>
          <w:sz w:val="22"/>
        </w:rPr>
        <w:t xml:space="preserve">• </w:t>
      </w:r>
      <w:r>
        <w:rPr>
          <w:rFonts w:ascii="Arial" w:hAnsi="Arial"/>
          <w:b w:val="0"/>
          <w:i/>
          <w:color w:val="111827"/>
          <w:sz w:val="22"/>
        </w:rPr>
        <w:t>Variação Patrimonial Diminutiva (VPD):</w:t>
      </w:r>
      <w:r>
        <w:rPr>
          <w:rFonts w:ascii="Arial" w:hAnsi="Arial"/>
          <w:b w:val="0"/>
          <w:i w:val="0"/>
          <w:color w:val="111827"/>
          <w:sz w:val="22"/>
        </w:rPr>
        <w:t xml:space="preserve"> Transação que reduz o PL (ex.: consumo de material de expediente, folha de salários do funcionalismo, quotas de depreciação mensal).</w:t>
      </w:r>
    </w:p>
    <w:p>
      <w:pPr>
        <w:keepNext/>
        <w:spacing w:before="120" w:after="40"/>
      </w:pPr>
      <w:r>
        <w:rPr>
          <w:rFonts w:ascii="Arial" w:hAnsi="Arial"/>
          <w:b/>
          <w:i/>
          <w:color w:val="334155"/>
          <w:sz w:val="22"/>
        </w:rPr>
        <w:t>2.2 Variações Resultantes vs. Independentes da Execução Orçamentária</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Depreciação é despesa orçamentária? NÃO!</w:t>
            </w:r>
            <w:r>
              <w:rPr>
                <w:rFonts w:ascii="Arial" w:hAnsi="Arial"/>
                <w:b w:val="0"/>
                <w:i w:val="0"/>
                <w:color w:val="111827"/>
                <w:sz w:val="21"/>
              </w:rPr>
              <w:t xml:space="preserve"> A depreciação é uma </w:t>
            </w:r>
            <w:r>
              <w:rPr>
                <w:rFonts w:ascii="Arial" w:hAnsi="Arial"/>
                <w:b/>
                <w:i w:val="0"/>
                <w:color w:val="111827"/>
                <w:sz w:val="21"/>
              </w:rPr>
              <w:t>Variação Patrimonial Diminutiva Independente da Execução Orçamentária (VIEO)</w:t>
            </w:r>
            <w:r>
              <w:rPr>
                <w:rFonts w:ascii="Arial" w:hAnsi="Arial"/>
                <w:b w:val="0"/>
                <w:i w:val="0"/>
                <w:color w:val="111827"/>
                <w:sz w:val="21"/>
              </w:rPr>
              <w:t>. Não exige empenho, dotação orçamentária na LOA nem liquidação; opera-se exclusivamente no subsistema patrimonial!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Doação de imóvel recebida é receita orçamentária de capital? NÃO!</w:t>
            </w:r>
            <w:r>
              <w:rPr>
                <w:rFonts w:ascii="Arial" w:hAnsi="Arial"/>
                <w:b w:val="0"/>
                <w:i w:val="0"/>
                <w:color w:val="111827"/>
                <w:sz w:val="21"/>
              </w:rPr>
              <w:t xml:space="preserve"> Não transita pela LOA nem envolve disponibilidade financeira em moeda. Trata-se de uma </w:t>
            </w:r>
            <w:r>
              <w:rPr>
                <w:rFonts w:ascii="Arial" w:hAnsi="Arial"/>
                <w:b/>
                <w:i w:val="0"/>
                <w:color w:val="111827"/>
                <w:sz w:val="21"/>
              </w:rPr>
              <w:t>VPA Independente da Execução Orçamentária (VIEO)</w:t>
            </w:r>
            <w:r>
              <w:rPr>
                <w:rFonts w:ascii="Arial" w:hAnsi="Arial"/>
                <w:b w:val="0"/>
                <w:i w:val="0"/>
                <w:color w:val="111827"/>
                <w:sz w:val="21"/>
              </w:rPr>
              <w:t xml:space="preserve"> que eleva diretamente o Ativo Imobilizado e o Patrimônio Líquido do ente federativo.</w:t>
            </w:r>
          </w:p>
        </w:tc>
      </w:tr>
    </w:tbl>
    <w:p>
      <w:pPr>
        <w:spacing w:before="0" w:after="120"/>
      </w:pPr>
    </w:p>
    <w:p>
      <w:pPr>
        <w:keepNext/>
        <w:spacing w:before="200" w:after="80"/>
      </w:pPr>
      <w:r>
        <w:rPr>
          <w:rFonts w:ascii="Arial" w:hAnsi="Arial"/>
          <w:b/>
          <w:i w:val="0"/>
          <w:color w:val="2B6CB0"/>
          <w:sz w:val="24"/>
        </w:rPr>
        <w:t>3. Procedimentos Patrimoniais Aplicados ao Ativo Imobilizado</w:t>
      </w:r>
    </w:p>
    <w:p>
      <w:pPr>
        <w:keepNext/>
        <w:spacing w:before="120" w:after="40"/>
      </w:pPr>
      <w:r>
        <w:rPr>
          <w:rFonts w:ascii="Arial" w:hAnsi="Arial"/>
          <w:b/>
          <w:i/>
          <w:color w:val="334155"/>
          <w:sz w:val="22"/>
        </w:rPr>
        <w:t>3.1 Mensuração Inicial, Custos Atribuíveis e Bens de Infraestrutura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Mensuração Inicial:</w:t>
      </w:r>
      <w:r>
        <w:rPr>
          <w:rFonts w:ascii="Arial" w:hAnsi="Arial"/>
          <w:b w:val="0"/>
          <w:i w:val="0"/>
          <w:color w:val="111827"/>
          <w:sz w:val="22"/>
        </w:rPr>
        <w:t xml:space="preserve"> O ativo imobilizado deve ser mensurado inicialmente pelo seu </w:t>
      </w:r>
      <w:r>
        <w:rPr>
          <w:rFonts w:ascii="Arial" w:hAnsi="Arial"/>
          <w:b/>
          <w:i w:val="0"/>
          <w:color w:val="111827"/>
          <w:sz w:val="22"/>
        </w:rPr>
        <w:t>custo de aquisição ou construção</w:t>
      </w:r>
      <w:r>
        <w:rPr>
          <w:rFonts w:ascii="Arial" w:hAnsi="Arial"/>
          <w:b w:val="0"/>
          <w:i w:val="0"/>
          <w:color w:val="111827"/>
          <w:sz w:val="22"/>
        </w:rPr>
        <w:t>, o qual engloba o preço de compra (deduzidos descontos comerciais e abatimentos), tributos não recuperáveis e todos os custos diretamente atribuíveis necessários para colocar o bem em local e condições operacionais de funcionamento pretendidos pela administração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Bens de Infraestrutura e Bens de Uso Comum do Povo:</w:t>
      </w:r>
      <w:r>
        <w:rPr>
          <w:rFonts w:ascii="Arial" w:hAnsi="Arial"/>
          <w:b w:val="0"/>
          <w:i w:val="0"/>
          <w:color w:val="111827"/>
          <w:sz w:val="22"/>
        </w:rPr>
        <w:t xml:space="preserve"> Rodovias, pontes, praças públicas, redes de esgoto e iluminação pública que estejam sob o controle da entidade governamental e possuam potencial de serviços mensurável com confiabilidade </w:t>
      </w:r>
      <w:r>
        <w:rPr>
          <w:rFonts w:ascii="Arial" w:hAnsi="Arial"/>
          <w:b/>
          <w:i w:val="0"/>
          <w:color w:val="111827"/>
          <w:sz w:val="22"/>
        </w:rPr>
        <w:t>devem ser formalmente reconhecidos no Ativo Não Circulante (Imobilizado)</w:t>
      </w:r>
      <w:r>
        <w:rPr>
          <w:rFonts w:ascii="Arial" w:hAnsi="Arial"/>
          <w:b w:val="0"/>
          <w:i w:val="0"/>
          <w:color w:val="111827"/>
          <w:sz w:val="22"/>
        </w:rPr>
        <w:t xml:space="preserve"> do Balanço Patrimonial, contrariando a prática histórica de lançar tais obras como mera despesa orçamentária extinta.</w:t>
      </w:r>
    </w:p>
    <w:p>
      <w:pPr>
        <w:keepNext/>
        <w:spacing w:before="120" w:after="40"/>
      </w:pPr>
      <w:r>
        <w:rPr>
          <w:rFonts w:ascii="Arial" w:hAnsi="Arial"/>
          <w:b/>
          <w:i/>
          <w:color w:val="334155"/>
          <w:sz w:val="22"/>
        </w:rPr>
        <w:t>3.2 Depreciação, Amortização e Exaustão: Conceitos e Fórmulas</w:t>
      </w:r>
    </w:p>
    <w:p>
      <w:pPr>
        <w:spacing w:line="360" w:lineRule="auto" w:before="0" w:after="80"/>
        <w:jc w:val="both"/>
      </w:pPr>
      <w:r>
        <w:rPr>
          <w:rFonts w:ascii="Arial" w:hAnsi="Arial"/>
          <w:b w:val="0"/>
          <w:i w:val="0"/>
          <w:color w:val="111827"/>
          <w:sz w:val="24"/>
        </w:rPr>
        <w:t>Conforme a NBC TSP 07 e o MCASP:</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Depreciação:</w:t>
      </w:r>
      <w:r>
        <w:rPr>
          <w:rFonts w:ascii="Arial" w:hAnsi="Arial"/>
          <w:b w:val="0"/>
          <w:i w:val="0"/>
          <w:color w:val="111827"/>
          <w:sz w:val="22"/>
        </w:rPr>
        <w:t xml:space="preserve"> Alocação sistemática do valor depreciável de um </w:t>
      </w:r>
      <w:r>
        <w:rPr>
          <w:rFonts w:ascii="Arial" w:hAnsi="Arial"/>
          <w:b/>
          <w:i w:val="0"/>
          <w:color w:val="111827"/>
          <w:sz w:val="22"/>
        </w:rPr>
        <w:t>ativo tangível (corpóreo)</w:t>
      </w:r>
      <w:r>
        <w:rPr>
          <w:rFonts w:ascii="Arial" w:hAnsi="Arial"/>
          <w:b w:val="0"/>
          <w:i w:val="0"/>
          <w:color w:val="111827"/>
          <w:sz w:val="22"/>
        </w:rPr>
        <w:t xml:space="preserve"> ao longo de sua vida útil econômica estimada;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Amortização:</w:t>
      </w:r>
      <w:r>
        <w:rPr>
          <w:rFonts w:ascii="Arial" w:hAnsi="Arial"/>
          <w:b w:val="0"/>
          <w:i w:val="0"/>
          <w:color w:val="111827"/>
          <w:sz w:val="22"/>
        </w:rPr>
        <w:t xml:space="preserve"> Alocação sistemática do valor amortizável de um </w:t>
      </w:r>
      <w:r>
        <w:rPr>
          <w:rFonts w:ascii="Arial" w:hAnsi="Arial"/>
          <w:b/>
          <w:i w:val="0"/>
          <w:color w:val="111827"/>
          <w:sz w:val="22"/>
        </w:rPr>
        <w:t>ativo intangível (incorpóreo)</w:t>
      </w:r>
      <w:r>
        <w:rPr>
          <w:rFonts w:ascii="Arial" w:hAnsi="Arial"/>
          <w:b w:val="0"/>
          <w:i w:val="0"/>
          <w:color w:val="111827"/>
          <w:sz w:val="22"/>
        </w:rPr>
        <w:t xml:space="preserve"> com vida útil definida (ex.: softwares, licenças governamentais adquiridas);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Exaustão:</w:t>
      </w:r>
      <w:r>
        <w:rPr>
          <w:rFonts w:ascii="Arial" w:hAnsi="Arial"/>
          <w:b w:val="0"/>
          <w:i w:val="0"/>
          <w:color w:val="111827"/>
          <w:sz w:val="22"/>
        </w:rPr>
        <w:t xml:space="preserve"> Redução do valor de recursos minerais, hídricos ou florestais decorrente de sua exploração produtiva contínua pelo Estado.</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\text{Valor Depreciável} = \text{Custo Histórico de Aquisição} - \text{Valor Residual Estimado}</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\text{Quota Periódica de Depreciação (Método Linear)} = \frac{\text{Valor Depreciável}}{\text{Vida Útil Econômica}}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Lançamento Contábil da Depreciação Periódica:</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D</w:t>
      </w:r>
      <w:r>
        <w:rPr>
          <w:rFonts w:ascii="Arial" w:hAnsi="Arial"/>
          <w:b w:val="0"/>
          <w:i w:val="0"/>
          <w:color w:val="111827"/>
          <w:sz w:val="22"/>
        </w:rPr>
        <w:t xml:space="preserve"> - Variação Patrimonial Diminutiva (VPD - Depreciação de Bens Móveis/Imóveis);</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C</w:t>
      </w:r>
      <w:r>
        <w:rPr>
          <w:rFonts w:ascii="Arial" w:hAnsi="Arial"/>
          <w:b w:val="0"/>
          <w:i w:val="0"/>
          <w:color w:val="111827"/>
          <w:sz w:val="22"/>
        </w:rPr>
        <w:t xml:space="preserve"> - Depreciação Acumulada (Conta retificadora redutora do Ativo Imobilizado).</w:t>
      </w:r>
    </w:p>
    <w:p>
      <w:pPr>
        <w:keepNext/>
        <w:spacing w:before="120" w:after="40"/>
      </w:pPr>
      <w:r>
        <w:rPr>
          <w:rFonts w:ascii="Arial" w:hAnsi="Arial"/>
          <w:b/>
          <w:i/>
          <w:color w:val="334155"/>
          <w:sz w:val="22"/>
        </w:rPr>
        <w:t>3.3 Ativos que NÃO Sofrem Depreciação Periódica</w:t>
      </w:r>
    </w:p>
    <w:p>
      <w:pPr>
        <w:spacing w:line="360" w:lineRule="auto" w:before="0" w:after="80"/>
        <w:jc w:val="both"/>
      </w:pPr>
      <w:r>
        <w:rPr>
          <w:rFonts w:ascii="Arial" w:hAnsi="Arial"/>
          <w:b w:val="0"/>
          <w:i w:val="0"/>
          <w:color w:val="111827"/>
          <w:sz w:val="24"/>
        </w:rPr>
        <w:t>O MCASP elenca expressamente os ativos públicos que não estão sujeitos à depreciação: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Terrenos:</w:t>
      </w:r>
      <w:r>
        <w:rPr>
          <w:rFonts w:ascii="Arial" w:hAnsi="Arial"/>
          <w:b w:val="0"/>
          <w:i w:val="0"/>
          <w:color w:val="111827"/>
          <w:sz w:val="22"/>
        </w:rPr>
        <w:t xml:space="preserve"> Possuem vida útil econômica indefinida (ressalvadas áreas destinadas a aterros sanitários ou pedreiras cuja capacidade física se esgota);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Obras de arte, relíquias e antiguidades:</w:t>
      </w:r>
      <w:r>
        <w:rPr>
          <w:rFonts w:ascii="Arial" w:hAnsi="Arial"/>
          <w:b w:val="0"/>
          <w:i w:val="0"/>
          <w:color w:val="111827"/>
          <w:sz w:val="22"/>
        </w:rPr>
        <w:t xml:space="preserve"> Cujo valor cultural, artístico ou histórico seja inestimável e não sofra perda sistemática de potencial de serviços ao longo do tempo;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Bens de valor histórico com vida útil indeterminada mantidos em museus e acervos cívicos.</w:t>
      </w:r>
    </w:p>
    <w:p>
      <w:pPr>
        <w:keepNext/>
        <w:spacing w:before="200" w:after="80"/>
      </w:pPr>
      <w:r>
        <w:rPr>
          <w:rFonts w:ascii="Arial" w:hAnsi="Arial"/>
          <w:b/>
          <w:i w:val="0"/>
          <w:color w:val="2B6CB0"/>
          <w:sz w:val="24"/>
        </w:rPr>
        <w:t>4. Teste de Redução ao Valor Recuperável de Ativos (</w:t>
      </w:r>
      <w:r>
        <w:rPr>
          <w:rFonts w:ascii="Arial" w:hAnsi="Arial"/>
          <w:b/>
          <w:i/>
          <w:color w:val="2B6CB0"/>
          <w:sz w:val="24"/>
        </w:rPr>
        <w:t>Impairment Test</w:t>
      </w:r>
      <w:r>
        <w:rPr>
          <w:rFonts w:ascii="Arial" w:hAnsi="Arial"/>
          <w:b/>
          <w:i w:val="0"/>
          <w:color w:val="2B6CB0"/>
          <w:sz w:val="24"/>
        </w:rPr>
        <w:t>)</w:t>
      </w:r>
    </w:p>
    <w:p>
      <w:pPr>
        <w:keepNext/>
        <w:spacing w:before="120" w:after="40"/>
      </w:pPr>
      <w:r>
        <w:rPr>
          <w:rFonts w:ascii="Arial" w:hAnsi="Arial"/>
          <w:b/>
          <w:i/>
          <w:color w:val="334155"/>
          <w:sz w:val="22"/>
        </w:rPr>
        <w:t>4.1 Mecanismo de Aferição do Valor Recuperável</w:t>
      </w:r>
    </w:p>
    <w:p>
      <w:pPr>
        <w:spacing w:line="360" w:lineRule="auto" w:before="0" w:after="80"/>
        <w:jc w:val="both"/>
      </w:pPr>
      <w:r>
        <w:rPr>
          <w:rFonts w:ascii="Arial" w:hAnsi="Arial"/>
          <w:b w:val="0"/>
          <w:i w:val="0"/>
          <w:color w:val="111827"/>
          <w:sz w:val="24"/>
        </w:rPr>
        <w:t xml:space="preserve">O objetivo do teste de recuperabilidade (NBC TSP 09 e 10 c/c MCASP) é garantir que nenhum ativo figure no Balanço Patrimonial por valor superior ao seu </w:t>
      </w:r>
      <w:r>
        <w:rPr>
          <w:rFonts w:ascii="Arial" w:hAnsi="Arial"/>
          <w:b/>
          <w:i w:val="0"/>
          <w:color w:val="111827"/>
          <w:sz w:val="24"/>
        </w:rPr>
        <w:t>Valor Recuperável</w:t>
      </w:r>
      <w:r>
        <w:rPr>
          <w:rFonts w:ascii="Arial" w:hAnsi="Arial"/>
          <w:b w:val="0"/>
          <w:i w:val="0"/>
          <w:color w:val="111827"/>
          <w:sz w:val="24"/>
        </w:rPr>
        <w:t>:</w:t>
      </w:r>
    </w:p>
    <w:p>
      <w:pPr>
        <w:spacing w:after="120"/>
      </w:pPr>
    </w:p>
    <w:p>
      <w:pPr>
        <w:keepNext/>
        <w:spacing w:before="120" w:after="40"/>
      </w:pPr>
      <w:r>
        <w:rPr>
          <w:rFonts w:ascii="Arial" w:hAnsi="Arial"/>
          <w:b/>
          <w:i/>
          <w:color w:val="334155"/>
          <w:sz w:val="22"/>
        </w:rPr>
        <w:t>4.2 Reconhecimento Contábil da Perda e Reversões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Se o </w:t>
      </w:r>
      <w:r>
        <w:rPr>
          <w:rFonts w:ascii="Arial" w:hAnsi="Arial"/>
          <w:b/>
          <w:i w:val="0"/>
          <w:color w:val="111827"/>
          <w:sz w:val="22"/>
        </w:rPr>
        <w:t>Valor Contábil Líquido</w:t>
      </w:r>
      <w:r>
        <w:rPr>
          <w:rFonts w:ascii="Arial" w:hAnsi="Arial"/>
          <w:b w:val="0"/>
          <w:i w:val="0"/>
          <w:color w:val="111827"/>
          <w:sz w:val="22"/>
        </w:rPr>
        <w:t xml:space="preserve"> (custo de aquisição menos depreciação acumulada) for superior ao </w:t>
      </w:r>
      <w:r>
        <w:rPr>
          <w:rFonts w:ascii="Arial" w:hAnsi="Arial"/>
          <w:b/>
          <w:i w:val="0"/>
          <w:color w:val="111827"/>
          <w:sz w:val="22"/>
        </w:rPr>
        <w:t>Valor Recuperável</w:t>
      </w:r>
      <w:r>
        <w:rPr>
          <w:rFonts w:ascii="Arial" w:hAnsi="Arial"/>
          <w:b w:val="0"/>
          <w:i w:val="0"/>
          <w:color w:val="111827"/>
          <w:sz w:val="22"/>
        </w:rPr>
        <w:t>, o valor do ativo deve ser reduzido ao valor recuperável;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Essa redução é contabilizada como </w:t>
      </w:r>
      <w:r>
        <w:rPr>
          <w:rFonts w:ascii="Arial" w:hAnsi="Arial"/>
          <w:b/>
          <w:i w:val="0"/>
          <w:color w:val="111827"/>
          <w:sz w:val="22"/>
        </w:rPr>
        <w:t>perda por impairment</w:t>
      </w:r>
      <w:r>
        <w:rPr>
          <w:rFonts w:ascii="Arial" w:hAnsi="Arial"/>
          <w:b w:val="0"/>
          <w:i w:val="0"/>
          <w:color w:val="111827"/>
          <w:sz w:val="22"/>
        </w:rPr>
        <w:t xml:space="preserve"> através de uma conta redutora do ativo imobilizado, tendo como contrapartida uma </w:t>
      </w:r>
      <w:r>
        <w:rPr>
          <w:rFonts w:ascii="Arial" w:hAnsi="Arial"/>
          <w:b/>
          <w:i w:val="0"/>
          <w:color w:val="111827"/>
          <w:sz w:val="22"/>
        </w:rPr>
        <w:t>Variação Patrimonial Diminutiva (VPD)</w:t>
      </w:r>
      <w:r>
        <w:rPr>
          <w:rFonts w:ascii="Arial" w:hAnsi="Arial"/>
          <w:b w:val="0"/>
          <w:i w:val="0"/>
          <w:color w:val="111827"/>
          <w:sz w:val="22"/>
        </w:rPr>
        <w:t xml:space="preserve"> no resultado do exercício;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Caso cessem as razões econômicas que motivaram a perda em exercícios futuros, a norma permite a reversão da perda até o limite do saldo que o ativo teria se nenhuma perda tivesse sido outrora reconhecida.</w:t>
      </w:r>
    </w:p>
    <w:p>
      <w:pPr>
        <w:keepNext/>
        <w:spacing w:before="280" w:after="120"/>
      </w:pPr>
      <w:r>
        <w:rPr>
          <w:rFonts w:ascii="Arial" w:hAnsi="Arial"/>
          <w:b/>
          <w:i w:val="0"/>
          <w:color w:val="2C5282"/>
          <w:sz w:val="28"/>
        </w:rPr>
        <w:t>🌐 Fontes Oficiais &amp; Manuais Técnicos Recomendados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Contabilidade Aplicada ao Setor Público (MCASP) - 11ª Edição (STN)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Parte I: Procedimentos Contábeis Orçamentários (PCO).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Parte II: Procedimentos Contábeis Patrimoniais (PCP).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Conselho Federal de Contabilidade - NBC TSP 07 (Ativo Imobilizado)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Critérios de reconhecimento, custos atribuíveis, vida útil e depreciação.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Conselho Federal de Contabilidade - NBC TSP 09 e 10 (Redução ao Valor Recuperável)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Mensuração de perdas por impairment em ativos geradores e não geradores de caixa.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4.320/1964</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Artigo 35 (Regime orçamentário legal de caixa e competência).</w:t>
      </w:r>
    </w:p>
    <w:p>
      <w:pPr>
        <w:keepNext/>
        <w:spacing w:before="280" w:after="120"/>
      </w:pPr>
      <w:r>
        <w:rPr>
          <w:rFonts w:ascii="Arial" w:hAnsi="Arial"/>
          <w:b/>
          <w:i w:val="0"/>
          <w:color w:val="2C5282"/>
          <w:sz w:val="28"/>
        </w:rPr>
        <w:t>📝 Questões Comentadas no Padrão FCC</w:t>
      </w:r>
    </w:p>
    <w:p>
      <w:pPr>
        <w:keepNext/>
        <w:spacing w:before="200" w:after="80"/>
      </w:pPr>
      <w:r>
        <w:rPr>
          <w:rFonts w:ascii="Arial" w:hAnsi="Arial"/>
          <w:b/>
          <w:i w:val="0"/>
          <w:color w:val="2B6CB0"/>
          <w:sz w:val="24"/>
        </w:rPr>
        <w:t>Questão 1 (FCC - Adaptada / TCE-PI - Auditor de Controle Externo)</w:t>
      </w:r>
    </w:p>
    <w:p>
      <w:pPr>
        <w:spacing w:line="360" w:lineRule="auto" w:before="0" w:after="80"/>
        <w:jc w:val="both"/>
      </w:pPr>
      <w:r>
        <w:rPr>
          <w:rFonts w:ascii="Arial" w:hAnsi="Arial"/>
          <w:b w:val="0"/>
          <w:i w:val="0"/>
          <w:color w:val="111827"/>
          <w:sz w:val="24"/>
        </w:rPr>
        <w:t>Determinado órgão público estadual recebeu, em doação incondicional de particular, um terreno avaliado a valor justo de mercado em R$ 800.000,00 para futura construção de um posto fiscal de fronteira.</w:t>
      </w:r>
    </w:p>
    <w:p>
      <w:pPr>
        <w:spacing w:line="360" w:lineRule="auto" w:before="0" w:after="80"/>
        <w:jc w:val="both"/>
      </w:pPr>
      <w:r>
        <w:rPr>
          <w:rFonts w:ascii="Arial" w:hAnsi="Arial"/>
          <w:b w:val="0"/>
          <w:i w:val="0"/>
          <w:color w:val="111827"/>
          <w:sz w:val="24"/>
        </w:rPr>
        <w:t>Sob a ótica do Manual de Contabilidade Aplicada ao Setor Público (MCASP 11ª edição):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recebimento do imóvel deve ser contabilizado como receita orçamentária de capital no estágio do recolhimento bancário.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transação representa uma Variação Patrimonial Aumentativa (VPA) independente da execução orçamentária, elevando o Patrimônio Líquido da entidade.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bem não pode ser registrado no ativo imobilizado até que a obra do posto fiscal seja integralmente concluída e aceita pela fiscalização.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operação constitui um fato meramente qualitativo (permutativo), uma vez que não envolveu fluxo financeiro em moeda corrente.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terreno recebido deverá sofrer depreciação periódica anual linear à alíquota contábil de 4% ao ano.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Doações de bens materiais não geram influxo de caixa financeiro nem constam na LOA, não constituindo receita orçamentária.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doação de bens recebida amplia o ativo e o patrimônio líquido da entidade sem passar pelos estágios do orçamento (LOA), qualificando-se exatamente como uma Variação Patrimonial Aumentativa (VPA) Independente da Execução Orçamentária. O lançamento debita o Ativo Não Circulante (Imobilizado - Terrenos) e credita VPA no resultado.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reconhecimento contábil do terreno ocorre no momento da obtenção de seu controle formal (escritura e posse), e não na futura edificação da obra.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Trata-se de fato quantitativo modificativo aumentativo, pois houve acréscimo de R$ 800.000,00 na Situação Patrimonial Líquida do 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Terrenos possuem vida útil econômica indefinida e, por expressa determinação contábil, não sofrem depreciação periódica.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TCE-RS - Auditor de Controle Externo)</w:t>
      </w:r>
    </w:p>
    <w:p>
      <w:pPr>
        <w:spacing w:line="360" w:lineRule="auto" w:before="0" w:after="80"/>
        <w:jc w:val="both"/>
      </w:pPr>
      <w:r>
        <w:rPr>
          <w:rFonts w:ascii="Arial" w:hAnsi="Arial"/>
          <w:b w:val="0"/>
          <w:i w:val="0"/>
          <w:color w:val="111827"/>
          <w:sz w:val="24"/>
        </w:rPr>
        <w:t>Em relação aos conceitos de depreciação, amortização e teste de recuperabilidade (</w:t>
      </w:r>
      <w:r>
        <w:rPr>
          <w:rFonts w:ascii="Arial" w:hAnsi="Arial"/>
          <w:b w:val="0"/>
          <w:i/>
          <w:color w:val="111827"/>
          <w:sz w:val="24"/>
        </w:rPr>
        <w:t>impairment</w:t>
      </w:r>
      <w:r>
        <w:rPr>
          <w:rFonts w:ascii="Arial" w:hAnsi="Arial"/>
          <w:b w:val="0"/>
          <w:i w:val="0"/>
          <w:color w:val="111827"/>
          <w:sz w:val="24"/>
        </w:rPr>
        <w:t>) aplicados aos ativos do setor público,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valor depreciável de um bem corresponde ao seu custo histórico de aquisição somado ao valor residual estimado ao término de sua vida útil.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As quotas de depreciação mensal apuradas para a frota de ambulâncias públicas exigem a prévia emissão de nota de empenho ordinário no orçamento da Secretaria de Saúde.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teste de recuperabilidade é dispensável no setor público quando o ativo imobilizado não for utilizado diretamente na geração de receitas comerciais ou de lucro.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redução ao valor recuperável ocorre quando o valor contábil líquido de um ativo for superior ao seu valor recuperável, devendo a perda ser reconhecida no resultado patrimonial como variação patrimonial diminutiva (VPD).</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amortização aplica-se aos bens corpóreos que sofrem desgaste físico ou perecimento gradual ao longo do tempo.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valor depreciável é calculado subtraindo-se o valor residual do custo histórico de aquisição (</w:t>
            </w:r>
            <w:r>
              <w:rPr>
                <w:rFonts w:ascii="Cambria Math" w:hAnsi="Cambria Math"/>
                <w:i/>
                <w:color w:val="1B365D"/>
                <w:sz w:val="21"/>
              </w:rPr>
              <w:t>Custo - Valor\ Residual</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depreciação é um procedimento estritamente patrimonial (VPD independente da execução orçamentária), não dependendo de dotação na LOA nem de emissão de nota de empenho.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teste de recuperabilidade aplica-se obrigatoriamente inclusive aos ativos não geradores de caixa, avaliando-se a perda de seu potencial de serviços à sociedade.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Correta. De acordo com a NBC TSP 09/10 e o MCASP, se o valor contábil líquido de um ativo for maior que o seu valor recuperável, a entidade pública deve reconhecer imediatamente a perda por desvalorização (</w:t>
            </w:r>
            <w:r>
              <w:rPr>
                <w:rFonts w:ascii="Arial" w:hAnsi="Arial"/>
                <w:b w:val="0"/>
                <w:i/>
                <w:color w:val="111827"/>
                <w:sz w:val="21"/>
              </w:rPr>
              <w:t>impairment</w:t>
            </w:r>
            <w:r>
              <w:rPr>
                <w:rFonts w:ascii="Arial" w:hAnsi="Arial"/>
                <w:b w:val="0"/>
                <w:i w:val="0"/>
                <w:color w:val="111827"/>
                <w:sz w:val="21"/>
              </w:rPr>
              <w:t>), lançando uma VPD no resultado em contrapartida a uma conta redutora do ativo imobilizado.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amortização destina-se a ativos incorpóreos/intangíveis com vida útil definida; o desgaste sistemático de bens corpóreos tangíveis é objeto de depreciação.</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3 (FCC - Adaptada / Analista Contábil de Controle)</w:t>
      </w:r>
    </w:p>
    <w:p>
      <w:pPr>
        <w:spacing w:line="360" w:lineRule="auto" w:before="0" w:after="80"/>
        <w:jc w:val="both"/>
      </w:pPr>
      <w:r>
        <w:rPr>
          <w:rFonts w:ascii="Arial" w:hAnsi="Arial"/>
          <w:b w:val="0"/>
          <w:i w:val="0"/>
          <w:color w:val="111827"/>
          <w:sz w:val="24"/>
        </w:rPr>
        <w:t>Determinada entidade governamental adquiriu, mediante regular processo licitatório, um lote de microcomputadores para suas secretarias no valor total de R$ 100.000,00. A despesa foi devidamente empenhada, liquidada com o recebimento das máquinas e integralmente paga em dinheiro à empresa fornecedora.</w:t>
      </w:r>
    </w:p>
    <w:p>
      <w:pPr>
        <w:spacing w:line="360" w:lineRule="auto" w:before="0" w:after="80"/>
        <w:jc w:val="both"/>
      </w:pPr>
      <w:r>
        <w:rPr>
          <w:rFonts w:ascii="Arial" w:hAnsi="Arial"/>
          <w:b w:val="0"/>
          <w:i w:val="0"/>
          <w:color w:val="111827"/>
          <w:sz w:val="24"/>
        </w:rPr>
        <w:t>Sob a ótica patrimonial e orçamentária, essa transação completa caracteriza-se como: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Fato modificativo aumentativo que gera Variação Patrimonial Aumentativa.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Fato contábil qualitativo (permutativo), que não altera o valor do Patrimônio Líquido da entidade.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Fato modificativo diminutivo que reduz o Patrimônio Líquido em R$ 100.000,00 no ato da compra.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Variação patrimonial independente da execução orçamentária.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Transação extraorçamentária que dispensa registro no subsistema patrimonial.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compra de bens com desembolso financeiro de caixa não gera VPA (receita patrimonial).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Trata-se de um típico fato permutativo (qualitativo) entre contas do Ativo: ocorreu a diminuição de R</w:t>
            </w:r>
            <w:r>
              <w:rPr>
                <w:rFonts w:ascii="Cambria Math" w:hAnsi="Cambria Math"/>
                <w:i/>
                <w:color w:val="1B365D"/>
                <w:sz w:val="21"/>
              </w:rPr>
              <w:t xml:space="preserve"> 100.000,00 na conta Caixa/Bancos (Ativo Circulante) e o aumento simultâneo de R</w:t>
            </w:r>
            <w:r>
              <w:rPr>
                <w:rFonts w:ascii="Arial" w:hAnsi="Arial"/>
                <w:b w:val="0"/>
                <w:i w:val="0"/>
                <w:color w:val="111827"/>
                <w:sz w:val="21"/>
              </w:rPr>
              <w:t xml:space="preserve"> 100.000,00 na conta de Equipamentos e Material Permanente (Ativo Não Circulante - Imobilizado). O total do Ativo e a Situação Patrimonial Líquida permaneceram rigorosamente inalterados.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redução do patrimônio líquido ocorrerá de forma paulatina e distribuída nos exercícios seguintes por meio do registro da depreciação mensal.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transação resultou diretamente da execução de dotação de capital fixada na LOA (variação resultante da execução orçamentária).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É despesa orçamentária própria de capital, plenamente escriturada nos subsistemas orçamentário e patrimonial do PCASP.</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Técnico de Controle Externo)</w:t>
      </w:r>
    </w:p>
    <w:p>
      <w:pPr>
        <w:spacing w:line="360" w:lineRule="auto" w:before="0" w:after="80"/>
        <w:jc w:val="both"/>
      </w:pPr>
      <w:r>
        <w:rPr>
          <w:rFonts w:ascii="Arial" w:hAnsi="Arial"/>
          <w:b w:val="0"/>
          <w:i w:val="0"/>
          <w:color w:val="111827"/>
          <w:sz w:val="24"/>
        </w:rPr>
        <w:t>Uma viatura policial foi adquirida pelo Estado de Goiás por R</w:t>
      </w:r>
      <w:r>
        <w:rPr>
          <w:rFonts w:ascii="Cambria Math" w:hAnsi="Cambria Math"/>
          <w:i/>
          <w:color w:val="1B365D"/>
          <w:sz w:val="24"/>
        </w:rPr>
        <w:t xml:space="preserve"> 120.000,00. A vida útil estimada do veículo é de 5 anos (60 meses) e a comissão de avaliação patrimonial fixou um valor residual de R</w:t>
      </w:r>
      <w:r>
        <w:rPr>
          <w:rFonts w:ascii="Arial" w:hAnsi="Arial"/>
          <w:b w:val="0"/>
          <w:i w:val="0"/>
          <w:color w:val="111827"/>
          <w:sz w:val="24"/>
        </w:rPr>
        <w:t xml:space="preserve"> 20.000,00 para o final do período.</w:t>
      </w:r>
    </w:p>
    <w:p>
      <w:pPr>
        <w:spacing w:line="360" w:lineRule="auto" w:before="0" w:after="80"/>
        <w:jc w:val="both"/>
      </w:pPr>
      <w:r>
        <w:rPr>
          <w:rFonts w:ascii="Arial" w:hAnsi="Arial"/>
          <w:b w:val="0"/>
          <w:i w:val="0"/>
          <w:color w:val="111827"/>
          <w:sz w:val="24"/>
        </w:rPr>
        <w:t>Utilizando o método das quotas constantes (linear) preconizado pelo MCASP, o valor depreciável do bem e o valor da quota mensal de depreciação a ser lançada como VPD são,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w:t>
      </w:r>
      <w:r>
        <w:rPr>
          <w:rFonts w:ascii="Cambria Math" w:hAnsi="Cambria Math"/>
          <w:i/>
          <w:color w:val="1B365D"/>
          <w:sz w:val="22"/>
        </w:rPr>
        <w:t xml:space="preserve"> 120.000,00 e R</w:t>
      </w:r>
      <w:r>
        <w:rPr>
          <w:rFonts w:ascii="Arial" w:hAnsi="Arial"/>
          <w:b w:val="0"/>
          <w:i w:val="0"/>
          <w:color w:val="111827"/>
          <w:sz w:val="22"/>
        </w:rPr>
        <w:t xml:space="preserve"> 2.000,00.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R</w:t>
      </w:r>
      <w:r>
        <w:rPr>
          <w:rFonts w:ascii="Cambria Math" w:hAnsi="Cambria Math"/>
          <w:i/>
          <w:color w:val="1B365D"/>
          <w:sz w:val="22"/>
        </w:rPr>
        <w:t xml:space="preserve"> 100.000,00 e R</w:t>
      </w:r>
      <w:r>
        <w:rPr>
          <w:rFonts w:ascii="Arial" w:hAnsi="Arial"/>
          <w:b w:val="0"/>
          <w:i w:val="0"/>
          <w:color w:val="111827"/>
          <w:sz w:val="22"/>
        </w:rPr>
        <w:t xml:space="preserve"> 1.666,67.</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w:t>
      </w:r>
      <w:r>
        <w:rPr>
          <w:rFonts w:ascii="Cambria Math" w:hAnsi="Cambria Math"/>
          <w:i/>
          <w:color w:val="1B365D"/>
          <w:sz w:val="22"/>
        </w:rPr>
        <w:t xml:space="preserve"> 100.000,00 e R</w:t>
      </w:r>
      <w:r>
        <w:rPr>
          <w:rFonts w:ascii="Arial" w:hAnsi="Arial"/>
          <w:b w:val="0"/>
          <w:i w:val="0"/>
          <w:color w:val="111827"/>
          <w:sz w:val="22"/>
        </w:rPr>
        <w:t xml:space="preserve"> 2.000,00.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w:t>
      </w:r>
      <w:r>
        <w:rPr>
          <w:rFonts w:ascii="Cambria Math" w:hAnsi="Cambria Math"/>
          <w:i/>
          <w:color w:val="1B365D"/>
          <w:sz w:val="22"/>
        </w:rPr>
        <w:t xml:space="preserve"> 120.000,00 e R</w:t>
      </w:r>
      <w:r>
        <w:rPr>
          <w:rFonts w:ascii="Arial" w:hAnsi="Arial"/>
          <w:b w:val="0"/>
          <w:i w:val="0"/>
          <w:color w:val="111827"/>
          <w:sz w:val="22"/>
        </w:rPr>
        <w:t xml:space="preserve"> 1.666,67.</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w:t>
      </w:r>
      <w:r>
        <w:rPr>
          <w:rFonts w:ascii="Cambria Math" w:hAnsi="Cambria Math"/>
          <w:i/>
          <w:color w:val="1B365D"/>
          <w:sz w:val="22"/>
        </w:rPr>
        <w:t xml:space="preserve"> 140.000,00 e R</w:t>
      </w:r>
      <w:r>
        <w:rPr>
          <w:rFonts w:ascii="Arial" w:hAnsi="Arial"/>
          <w:b w:val="0"/>
          <w:i w:val="0"/>
          <w:color w:val="111827"/>
          <w:sz w:val="22"/>
        </w:rPr>
        <w:t xml:space="preserve"> 2.333,33.</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Erra ao desconsiderar a dedução do valor residual no cálculo do valor depreciável.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O cálculo contábil é exato:</w:t>
            </w:r>
          </w:p>
          <w:p>
            <w:pPr>
              <w:spacing w:line="288" w:lineRule="auto" w:before="40" w:after="40"/>
            </w:pPr>
            <w:r>
              <w:rPr>
                <w:rFonts w:ascii="Arial" w:hAnsi="Arial"/>
                <w:b w:val="0"/>
                <w:i w:val="0"/>
                <w:color w:val="111827"/>
                <w:sz w:val="21"/>
              </w:rPr>
              <w:t xml:space="preserve">1. </w:t>
            </w:r>
            <w:r>
              <w:rPr>
                <w:rFonts w:ascii="Arial" w:hAnsi="Arial"/>
                <w:b/>
                <w:i w:val="0"/>
                <w:color w:val="111827"/>
                <w:sz w:val="21"/>
              </w:rPr>
              <w:t>Valor Depreciável:</w:t>
            </w:r>
            <w:r>
              <w:rPr>
                <w:rFonts w:ascii="Arial" w:hAnsi="Arial"/>
                <w:b w:val="0"/>
                <w:i w:val="0"/>
                <w:color w:val="111827"/>
                <w:sz w:val="21"/>
              </w:rPr>
              <w:t xml:space="preserve"> Custo de Aquisição (R</w:t>
            </w:r>
            <w:r>
              <w:rPr>
                <w:rFonts w:ascii="Cambria Math" w:hAnsi="Cambria Math"/>
                <w:i/>
                <w:color w:val="1B365D"/>
                <w:sz w:val="21"/>
              </w:rPr>
              <w:t xml:space="preserve"> 120.000,00) menos Valor Residual (R</w:t>
            </w:r>
            <w:r>
              <w:rPr>
                <w:rFonts w:ascii="Arial" w:hAnsi="Arial"/>
                <w:b w:val="0"/>
                <w:i w:val="0"/>
                <w:color w:val="111827"/>
                <w:sz w:val="21"/>
              </w:rPr>
              <w:t xml:space="preserve"> 20.000,00) = </w:t>
            </w:r>
            <w:r>
              <w:rPr>
                <w:rFonts w:ascii="Arial" w:hAnsi="Arial"/>
                <w:b/>
                <w:i w:val="0"/>
                <w:color w:val="111827"/>
                <w:sz w:val="21"/>
              </w:rPr>
              <w:t>R$ 100.000,00</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2. </w:t>
            </w:r>
            <w:r>
              <w:rPr>
                <w:rFonts w:ascii="Arial" w:hAnsi="Arial"/>
                <w:b/>
                <w:i w:val="0"/>
                <w:color w:val="111827"/>
                <w:sz w:val="21"/>
              </w:rPr>
              <w:t>Quota Mensal de Depreciação:</w:t>
            </w:r>
            <w:r>
              <w:rPr>
                <w:rFonts w:ascii="Arial" w:hAnsi="Arial"/>
                <w:b w:val="0"/>
                <w:i w:val="0"/>
                <w:color w:val="111827"/>
                <w:sz w:val="21"/>
              </w:rPr>
              <w:t xml:space="preserve"> Valor Depreciável (R</w:t>
            </w:r>
            <w:r>
              <w:rPr>
                <w:rFonts w:ascii="Cambria Math" w:hAnsi="Cambria Math"/>
                <w:i/>
                <w:color w:val="1B365D"/>
                <w:sz w:val="21"/>
              </w:rPr>
              <w:t xml:space="preserve"> 100.000,00) dividido por 60 meses de vida útil = **R</w:t>
            </w:r>
            <w:r>
              <w:rPr>
                <w:rFonts w:ascii="Arial" w:hAnsi="Arial"/>
                <w:b w:val="0"/>
                <w:i w:val="0"/>
                <w:color w:val="111827"/>
                <w:sz w:val="21"/>
              </w:rPr>
              <w:t xml:space="preserve"> 1.666,67** por mês, lançada como VPD.</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R$ 2.000,00 por mês seria a quota caso o valor residual fosse zero (120.000 / 60).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valor depreciável não é o custo bruto (120.000,00), pois há valor residual a ser deduzido.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Erra ao somar o valor residual ao custo em vez de subtrair.</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Adaptada / Analista de Planejamento e Orçamento)</w:t>
      </w:r>
    </w:p>
    <w:p>
      <w:pPr>
        <w:spacing w:line="360" w:lineRule="auto" w:before="0" w:after="80"/>
        <w:jc w:val="both"/>
      </w:pPr>
      <w:r>
        <w:rPr>
          <w:rFonts w:ascii="Arial" w:hAnsi="Arial"/>
          <w:b w:val="0"/>
          <w:i w:val="0"/>
          <w:color w:val="111827"/>
          <w:sz w:val="24"/>
        </w:rPr>
        <w:t>No tocante ao regime contábil aplicado no setor público, analise as afirmativas a seguir:</w:t>
      </w:r>
    </w:p>
    <w:p>
      <w:pPr>
        <w:spacing w:line="360" w:lineRule="auto" w:before="0" w:after="80"/>
        <w:jc w:val="both"/>
      </w:pPr>
      <w:r>
        <w:rPr>
          <w:rFonts w:ascii="Arial" w:hAnsi="Arial"/>
          <w:b w:val="0"/>
          <w:i w:val="0"/>
          <w:color w:val="111827"/>
          <w:sz w:val="24"/>
        </w:rPr>
        <w:t>I. De acordo com a Lei nº 4.320/1964 (Art. 35), o regime orçamentário é misto, pertencendo ao exercício as receitas nele arrecadadas e as despesas nele legalmente empenhadas.</w:t>
      </w:r>
    </w:p>
    <w:p>
      <w:pPr>
        <w:spacing w:line="360" w:lineRule="auto" w:before="0" w:after="80"/>
        <w:jc w:val="both"/>
      </w:pPr>
      <w:r>
        <w:rPr>
          <w:rFonts w:ascii="Arial" w:hAnsi="Arial"/>
          <w:b w:val="0"/>
          <w:i w:val="0"/>
          <w:color w:val="111827"/>
          <w:sz w:val="24"/>
        </w:rPr>
        <w:t>II. Segundo as normas NBC TSP e o MCASP, o regime contábil patrimonial é o de competência, exigindo o reconhecimento de receitas e despesas patrimoniais no momento da ocorrência de seus respectivos fatos geradores.</w:t>
      </w:r>
    </w:p>
    <w:p>
      <w:pPr>
        <w:spacing w:line="360" w:lineRule="auto" w:before="0" w:after="80"/>
        <w:jc w:val="both"/>
      </w:pPr>
      <w:r>
        <w:rPr>
          <w:rFonts w:ascii="Arial" w:hAnsi="Arial"/>
          <w:b w:val="0"/>
          <w:i w:val="0"/>
          <w:color w:val="111827"/>
          <w:sz w:val="24"/>
        </w:rPr>
        <w:t>III. A arrecadação de tributos em dinheiro gera concomitantemente uma receita orçamentária realizada e um fato permutativo no patrimônio líquido da entidade caso o crédito tributário já tenha sido lançado previamente.</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Os itens II e III também são verdadeiros, tornando a alternativa incompleta.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Deixa de incluir o item III, que expressa corretamente a dinâmica da CASP.</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item I é a previsão literal do art. 35 da Lei nº 4.320/1964.</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item II reflete o preceito central do MCASP moderno (regime de competência patrimonial).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Correta. Todas as três assertivas são verdadeiras: o item I reproduz o art. 35 da Lei Federal nº 4.320/1964 (regime orçamentário misto); o item II reflete a consolidação da competência pura para o patrimônio pelas NBC TSP e MCASP; e o item III descreve com rigor a transação de arrecadação de tributos cujo lançamento ocorreu em momento anterior (no lançamento houve VPA; na arrecadação há receita orçamentária realizada e simples permutação patrimonial entre Disponibilidades e Créditos a Receber).</w:t>
            </w:r>
          </w:p>
          <w:p>
            <w:pPr>
              <w:spacing w:line="288" w:lineRule="auto" w:before="120" w:after="80"/>
            </w:pPr>
            <w:r>
              <w:rPr>
                <w:rFonts w:ascii="Arial" w:hAnsi="Arial"/>
                <w:b/>
                <w:i w:val="0"/>
                <w:color w:val="047857"/>
                <w:sz w:val="22"/>
              </w:rPr>
              <w:t>Gabarito: E</w:t>
            </w:r>
          </w:p>
        </w:tc>
      </w:tr>
    </w:tbl>
    <w:p>
      <w:pPr>
        <w:spacing w:before="0" w:after="120"/>
      </w:pPr>
    </w:p>
    <w:p>
      <w:r>
        <w:br w:type="page"/>
      </w:r>
    </w:p>
    <w:p>
      <w:pPr>
        <w:keepNext/>
        <w:spacing w:before="360" w:after="160"/>
      </w:pPr>
      <w:r>
        <w:rPr>
          <w:rFonts w:ascii="Arial" w:hAnsi="Arial"/>
          <w:b/>
          <w:i w:val="0"/>
          <w:color w:val="1B365D"/>
          <w:sz w:val="36"/>
        </w:rPr>
        <w:t>03 - Plano de Contas Aplicado ao Setor Público (PCASP) e Lançamentos Contábeis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Contabilidade Aplicada ao Setor Público (CASP)</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03_pcasp_estrutura_e_lancamentos_contabeis.md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Plano de Contas Aplicado ao Setor Público (PCASP - MCASP Parte IV):</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Conceito, objetivos e diretrizes da padronização contábil nacional (SICONFI / Secretaria do Tesouro Nacional);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Estrutura codificada do plano de contas: 7 níveis de detalhamento (Classe, Grupo, Subgrupo, Título, Subtítulo, Item e Subitem);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Os três subsistemas contábeis integrados: Patrimonial, Orçamentário e de Controle;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As oito classes de contas do PCASP e sua natureza de saldo (Devedora ou Credora):</w:t>
      </w:r>
    </w:p>
    <w:p>
      <w:pPr>
        <w:spacing w:line="276" w:lineRule="auto" w:before="20" w:after="40"/>
        <w:ind w:left="992"/>
      </w:pPr>
      <w:r>
        <w:rPr>
          <w:rFonts w:ascii="Arial" w:hAnsi="Arial"/>
          <w:b/>
          <w:color w:val="2B6CB0"/>
          <w:sz w:val="22"/>
        </w:rPr>
        <w:t xml:space="preserve">• </w:t>
      </w:r>
      <w:r>
        <w:rPr>
          <w:rFonts w:ascii="Arial" w:hAnsi="Arial"/>
          <w:b/>
          <w:i w:val="0"/>
          <w:color w:val="111827"/>
          <w:sz w:val="22"/>
        </w:rPr>
        <w:t>Classe 1:</w:t>
      </w:r>
      <w:r>
        <w:rPr>
          <w:rFonts w:ascii="Arial" w:hAnsi="Arial"/>
          <w:b w:val="0"/>
          <w:i w:val="0"/>
          <w:color w:val="111827"/>
          <w:sz w:val="22"/>
        </w:rPr>
        <w:t xml:space="preserve"> Ativo (Natureza Devedora);</w:t>
      </w:r>
    </w:p>
    <w:p>
      <w:pPr>
        <w:spacing w:line="276" w:lineRule="auto" w:before="20" w:after="40"/>
        <w:ind w:left="992"/>
      </w:pPr>
      <w:r>
        <w:rPr>
          <w:rFonts w:ascii="Arial" w:hAnsi="Arial"/>
          <w:b/>
          <w:color w:val="2B6CB0"/>
          <w:sz w:val="22"/>
        </w:rPr>
        <w:t xml:space="preserve">• </w:t>
      </w:r>
      <w:r>
        <w:rPr>
          <w:rFonts w:ascii="Arial" w:hAnsi="Arial"/>
          <w:b/>
          <w:i w:val="0"/>
          <w:color w:val="111827"/>
          <w:sz w:val="22"/>
        </w:rPr>
        <w:t>Classe 2:</w:t>
      </w:r>
      <w:r>
        <w:rPr>
          <w:rFonts w:ascii="Arial" w:hAnsi="Arial"/>
          <w:b w:val="0"/>
          <w:i w:val="0"/>
          <w:color w:val="111827"/>
          <w:sz w:val="22"/>
        </w:rPr>
        <w:t xml:space="preserve"> Passivo e Patrimônio Líquido (Natureza Credora);</w:t>
      </w:r>
    </w:p>
    <w:p>
      <w:pPr>
        <w:spacing w:line="276" w:lineRule="auto" w:before="20" w:after="40"/>
        <w:ind w:left="992"/>
      </w:pPr>
      <w:r>
        <w:rPr>
          <w:rFonts w:ascii="Arial" w:hAnsi="Arial"/>
          <w:b/>
          <w:color w:val="2B6CB0"/>
          <w:sz w:val="22"/>
        </w:rPr>
        <w:t xml:space="preserve">• </w:t>
      </w:r>
      <w:r>
        <w:rPr>
          <w:rFonts w:ascii="Arial" w:hAnsi="Arial"/>
          <w:b/>
          <w:i w:val="0"/>
          <w:color w:val="111827"/>
          <w:sz w:val="22"/>
        </w:rPr>
        <w:t>Classe 3:</w:t>
      </w:r>
      <w:r>
        <w:rPr>
          <w:rFonts w:ascii="Arial" w:hAnsi="Arial"/>
          <w:b w:val="0"/>
          <w:i w:val="0"/>
          <w:color w:val="111827"/>
          <w:sz w:val="22"/>
        </w:rPr>
        <w:t xml:space="preserve"> Variações Patrimoniais Diminutivas - VPD (Natureza Devedora);</w:t>
      </w:r>
    </w:p>
    <w:p>
      <w:pPr>
        <w:spacing w:line="276" w:lineRule="auto" w:before="20" w:after="40"/>
        <w:ind w:left="992"/>
      </w:pPr>
      <w:r>
        <w:rPr>
          <w:rFonts w:ascii="Arial" w:hAnsi="Arial"/>
          <w:b/>
          <w:color w:val="2B6CB0"/>
          <w:sz w:val="22"/>
        </w:rPr>
        <w:t xml:space="preserve">• </w:t>
      </w:r>
      <w:r>
        <w:rPr>
          <w:rFonts w:ascii="Arial" w:hAnsi="Arial"/>
          <w:b/>
          <w:i w:val="0"/>
          <w:color w:val="111827"/>
          <w:sz w:val="22"/>
        </w:rPr>
        <w:t>Classe 4:</w:t>
      </w:r>
      <w:r>
        <w:rPr>
          <w:rFonts w:ascii="Arial" w:hAnsi="Arial"/>
          <w:b w:val="0"/>
          <w:i w:val="0"/>
          <w:color w:val="111827"/>
          <w:sz w:val="22"/>
        </w:rPr>
        <w:t xml:space="preserve"> Variações Patrimoniais Aumentativas - VPA (Natureza Credora);</w:t>
      </w:r>
    </w:p>
    <w:p>
      <w:pPr>
        <w:spacing w:line="276" w:lineRule="auto" w:before="20" w:after="40"/>
        <w:ind w:left="992"/>
      </w:pPr>
      <w:r>
        <w:rPr>
          <w:rFonts w:ascii="Arial" w:hAnsi="Arial"/>
          <w:b/>
          <w:color w:val="2B6CB0"/>
          <w:sz w:val="22"/>
        </w:rPr>
        <w:t xml:space="preserve">• </w:t>
      </w:r>
      <w:r>
        <w:rPr>
          <w:rFonts w:ascii="Arial" w:hAnsi="Arial"/>
          <w:b/>
          <w:i w:val="0"/>
          <w:color w:val="111827"/>
          <w:sz w:val="22"/>
        </w:rPr>
        <w:t>Classe 5:</w:t>
      </w:r>
      <w:r>
        <w:rPr>
          <w:rFonts w:ascii="Arial" w:hAnsi="Arial"/>
          <w:b w:val="0"/>
          <w:i w:val="0"/>
          <w:color w:val="111827"/>
          <w:sz w:val="22"/>
        </w:rPr>
        <w:t xml:space="preserve"> Orçamento Aprovado (Natureza Devedora);</w:t>
      </w:r>
    </w:p>
    <w:p>
      <w:pPr>
        <w:spacing w:line="276" w:lineRule="auto" w:before="20" w:after="40"/>
        <w:ind w:left="992"/>
      </w:pPr>
      <w:r>
        <w:rPr>
          <w:rFonts w:ascii="Arial" w:hAnsi="Arial"/>
          <w:b/>
          <w:color w:val="2B6CB0"/>
          <w:sz w:val="22"/>
        </w:rPr>
        <w:t xml:space="preserve">• </w:t>
      </w:r>
      <w:r>
        <w:rPr>
          <w:rFonts w:ascii="Arial" w:hAnsi="Arial"/>
          <w:b/>
          <w:i w:val="0"/>
          <w:color w:val="111827"/>
          <w:sz w:val="22"/>
        </w:rPr>
        <w:t>Classe 6:</w:t>
      </w:r>
      <w:r>
        <w:rPr>
          <w:rFonts w:ascii="Arial" w:hAnsi="Arial"/>
          <w:b w:val="0"/>
          <w:i w:val="0"/>
          <w:color w:val="111827"/>
          <w:sz w:val="22"/>
        </w:rPr>
        <w:t xml:space="preserve"> Execução do Orçamento (Natureza Credora);</w:t>
      </w:r>
    </w:p>
    <w:p>
      <w:pPr>
        <w:spacing w:line="276" w:lineRule="auto" w:before="20" w:after="40"/>
        <w:ind w:left="992"/>
      </w:pPr>
      <w:r>
        <w:rPr>
          <w:rFonts w:ascii="Arial" w:hAnsi="Arial"/>
          <w:b/>
          <w:color w:val="2B6CB0"/>
          <w:sz w:val="22"/>
        </w:rPr>
        <w:t xml:space="preserve">• </w:t>
      </w:r>
      <w:r>
        <w:rPr>
          <w:rFonts w:ascii="Arial" w:hAnsi="Arial"/>
          <w:b/>
          <w:i w:val="0"/>
          <w:color w:val="111827"/>
          <w:sz w:val="22"/>
        </w:rPr>
        <w:t>Classe 7:</w:t>
      </w:r>
      <w:r>
        <w:rPr>
          <w:rFonts w:ascii="Arial" w:hAnsi="Arial"/>
          <w:b w:val="0"/>
          <w:i w:val="0"/>
          <w:color w:val="111827"/>
          <w:sz w:val="22"/>
        </w:rPr>
        <w:t xml:space="preserve"> Controles Devedores (Natureza Devedora);</w:t>
      </w:r>
    </w:p>
    <w:p>
      <w:pPr>
        <w:spacing w:line="276" w:lineRule="auto" w:before="20" w:after="40"/>
        <w:ind w:left="992"/>
      </w:pPr>
      <w:r>
        <w:rPr>
          <w:rFonts w:ascii="Arial" w:hAnsi="Arial"/>
          <w:b/>
          <w:color w:val="2B6CB0"/>
          <w:sz w:val="22"/>
        </w:rPr>
        <w:t xml:space="preserve">• </w:t>
      </w:r>
      <w:r>
        <w:rPr>
          <w:rFonts w:ascii="Arial" w:hAnsi="Arial"/>
          <w:b/>
          <w:i w:val="0"/>
          <w:color w:val="111827"/>
          <w:sz w:val="22"/>
        </w:rPr>
        <w:t>Classe 8:</w:t>
      </w:r>
      <w:r>
        <w:rPr>
          <w:rFonts w:ascii="Arial" w:hAnsi="Arial"/>
          <w:b w:val="0"/>
          <w:i w:val="0"/>
          <w:color w:val="111827"/>
          <w:sz w:val="22"/>
        </w:rPr>
        <w:t xml:space="preserve"> Controles Credores (Natureza Credora);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Regras de escrituração e mecânica das partidas dobradas: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Autonomia dos subsistemas e fechamento das partidas dobradas dentro de cada subsistema;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Lançamento de aprovação da Lei Orçamentária Anual (previsão da receita e fixação da despesa);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Lançamentos da execução da despesa orçamentária: empenho, liquidação e pagamento;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Lançamentos da execução da receita orçamentária: previsão, lançamento, arrecadação e recolhimento;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Contabilização dos atos potenciais (contratos administrativos celebrados, convênios, fianças e garantias);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Controle da Disponibilidade por Destinação de Recursos (DDR) e atributos das contas contábeis (P/F).</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e Padronização Federativa do PCASP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Objetivos Centrais e Abrangência Federativa Obrigatória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Os Atributos P/F das Contas Contábeis (Financeiro e Permanente)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Estrutura Codificada do PCASP (Sete Níveis de Detalhamento)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Estrutura Numérica Decimal (X.X.X.X.X.XX.XX)</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Detalhamento Federativo vs. Especificidades do Ente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Os Três Subsistemas de Informação Contábil e Regra da Autonomia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Subsistema Patrimonial (Classes 1, 2, 3 e 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Subsistema Orçamentário (Classes 5 e 6)</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Subsistema de Controle (Classes 7 e 8) e Atos Potenciais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3.4 Regra da Autonomia e Fechamento das Partidas Dobradas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As Oito Classes de Contas e a Natureza dos Saldos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A Regra de Ouro: Classes Ímpares (Devedoras) vs. Pares (Credoras)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Quadro Sinótico Consolidado das Classes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Mecânica dos Lançamentos Contábeis Típicos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Aprovação da Lei Orçamentária Anual (Previsão da Receita e Fixação da Despesa)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Execução da Despesa Orçamentária Passo a Passo (Empenho, Liquidação e Pagamento)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Execução da Receita Orçamentária (Lançamento e Arrecadação/Recolhimento)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5.4 Escrituração dos Atos Potenciais e Controle de Contratos Administrativos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Oficiais &amp; Manuais Técnicos Recomendados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no Padrão FCC</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Fundamentos e Padronização Federativa do PCASP</w:t>
      </w:r>
    </w:p>
    <w:p>
      <w:pPr>
        <w:keepNext/>
        <w:spacing w:before="120" w:after="40"/>
      </w:pPr>
      <w:r>
        <w:rPr>
          <w:rFonts w:ascii="Arial" w:hAnsi="Arial"/>
          <w:b/>
          <w:i/>
          <w:color w:val="334155"/>
          <w:sz w:val="22"/>
        </w:rPr>
        <w:t>1.1 Objetivos Centrais e Abrangência Federativa Obrigatória</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Plano de Contas Aplicado ao Setor Público (PCASP)</w:t>
      </w:r>
      <w:r>
        <w:rPr>
          <w:rFonts w:ascii="Arial" w:hAnsi="Arial"/>
          <w:b w:val="0"/>
          <w:i w:val="0"/>
          <w:color w:val="111827"/>
          <w:sz w:val="24"/>
        </w:rPr>
        <w:t xml:space="preserve"> é a espinha dorsal da escrituração contábil e orçamentária governamental no Brasil. Instituído pela Secretaria do Tesouro Nacional (STN) e pelo Conselho Federal de Contabilidade (CFC), tem aplicação </w:t>
      </w:r>
      <w:r>
        <w:rPr>
          <w:rFonts w:ascii="Arial" w:hAnsi="Arial"/>
          <w:b/>
          <w:i w:val="0"/>
          <w:color w:val="111827"/>
          <w:sz w:val="24"/>
        </w:rPr>
        <w:t>obrigatória em todos os entes da Federação</w:t>
      </w:r>
      <w:r>
        <w:rPr>
          <w:rFonts w:ascii="Arial" w:hAnsi="Arial"/>
          <w:b w:val="0"/>
          <w:i w:val="0"/>
          <w:color w:val="111827"/>
          <w:sz w:val="24"/>
        </w:rPr>
        <w:t xml:space="preserve"> (União, Estados, Distrito Federal e Municípios) e abrange todos os Poderes (Executivo, Legislativo e Judiciário), além do Ministério Público e dos Tribunais de Contas.</w:t>
      </w:r>
    </w:p>
    <w:p>
      <w:pPr>
        <w:spacing w:after="120"/>
      </w:pPr>
    </w:p>
    <w:p>
      <w:pPr>
        <w:keepNext/>
        <w:spacing w:before="120" w:after="40"/>
      </w:pPr>
      <w:r>
        <w:rPr>
          <w:rFonts w:ascii="Arial" w:hAnsi="Arial"/>
          <w:b/>
          <w:i/>
          <w:color w:val="334155"/>
          <w:sz w:val="22"/>
        </w:rPr>
        <w:t>1.2 Os Atributos P/F das Contas Contábeis (Financeiro e Permanente)</w:t>
      </w:r>
    </w:p>
    <w:p>
      <w:pPr>
        <w:spacing w:line="360" w:lineRule="auto" w:before="0" w:after="80"/>
        <w:jc w:val="both"/>
      </w:pPr>
      <w:r>
        <w:rPr>
          <w:rFonts w:ascii="Arial" w:hAnsi="Arial"/>
          <w:b w:val="0"/>
          <w:i w:val="0"/>
          <w:color w:val="111827"/>
          <w:sz w:val="24"/>
        </w:rPr>
        <w:t>Para conciliar o modelo contábil patrimonial moderno com as exigências legais da Lei Federal nº 4.320/1964, cada conta contábil das classes de Ativo (Classe 1) e Passivo (Classe 2) possui um atributo conceitual indicador de sua natureza financeira ou permanente: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Atributo `F` (Financeiro):</w:t>
      </w:r>
      <w:r>
        <w:rPr>
          <w:rFonts w:ascii="Arial" w:hAnsi="Arial"/>
          <w:b w:val="0"/>
          <w:i w:val="0"/>
          <w:color w:val="111827"/>
          <w:sz w:val="22"/>
        </w:rPr>
        <w:t xml:space="preserve"> Identifica os bens, direitos e obrigações cuja realização ou liquidação independe de autorização orçamentária subsequente (ex.: Caixa, Bancos Conta Movimento, Restos a Pagar, depósitos de terceiros e retenções). Essas contas compõem o </w:t>
      </w:r>
      <w:r>
        <w:rPr>
          <w:rFonts w:ascii="Arial" w:hAnsi="Arial"/>
          <w:b/>
          <w:i w:val="0"/>
          <w:color w:val="111827"/>
          <w:sz w:val="22"/>
        </w:rPr>
        <w:t>Balanço Financeiro</w:t>
      </w:r>
      <w:r>
        <w:rPr>
          <w:rFonts w:ascii="Arial" w:hAnsi="Arial"/>
          <w:b w:val="0"/>
          <w:i w:val="0"/>
          <w:color w:val="111827"/>
          <w:sz w:val="22"/>
        </w:rPr>
        <w:t xml:space="preserve"> e servem de base para o cálculo do </w:t>
      </w:r>
      <w:r>
        <w:rPr>
          <w:rFonts w:ascii="Arial" w:hAnsi="Arial"/>
          <w:b/>
          <w:i w:val="0"/>
          <w:color w:val="111827"/>
          <w:sz w:val="22"/>
        </w:rPr>
        <w:t>Superávit Financeiro</w:t>
      </w:r>
      <w:r>
        <w:rPr>
          <w:rFonts w:ascii="Arial" w:hAnsi="Arial"/>
          <w:b w:val="0"/>
          <w:i w:val="0"/>
          <w:color w:val="111827"/>
          <w:sz w:val="22"/>
        </w:rPr>
        <w:t xml:space="preserve"> do art. 43, § 2º da Lei nº 4.320/1964;</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Atributo `P` (Permanente):</w:t>
      </w:r>
      <w:r>
        <w:rPr>
          <w:rFonts w:ascii="Arial" w:hAnsi="Arial"/>
          <w:b w:val="0"/>
          <w:i w:val="0"/>
          <w:color w:val="111827"/>
          <w:sz w:val="22"/>
        </w:rPr>
        <w:t xml:space="preserve"> Identifica os bens e obrigações cuja movimentação depende de autorização orçamentária prévia ou que decorrem de mutações patrimoniais duradouras (ex.: Edifícios, Veículos, Dívida Fundada Consolidada e Provisões Judiciais). Compõem o Balanço Patrimonial e não afetam diretamente o superávit financeiro de curto prazo.</w:t>
      </w:r>
    </w:p>
    <w:p>
      <w:pPr>
        <w:keepNext/>
        <w:spacing w:before="200" w:after="80"/>
      </w:pPr>
      <w:r>
        <w:rPr>
          <w:rFonts w:ascii="Arial" w:hAnsi="Arial"/>
          <w:b/>
          <w:i w:val="0"/>
          <w:color w:val="2B6CB0"/>
          <w:sz w:val="24"/>
        </w:rPr>
        <w:t>2. Estrutura Codificada do PCASP (Sete Níveis de Detalhamento)</w:t>
      </w:r>
    </w:p>
    <w:p>
      <w:pPr>
        <w:keepNext/>
        <w:spacing w:before="120" w:after="40"/>
      </w:pPr>
      <w:r>
        <w:rPr>
          <w:rFonts w:ascii="Arial" w:hAnsi="Arial"/>
          <w:b/>
          <w:i/>
          <w:color w:val="334155"/>
          <w:sz w:val="22"/>
        </w:rPr>
        <w:t>2.1 Estrutura Numérica Decimal (X.X.X.X.X.XX.XX)</w:t>
      </w:r>
    </w:p>
    <w:p>
      <w:pPr>
        <w:spacing w:line="360" w:lineRule="auto" w:before="0" w:after="80"/>
        <w:jc w:val="both"/>
      </w:pPr>
      <w:r>
        <w:rPr>
          <w:rFonts w:ascii="Arial" w:hAnsi="Arial"/>
          <w:b w:val="0"/>
          <w:i w:val="0"/>
          <w:color w:val="111827"/>
          <w:sz w:val="24"/>
        </w:rPr>
        <w:t xml:space="preserve">A codificação contábil das contas no PCASP é organizada em </w:t>
      </w:r>
      <w:r>
        <w:rPr>
          <w:rFonts w:ascii="Arial" w:hAnsi="Arial"/>
          <w:b/>
          <w:i w:val="0"/>
          <w:color w:val="111827"/>
          <w:sz w:val="24"/>
        </w:rPr>
        <w:t>7 níveis hierárquicos de detalhamento</w:t>
      </w:r>
      <w:r>
        <w:rPr>
          <w:rFonts w:ascii="Arial" w:hAnsi="Arial"/>
          <w:b w:val="0"/>
          <w:i w:val="0"/>
          <w:color w:val="111827"/>
          <w:sz w:val="24"/>
        </w:rPr>
        <w:t xml:space="preserve">, totalizando </w:t>
      </w:r>
      <w:r>
        <w:rPr>
          <w:rFonts w:ascii="Arial" w:hAnsi="Arial"/>
          <w:b/>
          <w:i w:val="0"/>
          <w:color w:val="111827"/>
          <w:sz w:val="24"/>
        </w:rPr>
        <w:t>9 dígitos numéricos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\text{C . G . SG . T . ST . II . SS}</w:t>
      </w:r>
      <w:r>
        <w:rPr>
          <w:rFonts w:ascii="Arial" w:hAnsi="Arial"/>
          <w:b w:val="0"/>
          <w:i w:val="0"/>
          <w:color w:val="111827"/>
          <w:sz w:val="24"/>
        </w:rPr>
        <w:t>$</w:t>
      </w:r>
    </w:p>
    <w:p>
      <w:pPr>
        <w:spacing w:after="120"/>
      </w:pP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Nível Hierárquico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Denominação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Dígitos</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 Real no PCASP</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Significado Prático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1º</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Classe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Ativo</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2º</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Grupo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1.1</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Ativo Circulante</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3º</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Subgrupo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1.1.1</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Caixa e Equivalentes de Caixa</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4º</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Título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1.1.1.1</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Caixa e Equivalentes de Caixa em Moeda Nacional</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5º</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Subtítulo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1</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1.1.1.1.1</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Caixa e Equivalentes em Moeda Nacional - Consolidação</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6º</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Item</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1.1.1.1.1.01</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Caixa Geral</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7º</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Subitem</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2</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onsolas" w:hAnsi="Consolas"/>
                <w:b w:val="0"/>
                <w:color w:val="991B1B"/>
                <w:sz w:val="20"/>
              </w:rPr>
              <w:t>1.1.1.1.1.01.01</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Caixa do Tesouro Estadual de Goiás</w:t>
            </w:r>
          </w:p>
        </w:tc>
      </w:tr>
    </w:tbl>
    <w:p>
      <w:pPr>
        <w:spacing w:after="120"/>
      </w:pPr>
    </w:p>
    <w:p>
      <w:pPr>
        <w:keepNext/>
        <w:spacing w:before="120" w:after="40"/>
      </w:pPr>
      <w:r>
        <w:rPr>
          <w:rFonts w:ascii="Arial" w:hAnsi="Arial"/>
          <w:b/>
          <w:i/>
          <w:color w:val="334155"/>
          <w:sz w:val="22"/>
        </w:rPr>
        <w:t>2.2 Detalhamento Federativo vs. Especificidades do 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Níveis 1 a 5 (PCASP Federativo):</w:t>
      </w:r>
      <w:r>
        <w:rPr>
          <w:rFonts w:ascii="Arial" w:hAnsi="Arial"/>
          <w:b w:val="0"/>
          <w:i w:val="0"/>
          <w:color w:val="111827"/>
          <w:sz w:val="22"/>
        </w:rPr>
        <w:t xml:space="preserve"> A Secretaria do Tesouro Nacional padroniza de forma cogente e uniforme os níveis de 1 a 5 para toda a República Federativa do Brasil, sendo vedado aos Estados e Municípios criar ou alterar nomenclaturas nesses níveis.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Níveis 6 e 7 (Item e Subitem):</w:t>
      </w:r>
      <w:r>
        <w:rPr>
          <w:rFonts w:ascii="Arial" w:hAnsi="Arial"/>
          <w:b w:val="0"/>
          <w:i w:val="0"/>
          <w:color w:val="111827"/>
          <w:sz w:val="22"/>
        </w:rPr>
        <w:t xml:space="preserve"> Podem ser abertos, detalhados e personalizados por cada ente federado (como o Estado de Goiás e o TCE-GO) para atender às suas particularidades operacionais e gerenciais de controle interno.</w:t>
      </w:r>
    </w:p>
    <w:p>
      <w:pPr>
        <w:keepNext/>
        <w:spacing w:before="200" w:after="80"/>
      </w:pPr>
      <w:r>
        <w:rPr>
          <w:rFonts w:ascii="Arial" w:hAnsi="Arial"/>
          <w:b/>
          <w:i w:val="0"/>
          <w:color w:val="2B6CB0"/>
          <w:sz w:val="24"/>
        </w:rPr>
        <w:t>3. Os Três Subsistemas de Informação Contábil e Regra da Autonomia</w:t>
      </w:r>
    </w:p>
    <w:p>
      <w:pPr>
        <w:spacing w:line="360" w:lineRule="auto" w:before="0" w:after="80"/>
        <w:jc w:val="both"/>
      </w:pPr>
      <w:r>
        <w:rPr>
          <w:rFonts w:ascii="Arial" w:hAnsi="Arial"/>
          <w:b w:val="0"/>
          <w:i w:val="0"/>
          <w:color w:val="111827"/>
          <w:sz w:val="24"/>
        </w:rPr>
        <w:t>O PCASP estrutura a contabilidade em três subsistemas autônomos e integrados:</w:t>
      </w:r>
    </w:p>
    <w:p>
      <w:pPr>
        <w:spacing w:after="120"/>
      </w:pPr>
    </w:p>
    <w:p>
      <w:pPr>
        <w:keepNext/>
        <w:spacing w:before="120" w:after="40"/>
      </w:pPr>
      <w:r>
        <w:rPr>
          <w:rFonts w:ascii="Arial" w:hAnsi="Arial"/>
          <w:b/>
          <w:i/>
          <w:color w:val="334155"/>
          <w:sz w:val="22"/>
        </w:rPr>
        <w:t>3.1 Subsistema Patrimonial (Classes 1, 2, 3 e 4)</w:t>
      </w:r>
    </w:p>
    <w:p>
      <w:pPr>
        <w:spacing w:line="360" w:lineRule="auto" w:before="0" w:after="80"/>
        <w:jc w:val="both"/>
      </w:pPr>
      <w:r>
        <w:rPr>
          <w:rFonts w:ascii="Arial" w:hAnsi="Arial"/>
          <w:b w:val="0"/>
          <w:i w:val="0"/>
          <w:color w:val="111827"/>
          <w:sz w:val="24"/>
        </w:rPr>
        <w:t xml:space="preserve">Registra, processa e evidencia os atos e fatos modificativos e permutativos que afetam a situação patrimonial do ente. Opera sob a ótica da </w:t>
      </w:r>
      <w:r>
        <w:rPr>
          <w:rFonts w:ascii="Arial" w:hAnsi="Arial"/>
          <w:b/>
          <w:i w:val="0"/>
          <w:color w:val="111827"/>
          <w:sz w:val="24"/>
        </w:rPr>
        <w:t>competência pura</w:t>
      </w:r>
      <w:r>
        <w:rPr>
          <w:rFonts w:ascii="Arial" w:hAnsi="Arial"/>
          <w:b w:val="0"/>
          <w:i w:val="0"/>
          <w:color w:val="111827"/>
          <w:sz w:val="24"/>
        </w:rPr>
        <w:t>, reconhecendo variações patrimoniais aumentativas (VPA) e diminutivas (VPD) no instante de ocorrência do fato gerador econômico.</w:t>
      </w:r>
    </w:p>
    <w:p>
      <w:pPr>
        <w:keepNext/>
        <w:spacing w:before="120" w:after="40"/>
      </w:pPr>
      <w:r>
        <w:rPr>
          <w:rFonts w:ascii="Arial" w:hAnsi="Arial"/>
          <w:b/>
          <w:i/>
          <w:color w:val="334155"/>
          <w:sz w:val="22"/>
        </w:rPr>
        <w:t>3.2 Subsistema Orçamentário (Classes 5 e 6)</w:t>
      </w:r>
    </w:p>
    <w:p>
      <w:pPr>
        <w:spacing w:line="360" w:lineRule="auto" w:before="0" w:after="80"/>
        <w:jc w:val="both"/>
      </w:pPr>
      <w:r>
        <w:rPr>
          <w:rFonts w:ascii="Arial" w:hAnsi="Arial"/>
          <w:b w:val="0"/>
          <w:i w:val="0"/>
          <w:color w:val="111827"/>
          <w:sz w:val="24"/>
        </w:rPr>
        <w:t>Registra a aprovação da proposta orçamentária (créditos iniciais e adicionais na LOA) e o ciclo de execução da receita e da despesa segundo as regras da Lei nº 4.320/1964.</w:t>
      </w:r>
    </w:p>
    <w:p>
      <w:pPr>
        <w:keepNext/>
        <w:spacing w:before="120" w:after="40"/>
      </w:pPr>
      <w:r>
        <w:rPr>
          <w:rFonts w:ascii="Arial" w:hAnsi="Arial"/>
          <w:b/>
          <w:i/>
          <w:color w:val="334155"/>
          <w:sz w:val="22"/>
        </w:rPr>
        <w:t>3.3 Subsistema de Controle (Classes 7 e 8) e Atos Potenciais</w:t>
      </w:r>
    </w:p>
    <w:p>
      <w:pPr>
        <w:spacing w:line="360" w:lineRule="auto" w:before="0" w:after="80"/>
        <w:jc w:val="both"/>
      </w:pPr>
      <w:r>
        <w:rPr>
          <w:rFonts w:ascii="Arial" w:hAnsi="Arial"/>
          <w:b w:val="0"/>
          <w:i w:val="0"/>
          <w:color w:val="111827"/>
          <w:sz w:val="24"/>
        </w:rPr>
        <w:t xml:space="preserve">Destina-se ao registro e monitoramento dos </w:t>
      </w:r>
      <w:r>
        <w:rPr>
          <w:rFonts w:ascii="Arial" w:hAnsi="Arial"/>
          <w:b/>
          <w:i w:val="0"/>
          <w:color w:val="111827"/>
          <w:sz w:val="24"/>
        </w:rPr>
        <w:t>atos potenciais</w:t>
      </w:r>
      <w:r>
        <w:rPr>
          <w:rFonts w:ascii="Arial" w:hAnsi="Arial"/>
          <w:b w:val="0"/>
          <w:i w:val="0"/>
          <w:color w:val="111827"/>
          <w:sz w:val="24"/>
        </w:rPr>
        <w:t xml:space="preserve"> praticados pela administração pública. São eventos que não afetam de imediato o patrimônio líquido da entidade, mas que criam direitos ou obrigações futuras que poderão vir a modificá-lo (ex.: celebração de contratos administrativos de prestação de serviços continuados, convênios de repasse, concessão de avais e fianças a outros entes). Controla também a Disponibilidade por Destinação de Recursos (DDR).</w:t>
      </w:r>
    </w:p>
    <w:p>
      <w:pPr>
        <w:keepNext/>
        <w:spacing w:before="120" w:after="40"/>
      </w:pPr>
      <w:r>
        <w:rPr>
          <w:rFonts w:ascii="Arial" w:hAnsi="Arial"/>
          <w:b/>
          <w:i/>
          <w:color w:val="334155"/>
          <w:sz w:val="22"/>
        </w:rPr>
        <w:t>3.4 Regra da Autonomia e Fechamento das Partidas Dobradas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No modelo do PCASP, vigora o </w:t>
            </w:r>
            <w:r>
              <w:rPr>
                <w:rFonts w:ascii="Arial" w:hAnsi="Arial"/>
                <w:b/>
                <w:i w:val="0"/>
                <w:color w:val="111827"/>
                <w:sz w:val="21"/>
              </w:rPr>
              <w:t>princípio da autonomia dos subsistemas contábeis</w:t>
            </w:r>
            <w:r>
              <w:rPr>
                <w:rFonts w:ascii="Arial" w:hAnsi="Arial"/>
                <w:b w:val="0"/>
                <w:i w:val="0"/>
                <w:color w:val="111827"/>
                <w:sz w:val="21"/>
              </w:rPr>
              <w:t xml:space="preserve">. O fechamento do método das partidas dobradas (Débito = Crédito) dá-se </w:t>
            </w:r>
            <w:r>
              <w:rPr>
                <w:rFonts w:ascii="Arial" w:hAnsi="Arial"/>
                <w:b/>
                <w:i w:val="0"/>
                <w:color w:val="111827"/>
                <w:sz w:val="21"/>
              </w:rPr>
              <w:t>estritamente dentro de cada subsistema</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Uma conta do Subsistema Patrimonial (Classes 1, 2, 3 e 4) </w:t>
            </w:r>
            <w:r>
              <w:rPr>
                <w:rFonts w:ascii="Arial" w:hAnsi="Arial"/>
                <w:b/>
                <w:i w:val="0"/>
                <w:color w:val="111827"/>
                <w:sz w:val="21"/>
              </w:rPr>
              <w:t>SEMPRE fecha com outra conta do Subsistema Patrimonial</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Uma conta do Subsistema Orçamentário (Classes 5 e 6) </w:t>
            </w:r>
            <w:r>
              <w:rPr>
                <w:rFonts w:ascii="Arial" w:hAnsi="Arial"/>
                <w:b/>
                <w:i w:val="0"/>
                <w:color w:val="111827"/>
                <w:sz w:val="21"/>
              </w:rPr>
              <w:t>SEMPRE fecha com outra conta do Subsistema Orçamentário</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Uma conta do Subsistema de Controle (Classes 7 e 8) </w:t>
            </w:r>
            <w:r>
              <w:rPr>
                <w:rFonts w:ascii="Arial" w:hAnsi="Arial"/>
                <w:b/>
                <w:i w:val="0"/>
                <w:color w:val="111827"/>
                <w:sz w:val="21"/>
              </w:rPr>
              <w:t>SEMPRE fecha com outra conta do Subsistema de Controle</w:t>
            </w:r>
            <w:r>
              <w:rPr>
                <w:rFonts w:ascii="Arial" w:hAnsi="Arial"/>
                <w:b w:val="0"/>
                <w:i w:val="0"/>
                <w:color w:val="111827"/>
                <w:sz w:val="21"/>
              </w:rPr>
              <w:t>!</w:t>
            </w:r>
          </w:p>
          <w:p>
            <w:pPr>
              <w:spacing w:line="288" w:lineRule="auto" w:before="40" w:after="40"/>
            </w:pPr>
            <w:r>
              <w:rPr>
                <w:rFonts w:ascii="Arial" w:hAnsi="Arial"/>
                <w:b/>
                <w:i w:val="0"/>
                <w:color w:val="111827"/>
                <w:sz w:val="21"/>
              </w:rPr>
              <w:t>JAMAIS</w:t>
            </w:r>
            <w:r>
              <w:rPr>
                <w:rFonts w:ascii="Arial" w:hAnsi="Arial"/>
                <w:b w:val="0"/>
                <w:i w:val="0"/>
                <w:color w:val="111827"/>
                <w:sz w:val="21"/>
              </w:rPr>
              <w:t xml:space="preserve"> ocorrerá lançamento contábil direto debitando uma conta orçamentária (ex.: Classe 6) e creditando uma conta patrimonial (ex.: Classe 1). Lançamentos cruzados entre subsistemas são terminantemente vedados pelo MCASP!</w:t>
            </w:r>
          </w:p>
        </w:tc>
      </w:tr>
    </w:tbl>
    <w:p>
      <w:pPr>
        <w:spacing w:before="0" w:after="120"/>
      </w:pPr>
    </w:p>
    <w:p>
      <w:pPr>
        <w:keepNext/>
        <w:spacing w:before="200" w:after="80"/>
      </w:pPr>
      <w:r>
        <w:rPr>
          <w:rFonts w:ascii="Arial" w:hAnsi="Arial"/>
          <w:b/>
          <w:i w:val="0"/>
          <w:color w:val="2B6CB0"/>
          <w:sz w:val="24"/>
        </w:rPr>
        <w:t>4. As Oito Classes de Contas e a Natureza dos Saldos</w:t>
      </w:r>
    </w:p>
    <w:p>
      <w:pPr>
        <w:keepNext/>
        <w:spacing w:before="120" w:after="40"/>
      </w:pPr>
      <w:r>
        <w:rPr>
          <w:rFonts w:ascii="Arial" w:hAnsi="Arial"/>
          <w:b/>
          <w:i/>
          <w:color w:val="334155"/>
          <w:sz w:val="22"/>
        </w:rPr>
        <w:t>4.1 A Regra de Ouro: Classes Ímpares (Devedoras) vs. Pares (Credoras)</w:t>
      </w:r>
    </w:p>
    <w:p>
      <w:pPr>
        <w:spacing w:line="360" w:lineRule="auto" w:before="0" w:after="80"/>
        <w:jc w:val="both"/>
      </w:pPr>
      <w:r>
        <w:rPr>
          <w:rFonts w:ascii="Arial" w:hAnsi="Arial"/>
          <w:b w:val="0"/>
          <w:i w:val="0"/>
          <w:color w:val="111827"/>
          <w:sz w:val="24"/>
        </w:rPr>
        <w:t>A arquitetura do PCASP foi concebida sob uma regra matemática de elegância e simplicidade que facilita a resolução de dezenas de questões da banca FCC:</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\text{Classe Ímpar } (1, 3, 5, 7) \implies \text{Natureza Saldo DEVEDOR}</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\text{Classe Par } (2, 4, 6, 8) \implies \text{Natureza Saldo CREDOR}</w:t>
      </w:r>
      <w:r>
        <w:rPr>
          <w:rFonts w:ascii="Arial" w:hAnsi="Arial"/>
          <w:b w:val="0"/>
          <w:i w:val="0"/>
          <w:color w:val="111827"/>
          <w:sz w:val="24"/>
        </w:rPr>
        <w:t>$</w:t>
      </w:r>
    </w:p>
    <w:p>
      <w:pPr>
        <w:spacing w:after="120"/>
      </w:pPr>
    </w:p>
    <w:p>
      <w:pPr>
        <w:keepNext/>
        <w:spacing w:before="120" w:after="40"/>
      </w:pPr>
      <w:r>
        <w:rPr>
          <w:rFonts w:ascii="Arial" w:hAnsi="Arial"/>
          <w:b/>
          <w:i/>
          <w:color w:val="334155"/>
          <w:sz w:val="22"/>
        </w:rPr>
        <w:t>4.2 Quadro Sinótico Consolidado das Classes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Classe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Nome da Classe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Subsistema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Natureza Típica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Função Primária de Registro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Ativo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Patrimonial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Devedora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Bens e direitos controlados pelo ente público.</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Passivo e Patrimônio Líquido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Patrimonial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Credora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Obrigações exigíveis e situação líquida residual.</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VPD (Variação Patrimonial Diminutiva)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Patrimonial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Devedora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Transações que diminuem o patrimônio líquido (despesas).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4</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VPA (Variação Patrimonial Aumentativa)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Patrimonial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Credora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Transações que aumentam o patrimônio líquido (receitas).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5</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Orçamento Aprovado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Orçamentário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Devedora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Registro da previsão da receita e fixação da despesa na LOA.</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6</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Execução do Orçamento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Orçamentário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Credora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Acompanhamento da receita arrecadada e despesa executada.</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7</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Controles Devedores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Controle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Devedora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Registro de atos potenciais ativos e DDR a executar.</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8</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Controles Credores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Controle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Credora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Registro de atos potenciais passivos e DDR executada.</w:t>
            </w:r>
          </w:p>
        </w:tc>
      </w:tr>
    </w:tbl>
    <w:p>
      <w:pPr>
        <w:spacing w:after="120"/>
      </w:pPr>
    </w:p>
    <w:p>
      <w:pPr>
        <w:keepNext/>
        <w:spacing w:before="200" w:after="80"/>
      </w:pPr>
      <w:r>
        <w:rPr>
          <w:rFonts w:ascii="Arial" w:hAnsi="Arial"/>
          <w:b/>
          <w:i w:val="0"/>
          <w:color w:val="2B6CB0"/>
          <w:sz w:val="24"/>
        </w:rPr>
        <w:t>5. Mecânica dos Lançamentos Contábeis Típicos</w:t>
      </w:r>
    </w:p>
    <w:p>
      <w:pPr>
        <w:keepNext/>
        <w:spacing w:before="120" w:after="40"/>
      </w:pPr>
      <w:r>
        <w:rPr>
          <w:rFonts w:ascii="Arial" w:hAnsi="Arial"/>
          <w:b/>
          <w:i/>
          <w:color w:val="334155"/>
          <w:sz w:val="22"/>
        </w:rPr>
        <w:t>5.1 Aprovação da Lei Orçamentária Anual (Previsão da Receita e Fixação da Despesa)</w:t>
      </w:r>
    </w:p>
    <w:p>
      <w:pPr>
        <w:spacing w:line="360" w:lineRule="auto" w:before="0" w:after="80"/>
        <w:jc w:val="both"/>
      </w:pPr>
      <w:r>
        <w:rPr>
          <w:rFonts w:ascii="Arial" w:hAnsi="Arial"/>
          <w:b w:val="0"/>
          <w:i w:val="0"/>
          <w:color w:val="111827"/>
          <w:sz w:val="24"/>
        </w:rPr>
        <w:t xml:space="preserve">Na aprovação da LOA pelo Poder Legislativo, os lançamentos ocorrem </w:t>
      </w:r>
      <w:r>
        <w:rPr>
          <w:rFonts w:ascii="Arial" w:hAnsi="Arial"/>
          <w:b/>
          <w:i w:val="0"/>
          <w:color w:val="111827"/>
          <w:sz w:val="24"/>
        </w:rPr>
        <w:t>exclusivamente no Subsistema Orçamentário</w:t>
      </w:r>
      <w:r>
        <w:rPr>
          <w:rFonts w:ascii="Arial" w:hAnsi="Arial"/>
          <w:b w:val="0"/>
          <w:i w:val="0"/>
          <w:color w:val="111827"/>
          <w:sz w:val="24"/>
        </w:rPr>
        <w: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Previsão Inicial da Receita:</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D</w:t>
      </w:r>
      <w:r>
        <w:rPr>
          <w:rFonts w:ascii="Arial" w:hAnsi="Arial"/>
          <w:b w:val="0"/>
          <w:i w:val="0"/>
          <w:color w:val="111827"/>
          <w:sz w:val="22"/>
        </w:rPr>
        <w:t xml:space="preserve"> - </w:t>
      </w:r>
      <w:r>
        <w:rPr>
          <w:rFonts w:ascii="Consolas" w:hAnsi="Consolas"/>
          <w:b w:val="0"/>
          <w:color w:val="991B1B"/>
          <w:sz w:val="20"/>
        </w:rPr>
        <w:t>5.2.1.1.1</w:t>
      </w:r>
      <w:r>
        <w:rPr>
          <w:rFonts w:ascii="Arial" w:hAnsi="Arial"/>
          <w:b w:val="0"/>
          <w:i w:val="0"/>
          <w:color w:val="111827"/>
          <w:sz w:val="22"/>
        </w:rPr>
        <w:t xml:space="preserve"> Previsão Inicial da Receita (Classe 5 - Devedora)</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C</w:t>
      </w:r>
      <w:r>
        <w:rPr>
          <w:rFonts w:ascii="Arial" w:hAnsi="Arial"/>
          <w:b w:val="0"/>
          <w:i w:val="0"/>
          <w:color w:val="111827"/>
          <w:sz w:val="22"/>
        </w:rPr>
        <w:t xml:space="preserve"> - </w:t>
      </w:r>
      <w:r>
        <w:rPr>
          <w:rFonts w:ascii="Consolas" w:hAnsi="Consolas"/>
          <w:b w:val="0"/>
          <w:color w:val="991B1B"/>
          <w:sz w:val="20"/>
        </w:rPr>
        <w:t>6.2.1.1.0</w:t>
      </w:r>
      <w:r>
        <w:rPr>
          <w:rFonts w:ascii="Arial" w:hAnsi="Arial"/>
          <w:b w:val="0"/>
          <w:i w:val="0"/>
          <w:color w:val="111827"/>
          <w:sz w:val="22"/>
        </w:rPr>
        <w:t xml:space="preserve"> Receita a Realizar (Classe 6 - Credora)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Fixação Inicial da Despesa:</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D</w:t>
      </w:r>
      <w:r>
        <w:rPr>
          <w:rFonts w:ascii="Arial" w:hAnsi="Arial"/>
          <w:b w:val="0"/>
          <w:i w:val="0"/>
          <w:color w:val="111827"/>
          <w:sz w:val="22"/>
        </w:rPr>
        <w:t xml:space="preserve"> - </w:t>
      </w:r>
      <w:r>
        <w:rPr>
          <w:rFonts w:ascii="Consolas" w:hAnsi="Consolas"/>
          <w:b w:val="0"/>
          <w:color w:val="991B1B"/>
          <w:sz w:val="20"/>
        </w:rPr>
        <w:t>6.2.2.1.1</w:t>
      </w:r>
      <w:r>
        <w:rPr>
          <w:rFonts w:ascii="Arial" w:hAnsi="Arial"/>
          <w:b w:val="0"/>
          <w:i w:val="0"/>
          <w:color w:val="111827"/>
          <w:sz w:val="22"/>
        </w:rPr>
        <w:t xml:space="preserve"> Crédito Disponível (Classe 6 - Devedora transitória)</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C</w:t>
      </w:r>
      <w:r>
        <w:rPr>
          <w:rFonts w:ascii="Arial" w:hAnsi="Arial"/>
          <w:b w:val="0"/>
          <w:i w:val="0"/>
          <w:color w:val="111827"/>
          <w:sz w:val="22"/>
        </w:rPr>
        <w:t xml:space="preserve"> - </w:t>
      </w:r>
      <w:r>
        <w:rPr>
          <w:rFonts w:ascii="Consolas" w:hAnsi="Consolas"/>
          <w:b w:val="0"/>
          <w:color w:val="991B1B"/>
          <w:sz w:val="20"/>
        </w:rPr>
        <w:t>5.2.2.1.1</w:t>
      </w:r>
      <w:r>
        <w:rPr>
          <w:rFonts w:ascii="Arial" w:hAnsi="Arial"/>
          <w:b w:val="0"/>
          <w:i w:val="0"/>
          <w:color w:val="111827"/>
          <w:sz w:val="22"/>
        </w:rPr>
        <w:t xml:space="preserve"> Dotação Inicial (Classe 5 - Credora transitória)</w:t>
      </w:r>
    </w:p>
    <w:p>
      <w:pPr>
        <w:keepNext/>
        <w:spacing w:before="120" w:after="40"/>
      </w:pPr>
      <w:r>
        <w:rPr>
          <w:rFonts w:ascii="Arial" w:hAnsi="Arial"/>
          <w:b/>
          <w:i/>
          <w:color w:val="334155"/>
          <w:sz w:val="22"/>
        </w:rPr>
        <w:t>5.2 Execução da Despesa Orçamentária Passo a Passo (Empenho, Liquidação e Pagamento)</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frequentemente afirma que o </w:t>
            </w:r>
            <w:r>
              <w:rPr>
                <w:rFonts w:ascii="Arial" w:hAnsi="Arial"/>
                <w:b/>
                <w:i w:val="0"/>
                <w:color w:val="111827"/>
                <w:sz w:val="21"/>
              </w:rPr>
              <w:t>empenho da despesa</w:t>
            </w:r>
            <w:r>
              <w:rPr>
                <w:rFonts w:ascii="Arial" w:hAnsi="Arial"/>
                <w:b w:val="0"/>
                <w:i w:val="0"/>
                <w:color w:val="111827"/>
                <w:sz w:val="21"/>
              </w:rPr>
              <w:t xml:space="preserve"> gera o nascimento de um passivo exigível ou altera o patrimônio líquido da entidade. </w:t>
            </w:r>
            <w:r>
              <w:rPr>
                <w:rFonts w:ascii="Arial" w:hAnsi="Arial"/>
                <w:b/>
                <w:i w:val="0"/>
                <w:color w:val="111827"/>
                <w:sz w:val="21"/>
              </w:rPr>
              <w:t>FALSO!</w:t>
            </w:r>
            <w:r>
              <w:rPr>
                <w:rFonts w:ascii="Arial" w:hAnsi="Arial"/>
                <w:b w:val="0"/>
                <w:i w:val="0"/>
                <w:color w:val="111827"/>
                <w:sz w:val="21"/>
              </w:rPr>
              <w:t xml:space="preserve"> O empenho é mero ato de reserva orçamentária registrado unicamente na Classe 6. A afetação do patrimônio (nascimento do passivo em fornecedores e reconhecimento da VPD ou incorporação de ativo) opera-se </w:t>
            </w:r>
            <w:r>
              <w:rPr>
                <w:rFonts w:ascii="Arial" w:hAnsi="Arial"/>
                <w:b/>
                <w:i w:val="0"/>
                <w:color w:val="111827"/>
                <w:sz w:val="21"/>
              </w:rPr>
              <w:t>exclusivamente no estágio da LIQUIDAÇÃO</w:t>
            </w:r>
            <w:r>
              <w:rPr>
                <w:rFonts w:ascii="Arial" w:hAnsi="Arial"/>
                <w:b w:val="0"/>
                <w:i w:val="0"/>
                <w:color w:val="111827"/>
                <w:sz w:val="21"/>
              </w:rPr>
              <w:t>!</w:t>
            </w:r>
          </w:p>
        </w:tc>
      </w:tr>
    </w:tbl>
    <w:p>
      <w:pPr>
        <w:spacing w:before="0" w:after="120"/>
      </w:pPr>
    </w:p>
    <w:p>
      <w:pPr>
        <w:keepNext/>
        <w:spacing w:before="120" w:after="40"/>
      </w:pPr>
      <w:r>
        <w:rPr>
          <w:rFonts w:ascii="Arial" w:hAnsi="Arial"/>
          <w:b/>
          <w:i/>
          <w:color w:val="334155"/>
          <w:sz w:val="22"/>
        </w:rPr>
        <w:t>5.3 Execução da Receita Orçamentária (Lançamento e Arrecadação/Recolhimento)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Lançamento do Tributo (Fato Gerador / Competência):</w:t>
      </w:r>
    </w:p>
    <w:p>
      <w:pPr>
        <w:spacing w:line="276" w:lineRule="auto" w:before="20" w:after="40"/>
        <w:ind w:left="992"/>
      </w:pPr>
      <w:r>
        <w:rPr>
          <w:rFonts w:ascii="Arial" w:hAnsi="Arial"/>
          <w:b/>
          <w:color w:val="2B6CB0"/>
          <w:sz w:val="22"/>
        </w:rPr>
        <w:t xml:space="preserve">• </w:t>
      </w:r>
      <w:r>
        <w:rPr>
          <w:rFonts w:ascii="Arial" w:hAnsi="Arial"/>
          <w:b w:val="0"/>
          <w:i/>
          <w:color w:val="111827"/>
          <w:sz w:val="22"/>
        </w:rPr>
        <w:t>Subsistema Patrimonial:</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D</w:t>
      </w:r>
      <w:r>
        <w:rPr>
          <w:rFonts w:ascii="Arial" w:hAnsi="Arial"/>
          <w:b w:val="0"/>
          <w:i w:val="0"/>
          <w:color w:val="111827"/>
          <w:sz w:val="22"/>
        </w:rPr>
        <w:t xml:space="preserve"> - </w:t>
      </w:r>
      <w:r>
        <w:rPr>
          <w:rFonts w:ascii="Consolas" w:hAnsi="Consolas"/>
          <w:b w:val="0"/>
          <w:color w:val="991B1B"/>
          <w:sz w:val="20"/>
        </w:rPr>
        <w:t>1.1.2.X</w:t>
      </w:r>
      <w:r>
        <w:rPr>
          <w:rFonts w:ascii="Arial" w:hAnsi="Arial"/>
          <w:b w:val="0"/>
          <w:i w:val="0"/>
          <w:color w:val="111827"/>
          <w:sz w:val="22"/>
        </w:rPr>
        <w:t xml:space="preserve"> Créditos Tributários a Receber (Ativo Circulante)</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C</w:t>
      </w:r>
      <w:r>
        <w:rPr>
          <w:rFonts w:ascii="Arial" w:hAnsi="Arial"/>
          <w:b w:val="0"/>
          <w:i w:val="0"/>
          <w:color w:val="111827"/>
          <w:sz w:val="22"/>
        </w:rPr>
        <w:t xml:space="preserve"> - </w:t>
      </w:r>
      <w:r>
        <w:rPr>
          <w:rFonts w:ascii="Consolas" w:hAnsi="Consolas"/>
          <w:b w:val="0"/>
          <w:color w:val="991B1B"/>
          <w:sz w:val="20"/>
        </w:rPr>
        <w:t>4.1.1.X</w:t>
      </w:r>
      <w:r>
        <w:rPr>
          <w:rFonts w:ascii="Arial" w:hAnsi="Arial"/>
          <w:b w:val="0"/>
          <w:i w:val="0"/>
          <w:color w:val="111827"/>
          <w:sz w:val="22"/>
        </w:rPr>
        <w:t xml:space="preserve"> VPA - Impostos (Classe 4 - VPA de Resultado)</w:t>
      </w:r>
    </w:p>
    <w:p>
      <w:pPr>
        <w:spacing w:line="276" w:lineRule="auto" w:before="20" w:after="40"/>
        <w:ind w:left="992"/>
      </w:pPr>
      <w:r>
        <w:rPr>
          <w:rFonts w:ascii="Arial" w:hAnsi="Arial"/>
          <w:b/>
          <w:color w:val="2B6CB0"/>
          <w:sz w:val="22"/>
        </w:rPr>
        <w:t xml:space="preserve">• </w:t>
      </w:r>
      <w:r>
        <w:rPr>
          <w:rFonts w:ascii="Arial" w:hAnsi="Arial"/>
          <w:b w:val="0"/>
          <w:i/>
          <w:color w:val="111827"/>
          <w:sz w:val="22"/>
        </w:rPr>
        <w:t>Subsistema Orçamentário:</w:t>
      </w:r>
      <w:r>
        <w:rPr>
          <w:rFonts w:ascii="Arial" w:hAnsi="Arial"/>
          <w:b w:val="0"/>
          <w:i w:val="0"/>
          <w:color w:val="111827"/>
          <w:sz w:val="22"/>
        </w:rPr>
        <w:t xml:space="preserve"> </w:t>
      </w:r>
      <w:r>
        <w:rPr>
          <w:rFonts w:ascii="Arial" w:hAnsi="Arial"/>
          <w:b/>
          <w:i w:val="0"/>
          <w:color w:val="111827"/>
          <w:sz w:val="22"/>
        </w:rPr>
        <w:t>Nenhum lançamento</w:t>
      </w:r>
      <w:r>
        <w:rPr>
          <w:rFonts w:ascii="Arial" w:hAnsi="Arial"/>
          <w:b w:val="0"/>
          <w:i w:val="0"/>
          <w:color w:val="111827"/>
          <w:sz w:val="22"/>
        </w:rPr>
        <w:t>, pois a receita orçamentária só se realiza na arrecadação (regime misto da Lei nº 4.320/1964).</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Arrecadação e Recolhimento na Conta Única:</w:t>
      </w:r>
    </w:p>
    <w:p>
      <w:pPr>
        <w:spacing w:line="276" w:lineRule="auto" w:before="20" w:after="40"/>
        <w:ind w:left="992"/>
      </w:pPr>
      <w:r>
        <w:rPr>
          <w:rFonts w:ascii="Arial" w:hAnsi="Arial"/>
          <w:b/>
          <w:color w:val="2B6CB0"/>
          <w:sz w:val="22"/>
        </w:rPr>
        <w:t xml:space="preserve">• </w:t>
      </w:r>
      <w:r>
        <w:rPr>
          <w:rFonts w:ascii="Arial" w:hAnsi="Arial"/>
          <w:b w:val="0"/>
          <w:i/>
          <w:color w:val="111827"/>
          <w:sz w:val="22"/>
        </w:rPr>
        <w:t>Subsistema Orçamentário:</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D</w:t>
      </w:r>
      <w:r>
        <w:rPr>
          <w:rFonts w:ascii="Arial" w:hAnsi="Arial"/>
          <w:b w:val="0"/>
          <w:i w:val="0"/>
          <w:color w:val="111827"/>
          <w:sz w:val="22"/>
        </w:rPr>
        <w:t xml:space="preserve"> - </w:t>
      </w:r>
      <w:r>
        <w:rPr>
          <w:rFonts w:ascii="Consolas" w:hAnsi="Consolas"/>
          <w:b w:val="0"/>
          <w:color w:val="991B1B"/>
          <w:sz w:val="20"/>
        </w:rPr>
        <w:t>6.2.1.1.0</w:t>
      </w:r>
      <w:r>
        <w:rPr>
          <w:rFonts w:ascii="Arial" w:hAnsi="Arial"/>
          <w:b w:val="0"/>
          <w:i w:val="0"/>
          <w:color w:val="111827"/>
          <w:sz w:val="22"/>
        </w:rPr>
        <w:t xml:space="preserve"> Receita a Realizar</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C</w:t>
      </w:r>
      <w:r>
        <w:rPr>
          <w:rFonts w:ascii="Arial" w:hAnsi="Arial"/>
          <w:b w:val="0"/>
          <w:i w:val="0"/>
          <w:color w:val="111827"/>
          <w:sz w:val="22"/>
        </w:rPr>
        <w:t xml:space="preserve"> - </w:t>
      </w:r>
      <w:r>
        <w:rPr>
          <w:rFonts w:ascii="Consolas" w:hAnsi="Consolas"/>
          <w:b w:val="0"/>
          <w:color w:val="991B1B"/>
          <w:sz w:val="20"/>
        </w:rPr>
        <w:t>6.2.1.2.0</w:t>
      </w:r>
      <w:r>
        <w:rPr>
          <w:rFonts w:ascii="Arial" w:hAnsi="Arial"/>
          <w:b w:val="0"/>
          <w:i w:val="0"/>
          <w:color w:val="111827"/>
          <w:sz w:val="22"/>
        </w:rPr>
        <w:t xml:space="preserve"> Receita Realizada (Classe 6)</w:t>
      </w:r>
    </w:p>
    <w:p>
      <w:pPr>
        <w:spacing w:line="276" w:lineRule="auto" w:before="20" w:after="40"/>
        <w:ind w:left="992"/>
      </w:pPr>
      <w:r>
        <w:rPr>
          <w:rFonts w:ascii="Arial" w:hAnsi="Arial"/>
          <w:b/>
          <w:color w:val="2B6CB0"/>
          <w:sz w:val="22"/>
        </w:rPr>
        <w:t xml:space="preserve">• </w:t>
      </w:r>
      <w:r>
        <w:rPr>
          <w:rFonts w:ascii="Arial" w:hAnsi="Arial"/>
          <w:b w:val="0"/>
          <w:i/>
          <w:color w:val="111827"/>
          <w:sz w:val="22"/>
        </w:rPr>
        <w:t>Subsistema Patrimonial:</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D</w:t>
      </w:r>
      <w:r>
        <w:rPr>
          <w:rFonts w:ascii="Arial" w:hAnsi="Arial"/>
          <w:b w:val="0"/>
          <w:i w:val="0"/>
          <w:color w:val="111827"/>
          <w:sz w:val="22"/>
        </w:rPr>
        <w:t xml:space="preserve"> - </w:t>
      </w:r>
      <w:r>
        <w:rPr>
          <w:rFonts w:ascii="Consolas" w:hAnsi="Consolas"/>
          <w:b w:val="0"/>
          <w:color w:val="991B1B"/>
          <w:sz w:val="20"/>
        </w:rPr>
        <w:t>1.1.1.1</w:t>
      </w:r>
      <w:r>
        <w:rPr>
          <w:rFonts w:ascii="Arial" w:hAnsi="Arial"/>
          <w:b w:val="0"/>
          <w:i w:val="0"/>
          <w:color w:val="111827"/>
          <w:sz w:val="22"/>
        </w:rPr>
        <w:t xml:space="preserve"> Caixa e Equivalentes de Caixa (Conta Única)</w:t>
      </w:r>
    </w:p>
    <w:p>
      <w:pPr>
        <w:spacing w:line="276" w:lineRule="auto" w:before="20" w:after="40"/>
        <w:ind w:left="992"/>
      </w:pPr>
      <w:r>
        <w:rPr>
          <w:rFonts w:ascii="Arial" w:hAnsi="Arial"/>
          <w:b/>
          <w:color w:val="2B6CB0"/>
          <w:sz w:val="22"/>
        </w:rPr>
        <w:t xml:space="preserve">• </w:t>
      </w:r>
      <w:r>
        <w:rPr>
          <w:rFonts w:ascii="Consolas" w:hAnsi="Consolas"/>
          <w:b w:val="0"/>
          <w:color w:val="991B1B"/>
          <w:sz w:val="20"/>
        </w:rPr>
        <w:t>C</w:t>
      </w:r>
      <w:r>
        <w:rPr>
          <w:rFonts w:ascii="Arial" w:hAnsi="Arial"/>
          <w:b w:val="0"/>
          <w:i w:val="0"/>
          <w:color w:val="111827"/>
          <w:sz w:val="22"/>
        </w:rPr>
        <w:t xml:space="preserve"> - </w:t>
      </w:r>
      <w:r>
        <w:rPr>
          <w:rFonts w:ascii="Consolas" w:hAnsi="Consolas"/>
          <w:b w:val="0"/>
          <w:color w:val="991B1B"/>
          <w:sz w:val="20"/>
        </w:rPr>
        <w:t>1.1.2.X</w:t>
      </w:r>
      <w:r>
        <w:rPr>
          <w:rFonts w:ascii="Arial" w:hAnsi="Arial"/>
          <w:b w:val="0"/>
          <w:i w:val="0"/>
          <w:color w:val="111827"/>
          <w:sz w:val="22"/>
        </w:rPr>
        <w:t xml:space="preserve"> Créditos Tributários a Receber (Fato Permutativo que baixa o direito)</w:t>
      </w:r>
    </w:p>
    <w:p>
      <w:pPr>
        <w:keepNext/>
        <w:spacing w:before="120" w:after="40"/>
      </w:pPr>
      <w:r>
        <w:rPr>
          <w:rFonts w:ascii="Arial" w:hAnsi="Arial"/>
          <w:b/>
          <w:i/>
          <w:color w:val="334155"/>
          <w:sz w:val="22"/>
        </w:rPr>
        <w:t>5.4 Escrituração dos Atos Potenciais e Controle de Contratos Administrativos</w:t>
      </w:r>
    </w:p>
    <w:p>
      <w:pPr>
        <w:spacing w:line="360" w:lineRule="auto" w:before="0" w:after="80"/>
        <w:jc w:val="both"/>
      </w:pPr>
      <w:r>
        <w:rPr>
          <w:rFonts w:ascii="Arial" w:hAnsi="Arial"/>
          <w:b w:val="0"/>
          <w:i w:val="0"/>
          <w:color w:val="111827"/>
          <w:sz w:val="24"/>
        </w:rPr>
        <w:t xml:space="preserve">A assinatura de um contrato de prestação de serviços continuados (ex.: segurança ou limpeza) não gera obrigação presente nem pagamento imediato. Gera um ato potencial registrado no </w:t>
      </w:r>
      <w:r>
        <w:rPr>
          <w:rFonts w:ascii="Arial" w:hAnsi="Arial"/>
          <w:b/>
          <w:i w:val="0"/>
          <w:color w:val="111827"/>
          <w:sz w:val="24"/>
        </w:rPr>
        <w:t>Subsistema de Controle</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D</w:t>
      </w:r>
      <w:r>
        <w:rPr>
          <w:rFonts w:ascii="Arial" w:hAnsi="Arial"/>
          <w:b w:val="0"/>
          <w:i w:val="0"/>
          <w:color w:val="111827"/>
          <w:sz w:val="22"/>
        </w:rPr>
        <w:t xml:space="preserve"> - </w:t>
      </w:r>
      <w:r>
        <w:rPr>
          <w:rFonts w:ascii="Consolas" w:hAnsi="Consolas"/>
          <w:b w:val="0"/>
          <w:color w:val="991B1B"/>
          <w:sz w:val="20"/>
        </w:rPr>
        <w:t>7.9.1.1.X</w:t>
      </w:r>
      <w:r>
        <w:rPr>
          <w:rFonts w:ascii="Arial" w:hAnsi="Arial"/>
          <w:b w:val="0"/>
          <w:i w:val="0"/>
          <w:color w:val="111827"/>
          <w:sz w:val="22"/>
        </w:rPr>
        <w:t xml:space="preserve"> Contratos de Serviços a Executar (Classe 7 - Controles Devedores)</w:t>
      </w:r>
    </w:p>
    <w:p>
      <w:pPr>
        <w:spacing w:line="276" w:lineRule="auto" w:before="20" w:after="40"/>
        <w:ind w:left="425"/>
      </w:pPr>
      <w:r>
        <w:rPr>
          <w:rFonts w:ascii="Arial" w:hAnsi="Arial"/>
          <w:b/>
          <w:color w:val="2B6CB0"/>
          <w:sz w:val="22"/>
        </w:rPr>
        <w:t xml:space="preserve">• </w:t>
      </w:r>
      <w:r>
        <w:rPr>
          <w:rFonts w:ascii="Consolas" w:hAnsi="Consolas"/>
          <w:b w:val="0"/>
          <w:color w:val="991B1B"/>
          <w:sz w:val="20"/>
        </w:rPr>
        <w:t>C</w:t>
      </w:r>
      <w:r>
        <w:rPr>
          <w:rFonts w:ascii="Arial" w:hAnsi="Arial"/>
          <w:b w:val="0"/>
          <w:i w:val="0"/>
          <w:color w:val="111827"/>
          <w:sz w:val="22"/>
        </w:rPr>
        <w:t xml:space="preserve"> - </w:t>
      </w:r>
      <w:r>
        <w:rPr>
          <w:rFonts w:ascii="Consolas" w:hAnsi="Consolas"/>
          <w:b w:val="0"/>
          <w:color w:val="991B1B"/>
          <w:sz w:val="20"/>
        </w:rPr>
        <w:t>8.9.1.1.X</w:t>
      </w:r>
      <w:r>
        <w:rPr>
          <w:rFonts w:ascii="Arial" w:hAnsi="Arial"/>
          <w:b w:val="0"/>
          <w:i w:val="0"/>
          <w:color w:val="111827"/>
          <w:sz w:val="22"/>
        </w:rPr>
        <w:t xml:space="preserve"> Contratos de Serviços a Executar (Classe 8 - Controles Credores)</w:t>
      </w:r>
    </w:p>
    <w:p>
      <w:pPr>
        <w:keepNext/>
        <w:spacing w:before="280" w:after="120"/>
      </w:pPr>
      <w:r>
        <w:rPr>
          <w:rFonts w:ascii="Arial" w:hAnsi="Arial"/>
          <w:b/>
          <w:i w:val="0"/>
          <w:color w:val="2C5282"/>
          <w:sz w:val="28"/>
        </w:rPr>
        <w:t>🌐 Fontes Oficiais &amp; Manuais Técnicos Recomendados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Contabilidade Aplicada ao Setor Público (MCASP) - 11ª Edição (STN)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Parte IV: Plano de Contas Aplicado ao Setor Público (PCASP).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Secretaria do Tesouro Nacional (STN) - Tabela do PCASP Federativo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Relação de contas padronizadas, notas explicativas e plano de contas estendido.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Conselho Federal de Contabilidade - NBC TSP Estrutura Conceitual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Postulados contábeis e integração dos sistemas contábeis.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4.320/1964</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Normas orçamentárias gerais e estrutura de balanços.</w:t>
      </w:r>
    </w:p>
    <w:p>
      <w:pPr>
        <w:keepNext/>
        <w:spacing w:before="280" w:after="120"/>
      </w:pPr>
      <w:r>
        <w:rPr>
          <w:rFonts w:ascii="Arial" w:hAnsi="Arial"/>
          <w:b/>
          <w:i w:val="0"/>
          <w:color w:val="2C5282"/>
          <w:sz w:val="28"/>
        </w:rPr>
        <w:t>📝 Questões Comentadas no Padrão FCC</w:t>
      </w:r>
    </w:p>
    <w:p>
      <w:pPr>
        <w:keepNext/>
        <w:spacing w:before="200" w:after="80"/>
      </w:pPr>
      <w:r>
        <w:rPr>
          <w:rFonts w:ascii="Arial" w:hAnsi="Arial"/>
          <w:b/>
          <w:i w:val="0"/>
          <w:color w:val="2B6CB0"/>
          <w:sz w:val="24"/>
        </w:rPr>
        <w:t>Questão 1 (FCC - Adaptada / TCE-PI - Auditor de Controle Externo)</w:t>
      </w:r>
    </w:p>
    <w:p>
      <w:pPr>
        <w:spacing w:line="360" w:lineRule="auto" w:before="0" w:after="80"/>
        <w:jc w:val="both"/>
      </w:pPr>
      <w:r>
        <w:rPr>
          <w:rFonts w:ascii="Arial" w:hAnsi="Arial"/>
          <w:b w:val="0"/>
          <w:i w:val="0"/>
          <w:color w:val="111827"/>
          <w:sz w:val="24"/>
        </w:rPr>
        <w:t>De acordo com a estrutura do Plano de Contas Aplicado ao Setor Público (PCASP) estabelecida no MCASP, as contas pertencentes às classes 3 e 4 destinam-se a registrar,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orçamento aprovado e a execução do orçamento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ativo e o passivo circulante e não circulante.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variações patrimoniais diminutivas (VPD) e as variações patrimoniais aumentativas (VPA).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Os controles devedores e os controles credores dos atos potenciais.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 despesas fixadas na LOA e as receitas arrecadadas no exercício.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orçamento aprovado e a sua execução são escriturados nas Classes 5 (Orçamento Aprovado) e 6 (Execução do Orçamento), pertencentes ao subsistema orçamentário.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ativo circulante e não circulante pertence à Classe 1, enquanto o passivo e o patrimônio líquido pertencem à Classe 2.</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No PCASP, a Classe 3 é destinada às Variações Patrimoniais Diminutivas (VPD), possuindo natureza devedora e refletindo decréscimos no patrimônio líquido da entidade; a Classe 4 destina-se às Variações Patrimoniais Aumentativas (VPA), possuindo natureza credora e refletindo acréscimos na situação patrimonial líquida. Ambas integram o Subsistema Patrimonial de resultado.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Os controles de atos potenciais são escriturados nas Classes 7 e 8 (subsistema de controle).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fixação da despesa orçamentária e a arrecadação da receita pertencem às contas orçamentárias das Classes 5 e 6.</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Adaptada / TCE-RS - Auditor de Controle Externo)</w:t>
      </w:r>
    </w:p>
    <w:p>
      <w:pPr>
        <w:spacing w:line="360" w:lineRule="auto" w:before="0" w:after="80"/>
        <w:jc w:val="both"/>
      </w:pPr>
      <w:r>
        <w:rPr>
          <w:rFonts w:ascii="Arial" w:hAnsi="Arial"/>
          <w:b w:val="0"/>
          <w:i w:val="0"/>
          <w:color w:val="111827"/>
          <w:sz w:val="24"/>
        </w:rPr>
        <w:t>A formalização da celebração de um contrato administrativo de prestação de serviços continuados de vigilância armada no valor total anual de R$ 1.200.000,00, antes do início de qualquer execução física ou financeira pelo contratado, enseja no órgão público estadual o seguinte registro contábil segundo o PCASP:</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Débito em Variação Patrimonial Diminutiva (Classe 3) e Crédito em Fornecedores a Pagar (Classe 2).</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Lançamento simultâneo no Subsistema de Controle (Classes 7 e 8) para acompanhamento dos atos potenciais decorrentes do contrato celebrado.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Débito em Crédito Disponível e Crédito em Despesa Paga no Subsistema Orçamentário (Classe 6).</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Débito no Ativo Imobilizado (Classe 1) e Crédito no Patrimônio Líquido (Classe 2).</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Nenhum registro contábil, uma vez que contratos administrativos só são escriturados após o pagamento das ordens bancárias.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assinatura do contrato não representa prestação de serviços nem fato gerador de despesa pública; logo, inexiste VPD ou obrigação líquida a pagar no passivo circulante.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formalização de contratos administrativos gera direitos e obrigações futuras que caracterizam atos potenciais ativos e passivos. No PCASP, esses eventos são compulsoriamente escriturados no Subsistema de Controle, debitando-se uma conta da Classe 7 (Controles Devedores) e creditando-se uma conta da Classe 8 (Controles Credores).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pagamento orçamentário só ocorre no estágio final da despesa, após prévio empenho e atesto na liquidação.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Vigilância armada é despesa corrente de serviços, não constituindo ativo imobilizado nem afetação direta do patrimônio líquido.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setor público registra compulsoriamente os contratos em contas de controle para fins de transparência e fiscalização pelos órgãos de controle externo.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Adaptada / SEFAZ-PE - Auditor Fiscal do Tesouro Estadual)</w:t>
      </w:r>
    </w:p>
    <w:p>
      <w:pPr>
        <w:spacing w:line="360" w:lineRule="auto" w:before="0" w:after="80"/>
        <w:jc w:val="both"/>
      </w:pPr>
      <w:r>
        <w:rPr>
          <w:rFonts w:ascii="Arial" w:hAnsi="Arial"/>
          <w:b w:val="0"/>
          <w:i w:val="0"/>
          <w:color w:val="111827"/>
          <w:sz w:val="24"/>
        </w:rPr>
        <w:t>No âmbito da execução orçamentária e financeira do setor público regida pelo PCASP, considere os seguintes fatos:</w:t>
      </w:r>
    </w:p>
    <w:p>
      <w:pPr>
        <w:spacing w:line="360" w:lineRule="auto" w:before="0" w:after="80"/>
        <w:jc w:val="both"/>
      </w:pPr>
      <w:r>
        <w:rPr>
          <w:rFonts w:ascii="Arial" w:hAnsi="Arial"/>
          <w:b w:val="0"/>
          <w:i w:val="0"/>
          <w:color w:val="111827"/>
          <w:sz w:val="24"/>
        </w:rPr>
        <w:t>I. Aprovação do orçamento com fixação da despesa na Lei Orçamentária Anual.</w:t>
      </w:r>
    </w:p>
    <w:p>
      <w:pPr>
        <w:spacing w:line="360" w:lineRule="auto" w:before="0" w:after="80"/>
        <w:jc w:val="both"/>
      </w:pPr>
      <w:r>
        <w:rPr>
          <w:rFonts w:ascii="Arial" w:hAnsi="Arial"/>
          <w:b w:val="0"/>
          <w:i w:val="0"/>
          <w:color w:val="111827"/>
          <w:sz w:val="24"/>
        </w:rPr>
        <w:t>II. Emissão de Nota de Empenho ordinário para aquisição de material de consumo.</w:t>
      </w:r>
    </w:p>
    <w:p>
      <w:pPr>
        <w:spacing w:line="360" w:lineRule="auto" w:before="0" w:after="80"/>
        <w:jc w:val="both"/>
      </w:pPr>
      <w:r>
        <w:rPr>
          <w:rFonts w:ascii="Arial" w:hAnsi="Arial"/>
          <w:b w:val="0"/>
          <w:i w:val="0"/>
          <w:color w:val="111827"/>
          <w:sz w:val="24"/>
        </w:rPr>
        <w:t>III. Recebimento e atesto do material no almoxarifado acompanhado da respectiva nota fiscal (liquidação).</w:t>
      </w:r>
    </w:p>
    <w:p>
      <w:pPr>
        <w:spacing w:line="360" w:lineRule="auto" w:before="0" w:after="80"/>
        <w:jc w:val="both"/>
      </w:pPr>
      <w:r>
        <w:rPr>
          <w:rFonts w:ascii="Arial" w:hAnsi="Arial"/>
          <w:b w:val="0"/>
          <w:i w:val="0"/>
          <w:color w:val="111827"/>
          <w:sz w:val="24"/>
        </w:rPr>
        <w:t>IV. Emissão da ordem bancária e pagamento ao fornecedor.</w:t>
      </w:r>
    </w:p>
    <w:p>
      <w:pPr>
        <w:spacing w:line="360" w:lineRule="auto" w:before="0" w:after="80"/>
        <w:jc w:val="both"/>
      </w:pPr>
      <w:r>
        <w:rPr>
          <w:rFonts w:ascii="Arial" w:hAnsi="Arial"/>
          <w:b w:val="0"/>
          <w:i w:val="0"/>
          <w:color w:val="111827"/>
          <w:sz w:val="24"/>
        </w:rPr>
        <w:t xml:space="preserve">À luz das normas contábeis aplicadas ao setor público, haverá registro contábil no </w:t>
      </w:r>
      <w:r>
        <w:rPr>
          <w:rFonts w:ascii="Arial" w:hAnsi="Arial"/>
          <w:b/>
          <w:i w:val="0"/>
          <w:color w:val="111827"/>
          <w:sz w:val="24"/>
        </w:rPr>
        <w:t>Subsistema Patrimonial</w:t>
      </w:r>
      <w:r>
        <w:rPr>
          <w:rFonts w:ascii="Arial" w:hAnsi="Arial"/>
          <w:b w:val="0"/>
          <w:i w:val="0"/>
          <w:color w:val="111827"/>
          <w:sz w:val="24"/>
        </w:rPr>
        <w:t xml:space="preserve"> especificamente nos estágios indicados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II, III e IV.</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III e IV,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II, III e IV, apenas.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Os fatos I e II pertencem com exclusividade ao subsistema orçamentário.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empenho (fato II) é mero ato orçamentário de reserva que não altera o patrimônio nem gera passivo exigível.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Apenas a liquidação (III) e o pagamento (IV) provocam lançamentos no subsistema patrimonial:</w:t>
            </w:r>
          </w:p>
          <w:p>
            <w:pPr>
              <w:spacing w:line="288" w:lineRule="auto" w:before="40" w:after="40"/>
            </w:pPr>
            <w:r>
              <w:rPr>
                <w:rFonts w:ascii="Arial" w:hAnsi="Arial"/>
                <w:b w:val="0"/>
                <w:i w:val="0"/>
                <w:color w:val="111827"/>
                <w:sz w:val="21"/>
              </w:rPr>
              <w:t>- No fato III (Liquidação): debita-se Estoques (Ativo Circulante - Classe 1) e credita-se Fornecedores a Pagar (Passivo Circulante - Classe 2);</w:t>
            </w:r>
          </w:p>
          <w:p>
            <w:pPr>
              <w:spacing w:line="288" w:lineRule="auto" w:before="40" w:after="40"/>
            </w:pPr>
            <w:r>
              <w:rPr>
                <w:rFonts w:ascii="Arial" w:hAnsi="Arial"/>
                <w:b w:val="0"/>
                <w:i w:val="0"/>
                <w:color w:val="111827"/>
                <w:sz w:val="21"/>
              </w:rPr>
              <w:t>- No fato IV (Pagamento): debita-se Fornecedores a Pagar (Classe 2) e credita-se Caixa/Bancos (Ativo Circulante - Classe 1).</w:t>
            </w:r>
          </w:p>
          <w:p>
            <w:pPr>
              <w:spacing w:line="288" w:lineRule="auto" w:before="40" w:after="40"/>
            </w:pPr>
            <w:r>
              <w:rPr>
                <w:rFonts w:ascii="Arial" w:hAnsi="Arial"/>
                <w:b w:val="0"/>
                <w:i w:val="0"/>
                <w:color w:val="111827"/>
                <w:sz w:val="21"/>
              </w:rPr>
              <w:t>Os itens I e II tramitam exclusivamente no subsistema orçamentário (Classes 5 e 6).</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I e II são atos de controle e fixação orçamentária.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item II não afeta elementos patrimoniais.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Adaptada / DPE-RS - Analista: Área Contabilidade)</w:t>
      </w:r>
    </w:p>
    <w:p>
      <w:pPr>
        <w:spacing w:line="360" w:lineRule="auto" w:before="0" w:after="80"/>
        <w:jc w:val="both"/>
      </w:pPr>
      <w:r>
        <w:rPr>
          <w:rFonts w:ascii="Arial" w:hAnsi="Arial"/>
          <w:b w:val="0"/>
          <w:i w:val="0"/>
          <w:color w:val="111827"/>
          <w:sz w:val="24"/>
        </w:rPr>
        <w:t>Assinale a alternativa que apresenta a correta associação entre a classe de contas do PCASP, seu subsistema de informação e sua respectiva natureza de saldo: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Classe 1 (Ativo) – Subsistema Patrimonial – Natureza Credora.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Classe 4 (Variações Patrimoniais Aumentativas) – Subsistema Patrimonial – Natureza Devedora.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Classe 5 (Orçamento Aprovado) – Subsistema Orçamentário – Natureza Credora.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Classe 6 (Execução do Orçamento) – Subsistema Orçamentário – Natureza Credora.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Classe 7 (Controles Devedores) – Subsistema de Controle – Natureza Credora.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Classe 1 (Ativo) integra o subsistema patrimonial, mas tem natureza devedora (classe ímpar).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Classe 4 (VPA) integra o subsistema patrimonial, mas possui natureza credora (classe par).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Classe 5 (Orçamento Aprovado) pertence ao subsistema orçamentário e possui natureza devedora (classe ímpar).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Correta. A Classe 6 (Execução do Orçamento) integra o Subsistema Orçamentário e possui natureza credora (classe par), sendo utilizada para escriturar o acompanhamento da receita arrecadada e da despesa orçamentária executada.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Classe 7 (Controles Devedores) pertence ao subsistema de controle e possui natureza devedora (classe ímpar).</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5 (FCC - Adaptada / TRT-20ª Região - Analista Judiciário: Contabilidade)</w:t>
      </w:r>
    </w:p>
    <w:p>
      <w:pPr>
        <w:spacing w:line="360" w:lineRule="auto" w:before="0" w:after="80"/>
        <w:jc w:val="both"/>
      </w:pPr>
      <w:r>
        <w:rPr>
          <w:rFonts w:ascii="Arial" w:hAnsi="Arial"/>
          <w:b w:val="0"/>
          <w:i w:val="0"/>
          <w:color w:val="111827"/>
          <w:sz w:val="24"/>
        </w:rPr>
        <w:t>Em determinado exercício financeiro, uma autarquia estadual efetuou a liquidação de uma despesa orçamentária referente à prestação de serviços de limpeza e conservação predial no valor de R$ 80.000,00. Sob a ótica do Plano de Contas Aplicado ao Setor Público (PCASP), os lançamentos contábeis simultâneos efetuados nos subsistemas Orçamentário e Patrimonial foram,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Orçamentário: Débito em Crédito Disponível e Crédito em Crédito Empenhado Pago; Patrimonial: Débito em Caixa e Crédito em VPA.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Orçamentário: Débito em Crédito Empenhado a Liquidar e Crédito em Crédito Empenhado Liquidado a Pagar; Patrimonial: Débito em Variação Patrimonial Diminutiva (VPD) e Crédito em Fornecedores a Pagar.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Orçamentário: Débito em Dotação Inicial e Crédito em Crédito Disponível; Patrimonial: Débito em Bens Móveis e Crédito em Caixa.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Orçamentário: Débito em Receita Realizada e Crédito em Receita a Realizar; Patrimonial: Débito em Estoques e Crédito em Caixa.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Orçamentário: Débito em Crédito Empenhado Liquidado a Pagar e Crédito em Crédito Empenhado Pago; Patrimonial: Débito em Fornecedores a Pagar e Crédito em Caixa.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Descreve lançamento inexistente e apuração equivocada de receita patrimonial.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No estágio da liquidação da despesa de serviços:</w:t>
            </w:r>
          </w:p>
          <w:p>
            <w:pPr>
              <w:spacing w:line="288" w:lineRule="auto" w:before="40" w:after="40"/>
            </w:pPr>
            <w:r>
              <w:rPr>
                <w:rFonts w:ascii="Arial" w:hAnsi="Arial"/>
                <w:b w:val="0"/>
                <w:i w:val="0"/>
                <w:color w:val="111827"/>
                <w:sz w:val="21"/>
              </w:rPr>
              <w:t>1. No Subsistema Orçamentário (Classe 6): debita-se Crédito Empenhado a Liquidar e credita-se Crédito Empenhado Liquidado a Pagar;</w:t>
            </w:r>
          </w:p>
          <w:p>
            <w:pPr>
              <w:spacing w:line="288" w:lineRule="auto" w:before="40" w:after="40"/>
            </w:pPr>
            <w:r>
              <w:rPr>
                <w:rFonts w:ascii="Arial" w:hAnsi="Arial"/>
                <w:b w:val="0"/>
                <w:i w:val="0"/>
                <w:color w:val="111827"/>
                <w:sz w:val="21"/>
              </w:rPr>
              <w:t>2. No Subsistema Patrimonial (Classes 3 e 2): reconhece-se o consumo do serviço com débito em Variação Patrimonial Diminutiva (VPD - Serviços de Terceiros - Classe 3) e credita-se Fornecedores a Pagar (Passivo Circulante - Classe 2).</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Reflete fixação orçamentária na LOA e imobilização de bens que não se aplica a serviço contínuo de limpeza.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Mistura execução da receita pública com estocagem de materiais.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Descreve o estágio subsequente do pagamento, e não o da liquidação.</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04 - Demonstrações Contábeis (DCASP), Lei nº 4.320/1964 e Prestação de Contas ao Tribunal de Contas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Contabilidade Aplicada ao Setor Público (CASP)</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04_demonstracoes_contabeis_mcasp_e_prestacao_de_contas.md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Demonstrações Contábeis Aplicadas ao Setor Público (DCASP - MCASP Parte V e NBC TSP 11):</w:t>
      </w:r>
    </w:p>
    <w:p>
      <w:pPr>
        <w:spacing w:line="276" w:lineRule="auto" w:before="20" w:after="40"/>
        <w:ind w:left="992"/>
      </w:pPr>
      <w:r>
        <w:rPr>
          <w:rFonts w:ascii="Arial" w:hAnsi="Arial"/>
          <w:b/>
          <w:color w:val="2B6CB0"/>
          <w:sz w:val="22"/>
        </w:rPr>
        <w:t xml:space="preserve">• </w:t>
      </w:r>
      <w:r>
        <w:rPr>
          <w:rFonts w:ascii="Arial" w:hAnsi="Arial"/>
          <w:b/>
          <w:i w:val="0"/>
          <w:color w:val="111827"/>
          <w:sz w:val="22"/>
        </w:rPr>
        <w:t>Balanço Orçamentário (BO):</w:t>
      </w:r>
      <w:r>
        <w:rPr>
          <w:rFonts w:ascii="Arial" w:hAnsi="Arial"/>
          <w:b w:val="0"/>
          <w:i w:val="0"/>
          <w:color w:val="111827"/>
          <w:sz w:val="22"/>
        </w:rPr>
        <w:t xml:space="preserve"> estrutura conceitual, confronto entre previsão e realização de receitas, confronto entre fixação, empenho, liquidação e pagamento de despesas; apuração do Resultado Orçamentário (superávit/déficit orçamentário); quadros anexos da execução dos Restos a Pagar Processados (RPP) e Não Processados (RPNP);</w:t>
      </w:r>
    </w:p>
    <w:p>
      <w:pPr>
        <w:spacing w:line="276" w:lineRule="auto" w:before="20" w:after="40"/>
        <w:ind w:left="992"/>
      </w:pPr>
      <w:r>
        <w:rPr>
          <w:rFonts w:ascii="Arial" w:hAnsi="Arial"/>
          <w:b/>
          <w:color w:val="2B6CB0"/>
          <w:sz w:val="22"/>
        </w:rPr>
        <w:t xml:space="preserve">• </w:t>
      </w:r>
      <w:r>
        <w:rPr>
          <w:rFonts w:ascii="Arial" w:hAnsi="Arial"/>
          <w:b/>
          <w:i w:val="0"/>
          <w:color w:val="111827"/>
          <w:sz w:val="22"/>
        </w:rPr>
        <w:t>Balanço Financeiro (BF):</w:t>
      </w:r>
      <w:r>
        <w:rPr>
          <w:rFonts w:ascii="Arial" w:hAnsi="Arial"/>
          <w:b w:val="0"/>
          <w:i w:val="0"/>
          <w:color w:val="111827"/>
          <w:sz w:val="22"/>
        </w:rPr>
        <w:t xml:space="preserve"> estrutura, ingressos e dispêndios orçamentários e extraorçamentários, transferências financeiras recebidas e concedidas (repasses, sub-repasses e duodécimos), saldo inicial e final de caixa e equivalentes de caixa; fechamento das contas financeiras;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Balanço Patrimonial (BP):</w:t>
      </w:r>
      <w:r>
        <w:rPr>
          <w:rFonts w:ascii="Arial" w:hAnsi="Arial"/>
          <w:b w:val="0"/>
          <w:i w:val="0"/>
          <w:color w:val="111827"/>
          <w:sz w:val="22"/>
        </w:rPr>
        <w:t xml:space="preserve"> estrutura dual sob a Lei nº 4.320/1964 (Ativo Financeiro e Permanente; Passivo Financeiro e Permanente) e sob o MCASP / NBC TSP (Ativo Circulante e Não Circulante; Passivo Circulante e Não Circulante; Patrimônio Líquido); apuração e cálculo do Superávit Financeiro para abertura de créditos adicionais (Art. 43, § 2º da Lei nº 4.320/1964);</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Demonstração das Variações Patrimoniais (DVP):</w:t>
      </w:r>
      <w:r>
        <w:rPr>
          <w:rFonts w:ascii="Arial" w:hAnsi="Arial"/>
          <w:b w:val="0"/>
          <w:i w:val="0"/>
          <w:color w:val="111827"/>
          <w:sz w:val="22"/>
        </w:rPr>
        <w:t xml:space="preserve"> confronto entre Variações Patrimoniais Aumentativas (VPA) e Diminutivas (VPD); apuração do Resultado Patrimonial do exercício pelo regime de competência patrimonial pura; variações quantitativas e qualitativas;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Demonstração dos Fluxos de Caixa (DFC):</w:t>
      </w:r>
      <w:r>
        <w:rPr>
          <w:rFonts w:ascii="Arial" w:hAnsi="Arial"/>
          <w:b w:val="0"/>
          <w:i w:val="0"/>
          <w:color w:val="111827"/>
          <w:sz w:val="22"/>
        </w:rPr>
        <w:t xml:space="preserve"> método direto obrigatório no setor público; fluxos das atividades operacionais, de investimento e de financiamento;</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Demonstração das Mutações do Patrimônio Líquido (DMPL)</w:t>
      </w:r>
      <w:r>
        <w:rPr>
          <w:rFonts w:ascii="Arial" w:hAnsi="Arial"/>
          <w:b w:val="0"/>
          <w:i w:val="0"/>
          <w:color w:val="111827"/>
          <w:sz w:val="22"/>
        </w:rPr>
        <w:t xml:space="preserve"> e Notas Explicativas;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Prestação de Contas ao Tribunal de Contas: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Processo de contas de governo (parecer prévio sobre as contas do Chefe do Poder Executivo) versus processo de contas de gestão (julgamento de ordenadores de despesas);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Peças obrigatórias dos processos de contas: DCASP completas, relatórios da LRF (RREO e RGF), relatório do órgão central de controle interno;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Fiscalização contábil, financeira, orçamentária e patrimonial exercida pelo TCE-GO.</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Balanço Orçamentário (BO - Art. 102 da Lei nº 4.320/1964)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Estrutura e Quadros Demonstrativos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Apuração do Resultado Orçamentário (Superávit vs. Déficit)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Balanço Financeiro (BF - Art. 103 da Lei nº 4.320/1964)</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Estrutura de Ingressos e Dispêndios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O Fechamento Contábil Obrigatório e a Inscrição de Restos a Pagar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Balanço Patrimonial (BP - Art. 105 da Lei nº 4.320/1964 e NBC TSP 11)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Estrutura Dual: Lei nº 4.320/1964 vs. Normas Internacionais (NBC TSP)</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Apuração e Cálculo do Superávit Financeiro (Art. 43, § 2º)</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Demonstração das Variações Patrimoniais (DVP) e Outras Demonstrações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Estrutura da DVP e Resultado Patrimonial por Competência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Demonstração dos Fluxos de Caixa (DFC) pelo Método Direto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Demonstração das Mutações do Patrimônio Líquido (DMPL) e Notas Explicativas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Prestação de Contas ao Tribunal de Contas (TCE-GO)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Contas de Governo (Parecer Prévio) vs. Contas de Gestão (Julgamento Técnico)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Composição Documental Obrigatória e Papel do Controle Interno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Oficiais &amp; Manuais Técnicos Recomendados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no Padrão FCC</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Balanço Orçamentário (BO - Art. 102 da Lei nº 4.320/1964)</w:t>
      </w:r>
    </w:p>
    <w:p>
      <w:pPr>
        <w:keepNext/>
        <w:spacing w:before="120" w:after="40"/>
      </w:pPr>
      <w:r>
        <w:rPr>
          <w:rFonts w:ascii="Arial" w:hAnsi="Arial"/>
          <w:b/>
          <w:i/>
          <w:color w:val="334155"/>
          <w:sz w:val="22"/>
        </w:rPr>
        <w:t>1.1 Estrutura e Quadros Demonstrativos</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Balanço Orçamentário (BO)</w:t>
      </w:r>
      <w:r>
        <w:rPr>
          <w:rFonts w:ascii="Arial" w:hAnsi="Arial"/>
          <w:b w:val="0"/>
          <w:i w:val="0"/>
          <w:color w:val="111827"/>
          <w:sz w:val="24"/>
        </w:rPr>
        <w:t xml:space="preserve"> demonstra as receitas e despesas previstas em confronto com as realizadas, consoante determina o art. 102 da Lei Federal nº 4.320/1964 e a Parte V do Manual de Contabilidade Aplicada ao Setor Público (MCASP). É composto por três quadros integrados: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Quadro Principal:</w:t>
      </w:r>
      <w:r>
        <w:rPr>
          <w:rFonts w:ascii="Arial" w:hAnsi="Arial"/>
          <w:b w:val="0"/>
          <w:i w:val="0"/>
          <w:color w:val="111827"/>
          <w:sz w:val="22"/>
        </w:rPr>
        <w:t xml:space="preserve"> Desagrega receitas e despesas por categorias econômicas (Correntes e de Capital), origens e grupos de natureza da despesa (GND);</w:t>
      </w:r>
    </w:p>
    <w:p>
      <w:pPr>
        <w:spacing w:line="276" w:lineRule="auto" w:before="20" w:after="40"/>
        <w:ind w:left="425"/>
      </w:pPr>
      <w:r>
        <w:rPr>
          <w:rFonts w:ascii="Arial" w:hAnsi="Arial"/>
          <w:b/>
          <w:color w:val="2B6CB0"/>
          <w:sz w:val="22"/>
        </w:rPr>
        <w:t xml:space="preserve">• </w:t>
      </w:r>
      <w:r>
        <w:rPr>
          <w:rFonts w:ascii="Arial" w:hAnsi="Arial"/>
          <w:b/>
          <w:i w:val="0"/>
          <w:color w:val="111827"/>
          <w:sz w:val="22"/>
        </w:rPr>
        <w:t>Quadros de Restos a Pagar:</w:t>
      </w:r>
      <w:r>
        <w:rPr>
          <w:rFonts w:ascii="Arial" w:hAnsi="Arial"/>
          <w:b w:val="0"/>
          <w:i w:val="0"/>
          <w:color w:val="111827"/>
          <w:sz w:val="22"/>
        </w:rPr>
        <w:t xml:space="preserve"> Evidenciam a execução dos passivos orçamentários transferidos de exercícios anteriores, separando os processados dos não processados.</w:t>
      </w:r>
    </w:p>
    <w:p>
      <w:pPr>
        <w:keepNext/>
        <w:spacing w:before="120" w:after="40"/>
      </w:pPr>
      <w:r>
        <w:rPr>
          <w:rFonts w:ascii="Arial" w:hAnsi="Arial"/>
          <w:b/>
          <w:i/>
          <w:color w:val="334155"/>
          <w:sz w:val="22"/>
        </w:rPr>
        <w:t>1.2 Apuração do Resultado Orçamentário (Superávit vs. Déficit)</w:t>
      </w:r>
    </w:p>
    <w:p>
      <w:pPr>
        <w:spacing w:line="360" w:lineRule="auto" w:before="0" w:after="80"/>
        <w:jc w:val="both"/>
      </w:pPr>
      <w:r>
        <w:rPr>
          <w:rFonts w:ascii="Arial" w:hAnsi="Arial"/>
          <w:b w:val="0"/>
          <w:i w:val="0"/>
          <w:color w:val="111827"/>
          <w:sz w:val="24"/>
        </w:rPr>
        <w:t>O Resultado Orçamentário do exercício financeiro expressa o equilíbrio entre a arrecadação das receitas e a execução das despesas:</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\text{Resultado Orçamentário} = \text{Receitas Realizadas} - \text{Despesas Executadas (Empenhadas)}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Superávit Orçamentário:</w:t>
      </w:r>
      <w:r>
        <w:rPr>
          <w:rFonts w:ascii="Arial" w:hAnsi="Arial"/>
          <w:b w:val="0"/>
          <w:i w:val="0"/>
          <w:color w:val="111827"/>
          <w:sz w:val="22"/>
        </w:rPr>
        <w:t xml:space="preserve"> Quando o total das receitas realizadas for superior ao total das despesas empenhadas (</w:t>
      </w:r>
      <w:r>
        <w:rPr>
          <w:rFonts w:ascii="Cambria Math" w:hAnsi="Cambria Math"/>
          <w:i/>
          <w:color w:val="1B365D"/>
          <w:sz w:val="22"/>
        </w:rPr>
        <w:t>\text{Receitas Realizadas} &gt; \text{Despesas Empenhadas}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Déficit Orçamentário:</w:t>
      </w:r>
      <w:r>
        <w:rPr>
          <w:rFonts w:ascii="Arial" w:hAnsi="Arial"/>
          <w:b w:val="0"/>
          <w:i w:val="0"/>
          <w:color w:val="111827"/>
          <w:sz w:val="22"/>
        </w:rPr>
        <w:t xml:space="preserve"> Quando o total das despesas empenhadas for superior ao total das receitas arrecadadas (</w:t>
      </w:r>
      <w:r>
        <w:rPr>
          <w:rFonts w:ascii="Cambria Math" w:hAnsi="Cambria Math"/>
          <w:i/>
          <w:color w:val="1B365D"/>
          <w:sz w:val="22"/>
        </w:rPr>
        <w:t>\text{Despesas Empenhadas} &gt; \text{Receitas Realizadas}</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frequentemente afirma que o Resultado Orçamentário apurado no BO serve de fonte para a abertura de créditos suplementares. </w:t>
            </w:r>
            <w:r>
              <w:rPr>
                <w:rFonts w:ascii="Arial" w:hAnsi="Arial"/>
                <w:b/>
                <w:i w:val="0"/>
                <w:color w:val="111827"/>
                <w:sz w:val="21"/>
              </w:rPr>
              <w:t>FALSO!</w:t>
            </w:r>
            <w:r>
              <w:rPr>
                <w:rFonts w:ascii="Arial" w:hAnsi="Arial"/>
                <w:b w:val="0"/>
                <w:i w:val="0"/>
                <w:color w:val="111827"/>
                <w:sz w:val="21"/>
              </w:rPr>
              <w:t xml:space="preserve"> O superávit orçamentário é um fluxo anual de execução. A fonte legal autorizada pelo art. 43, § 1º, I da Lei nº 4.320/1964 é o </w:t>
            </w:r>
            <w:r>
              <w:rPr>
                <w:rFonts w:ascii="Arial" w:hAnsi="Arial"/>
                <w:b/>
                <w:i w:val="0"/>
                <w:color w:val="111827"/>
                <w:sz w:val="21"/>
              </w:rPr>
              <w:t>Superávit Financeiro apurado no Balanço Patrimonial</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2. Balanço Financeiro (BF - Art. 103 da Lei nº 4.320/1964)</w:t>
      </w:r>
    </w:p>
    <w:p>
      <w:pPr>
        <w:keepNext/>
        <w:spacing w:before="120" w:after="40"/>
      </w:pPr>
      <w:r>
        <w:rPr>
          <w:rFonts w:ascii="Arial" w:hAnsi="Arial"/>
          <w:b/>
          <w:i/>
          <w:color w:val="334155"/>
          <w:sz w:val="22"/>
        </w:rPr>
        <w:t>2.1 Estrutura de Ingressos e Dispêndios</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Balanço Financeiro (BF)</w:t>
      </w:r>
      <w:r>
        <w:rPr>
          <w:rFonts w:ascii="Arial" w:hAnsi="Arial"/>
          <w:b w:val="0"/>
          <w:i w:val="0"/>
          <w:color w:val="111827"/>
          <w:sz w:val="24"/>
        </w:rPr>
        <w:t xml:space="preserve"> demonstra as receitas e despesas orçamentárias bem como os recebimentos e os pagamentos de natureza extraorçamentária, conjugados com os saldos em espécie provenientes do exercício anterior e os que se transferem para o exercício seguinte (art. 103 da Lei nº 4.320/1964):</w:t>
      </w:r>
    </w:p>
    <w:p>
      <w:pPr>
        <w:spacing w:after="120"/>
      </w:pPr>
    </w:p>
    <w:p>
      <w:pPr>
        <w:keepNext/>
        <w:spacing w:before="120" w:after="40"/>
      </w:pPr>
      <w:r>
        <w:rPr>
          <w:rFonts w:ascii="Arial" w:hAnsi="Arial"/>
          <w:b/>
          <w:i/>
          <w:color w:val="334155"/>
          <w:sz w:val="22"/>
        </w:rPr>
        <w:t>2.2 O Fechamento Contábil Obrigatório e a Inscrição de Restos a Pagar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Igualdade Matemática Rigorosa:</w:t>
      </w:r>
      <w:r>
        <w:rPr>
          <w:rFonts w:ascii="Arial" w:hAnsi="Arial"/>
          <w:b w:val="0"/>
          <w:i w:val="0"/>
          <w:color w:val="111827"/>
          <w:sz w:val="22"/>
        </w:rPr>
        <w:t xml:space="preserve"> No Balanço Financeiro, </w:t>
      </w:r>
      <w:r>
        <w:rPr>
          <w:rFonts w:ascii="Arial" w:hAnsi="Arial"/>
          <w:b/>
          <w:i w:val="0"/>
          <w:color w:val="111827"/>
          <w:sz w:val="22"/>
        </w:rPr>
        <w:t>não existe resultado de superávit ou déficit</w:t>
      </w:r>
      <w:r>
        <w:rPr>
          <w:rFonts w:ascii="Arial" w:hAnsi="Arial"/>
          <w:b w:val="0"/>
          <w:i w:val="0"/>
          <w:color w:val="111827"/>
          <w:sz w:val="22"/>
        </w:rPr>
        <w:t xml:space="preserve"> na última linha! Ele sempre fecha em perfeita igualdade:</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\mathbf{\text{Total dos Ingressos} = \text{Total dos Dispêndios}}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diferença entre o somatório das entradas e das saídas é exatamente equilibrada pelo saldo de disponibilidades financeiras transportado para o exercício seguinte;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 Inscrição de Restos a Pagar como Ingresso Extraorçamentário:</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Como a despesa orçamentária é registrada na coluna de dispêndios pelo valor empenhado total, a parcela que não foi paga até 31 de dezembro (inscrita em Restos a Pagar) deve figurar nos </w:t>
      </w:r>
      <w:r>
        <w:rPr>
          <w:rFonts w:ascii="Arial" w:hAnsi="Arial"/>
          <w:b/>
          <w:i w:val="0"/>
          <w:color w:val="111827"/>
          <w:sz w:val="24"/>
        </w:rPr>
        <w:t>ingressos extraorçamentários</w:t>
      </w:r>
      <w:r>
        <w:rPr>
          <w:rFonts w:ascii="Arial" w:hAnsi="Arial"/>
          <w:b w:val="0"/>
          <w:i w:val="0"/>
          <w:color w:val="111827"/>
          <w:sz w:val="24"/>
        </w:rPr>
        <w:t xml:space="preserve"> como artifício contábil compensatório para fechar o balanço financeiro do ano.</w:t>
      </w:r>
    </w:p>
    <w:p>
      <w:pPr>
        <w:keepNext/>
        <w:spacing w:before="200" w:after="80"/>
      </w:pPr>
      <w:r>
        <w:rPr>
          <w:rFonts w:ascii="Arial" w:hAnsi="Arial"/>
          <w:b/>
          <w:i w:val="0"/>
          <w:color w:val="2B6CB0"/>
          <w:sz w:val="24"/>
        </w:rPr>
        <w:t>3. Balanço Patrimonial (BP - Art. 105 da Lei nº 4.320/1964 e NBC TSP 11)</w:t>
      </w:r>
    </w:p>
    <w:p>
      <w:pPr>
        <w:keepNext/>
        <w:spacing w:before="120" w:after="40"/>
      </w:pPr>
      <w:r>
        <w:rPr>
          <w:rFonts w:ascii="Arial" w:hAnsi="Arial"/>
          <w:b/>
          <w:i/>
          <w:color w:val="334155"/>
          <w:sz w:val="22"/>
        </w:rPr>
        <w:t>3.1 Estrutura Dual: Lei nº 4.320/1964 vs. Normas Internacionais (NBC TSP)</w:t>
      </w:r>
    </w:p>
    <w:p>
      <w:pPr>
        <w:spacing w:line="360" w:lineRule="auto" w:before="0" w:after="80"/>
        <w:jc w:val="both"/>
      </w:pPr>
      <w:r>
        <w:rPr>
          <w:rFonts w:ascii="Arial" w:hAnsi="Arial"/>
          <w:b w:val="0"/>
          <w:i w:val="0"/>
          <w:color w:val="111827"/>
          <w:sz w:val="24"/>
        </w:rPr>
        <w:t>O Balanço Patrimonial convive com duas estruturas conceituais distintas e complementares:</w:t>
      </w:r>
    </w:p>
    <w:p>
      <w:pPr>
        <w:spacing w:after="120"/>
      </w:pPr>
    </w:p>
    <w:p>
      <w:pPr>
        <w:keepNext/>
        <w:spacing w:before="120" w:after="40"/>
      </w:pPr>
      <w:r>
        <w:rPr>
          <w:rFonts w:ascii="Arial" w:hAnsi="Arial"/>
          <w:b/>
          <w:i/>
          <w:color w:val="334155"/>
          <w:sz w:val="22"/>
        </w:rPr>
        <w:t>3.2 Apuração e Cálculo do Superávit Financeiro (Art. 43, § 2º)</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Superávit Financeiro</w:t>
      </w:r>
      <w:r>
        <w:rPr>
          <w:rFonts w:ascii="Arial" w:hAnsi="Arial"/>
          <w:b w:val="0"/>
          <w:i w:val="0"/>
          <w:color w:val="111827"/>
          <w:sz w:val="24"/>
        </w:rPr>
        <w:t xml:space="preserve"> é a principal fonte legal para abertura de créditos suplementares e especiais autorizada pelo art. 43 da Lei Federal nº 4.320/1964. Ele é apurado exclusivamente no </w:t>
      </w:r>
      <w:r>
        <w:rPr>
          <w:rFonts w:ascii="Arial" w:hAnsi="Arial"/>
          <w:b/>
          <w:i w:val="0"/>
          <w:color w:val="111827"/>
          <w:sz w:val="24"/>
        </w:rPr>
        <w:t>Balanço Patrimonial</w:t>
      </w:r>
      <w:r>
        <w:rPr>
          <w:rFonts w:ascii="Arial" w:hAnsi="Arial"/>
          <w:b w:val="0"/>
          <w:i w:val="0"/>
          <w:color w:val="111827"/>
          <w:sz w:val="24"/>
        </w:rPr>
        <w:t xml:space="preserve"> do exercício anterior:</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\mathbf{\text{Superávit Financeiro}} = AF - PF - \text{Créditos Adicionais Reabertos} - \text{Disponibilidades Vinculadas}</w:t>
      </w:r>
      <w:r>
        <w:rPr>
          <w:rFonts w:ascii="Arial" w:hAnsi="Arial"/>
          <w:b w:val="0"/>
          <w:i w:val="0"/>
          <w:color w:val="111827"/>
          <w:sz w:val="24"/>
        </w:rPr>
        <w:t>$</w:t>
      </w:r>
    </w:p>
    <w:p>
      <w:pPr>
        <w:spacing w:after="120"/>
      </w:pPr>
    </w:p>
    <w:p>
      <w:pPr>
        <w:keepNext/>
        <w:spacing w:before="200" w:after="80"/>
      </w:pPr>
      <w:r>
        <w:rPr>
          <w:rFonts w:ascii="Arial" w:hAnsi="Arial"/>
          <w:b/>
          <w:i w:val="0"/>
          <w:color w:val="2B6CB0"/>
          <w:sz w:val="24"/>
        </w:rPr>
        <w:t>4. Demonstração das Variações Patrimoniais (DVP) e Outras Demonstrações</w:t>
      </w:r>
    </w:p>
    <w:p>
      <w:pPr>
        <w:keepNext/>
        <w:spacing w:before="120" w:after="40"/>
      </w:pPr>
      <w:r>
        <w:rPr>
          <w:rFonts w:ascii="Arial" w:hAnsi="Arial"/>
          <w:b/>
          <w:i/>
          <w:color w:val="334155"/>
          <w:sz w:val="22"/>
        </w:rPr>
        <w:t>4.1 Estrutura da DVP e Resultado Patrimonial por Competência</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Demonstração das Variações Patrimoniais (DVP)</w:t>
      </w:r>
      <w:r>
        <w:rPr>
          <w:rFonts w:ascii="Arial" w:hAnsi="Arial"/>
          <w:b w:val="0"/>
          <w:i w:val="0"/>
          <w:color w:val="111827"/>
          <w:sz w:val="24"/>
        </w:rPr>
        <w:t xml:space="preserve"> evidencia as alterações verificadas no patrimônio público resultantes ou independentes da execução orçamentária, aplicando rigorosamente o </w:t>
      </w:r>
      <w:r>
        <w:rPr>
          <w:rFonts w:ascii="Arial" w:hAnsi="Arial"/>
          <w:b/>
          <w:i w:val="0"/>
          <w:color w:val="111827"/>
          <w:sz w:val="24"/>
        </w:rPr>
        <w:t>regime de competência pura</w:t>
      </w:r>
      <w:r>
        <w:rPr>
          <w:rFonts w:ascii="Arial" w:hAnsi="Arial"/>
          <w:b w:val="0"/>
          <w:i w:val="0"/>
          <w:color w:val="111827"/>
          <w:sz w:val="24"/>
        </w:rPr>
        <w:t>:</w:t>
      </w:r>
    </w:p>
    <w:p>
      <w:pPr>
        <w:spacing w:after="120"/>
      </w:pPr>
    </w:p>
    <w:p>
      <w:pPr>
        <w:keepNext/>
        <w:spacing w:before="120" w:after="40"/>
      </w:pPr>
      <w:r>
        <w:rPr>
          <w:rFonts w:ascii="Arial" w:hAnsi="Arial"/>
          <w:b/>
          <w:i/>
          <w:color w:val="334155"/>
          <w:sz w:val="22"/>
        </w:rPr>
        <w:t>4.2 Demonstração dos Fluxos de Caixa (DFC) pelo Método Direto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Normatizada pela </w:t>
      </w:r>
      <w:r>
        <w:rPr>
          <w:rFonts w:ascii="Arial" w:hAnsi="Arial"/>
          <w:b/>
          <w:i w:val="0"/>
          <w:color w:val="111827"/>
          <w:sz w:val="22"/>
        </w:rPr>
        <w:t>NBC TSP 12</w:t>
      </w:r>
      <w:r>
        <w:rPr>
          <w:rFonts w:ascii="Arial" w:hAnsi="Arial"/>
          <w:b w:val="0"/>
          <w:i w:val="0"/>
          <w:color w:val="111827"/>
          <w:sz w:val="22"/>
        </w:rPr>
        <w:t xml:space="preserve"> e pelo MCASP, a DFC no setor público deve ser elaborada compulsoriamente pelo </w:t>
      </w:r>
      <w:r>
        <w:rPr>
          <w:rFonts w:ascii="Arial" w:hAnsi="Arial"/>
          <w:b/>
          <w:i w:val="0"/>
          <w:color w:val="111827"/>
          <w:sz w:val="22"/>
        </w:rPr>
        <w:t>Método Direto</w:t>
      </w:r>
      <w:r>
        <w:rPr>
          <w:rFonts w:ascii="Arial" w:hAnsi="Arial"/>
          <w:b w:val="0"/>
          <w:i w:val="0"/>
          <w:color w:val="111827"/>
          <w:sz w:val="22"/>
        </w:rPr>
        <w:t xml:space="preserve"> para os fluxos das atividades operacionais;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Desagrega os fluxos financeiros de caixa em três categorias operacionais fundamentais:</w:t>
      </w:r>
    </w:p>
    <w:p>
      <w:pPr>
        <w:spacing w:line="276" w:lineRule="auto" w:before="20" w:after="40"/>
        <w:ind w:left="992"/>
      </w:pPr>
      <w:r>
        <w:rPr>
          <w:rFonts w:ascii="Arial" w:hAnsi="Arial"/>
          <w:b/>
          <w:color w:val="1B365D"/>
          <w:sz w:val="22"/>
        </w:rPr>
        <w:t xml:space="preserve">1. </w:t>
      </w:r>
      <w:r>
        <w:rPr>
          <w:rFonts w:ascii="Arial" w:hAnsi="Arial"/>
          <w:b/>
          <w:i w:val="0"/>
          <w:color w:val="111827"/>
          <w:sz w:val="22"/>
        </w:rPr>
        <w:t>Fluxos das Atividades Operacionais:</w:t>
      </w:r>
      <w:r>
        <w:rPr>
          <w:rFonts w:ascii="Arial" w:hAnsi="Arial"/>
          <w:b w:val="0"/>
          <w:i w:val="0"/>
          <w:color w:val="111827"/>
          <w:sz w:val="22"/>
        </w:rPr>
        <w:t xml:space="preserve"> Arrecadação tributária, receitas de serviços, pagamento de vencimentos a servidores públicos, compras de material de consumo e transferências intergovernamentais;</w:t>
      </w:r>
    </w:p>
    <w:p>
      <w:pPr>
        <w:spacing w:line="276" w:lineRule="auto" w:before="20" w:after="40"/>
        <w:ind w:left="992"/>
      </w:pPr>
      <w:r>
        <w:rPr>
          <w:rFonts w:ascii="Arial" w:hAnsi="Arial"/>
          <w:b/>
          <w:color w:val="1B365D"/>
          <w:sz w:val="22"/>
        </w:rPr>
        <w:t xml:space="preserve">2. </w:t>
      </w:r>
      <w:r>
        <w:rPr>
          <w:rFonts w:ascii="Arial" w:hAnsi="Arial"/>
          <w:b/>
          <w:i w:val="0"/>
          <w:color w:val="111827"/>
          <w:sz w:val="22"/>
        </w:rPr>
        <w:t>Fluxos das Atividades de Investimento:</w:t>
      </w:r>
      <w:r>
        <w:rPr>
          <w:rFonts w:ascii="Arial" w:hAnsi="Arial"/>
          <w:b w:val="0"/>
          <w:i w:val="0"/>
          <w:color w:val="111827"/>
          <w:sz w:val="22"/>
        </w:rPr>
        <w:t xml:space="preserve"> Desembolsos para aquisição de bens do ativo imobilizado (obras, prédios, viaturas) e entradas decorrentes da alienação de ativos públicos;</w:t>
      </w:r>
    </w:p>
    <w:p>
      <w:pPr>
        <w:spacing w:line="276" w:lineRule="auto" w:before="20" w:after="40"/>
        <w:ind w:left="992"/>
      </w:pPr>
      <w:r>
        <w:rPr>
          <w:rFonts w:ascii="Arial" w:hAnsi="Arial"/>
          <w:b/>
          <w:color w:val="1B365D"/>
          <w:sz w:val="22"/>
        </w:rPr>
        <w:t xml:space="preserve">3. </w:t>
      </w:r>
      <w:r>
        <w:rPr>
          <w:rFonts w:ascii="Arial" w:hAnsi="Arial"/>
          <w:b/>
          <w:i w:val="0"/>
          <w:color w:val="111827"/>
          <w:sz w:val="22"/>
        </w:rPr>
        <w:t>Fluxos das Atividades de Financiamento:</w:t>
      </w:r>
      <w:r>
        <w:rPr>
          <w:rFonts w:ascii="Arial" w:hAnsi="Arial"/>
          <w:b w:val="0"/>
          <w:i w:val="0"/>
          <w:color w:val="111827"/>
          <w:sz w:val="22"/>
        </w:rPr>
        <w:t xml:space="preserve"> Captação de recursos via emissão de títulos da dívida mobiliária e contratos de empréstimos, bem como pagamentos para amortização do principal da dívida fundada.</w:t>
      </w:r>
    </w:p>
    <w:p>
      <w:pPr>
        <w:keepNext/>
        <w:spacing w:before="120" w:after="40"/>
      </w:pPr>
      <w:r>
        <w:rPr>
          <w:rFonts w:ascii="Arial" w:hAnsi="Arial"/>
          <w:b/>
          <w:i/>
          <w:color w:val="334155"/>
          <w:sz w:val="22"/>
        </w:rPr>
        <w:t>4.3 Demonstração das Mutações do Patrimônio Líquido (DMPL) e Notas Explicativas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DMPL (NBC TSP 11):</w:t>
      </w:r>
      <w:r>
        <w:rPr>
          <w:rFonts w:ascii="Arial" w:hAnsi="Arial"/>
          <w:b w:val="0"/>
          <w:i w:val="0"/>
          <w:color w:val="111827"/>
          <w:sz w:val="22"/>
        </w:rPr>
        <w:t xml:space="preserve"> Evidencia a movimentação de todas as contas integrantes do Patrimônio Líquido durante o exercício (Patrimônio Social, Reservas de Capital, Ajustes de Avaliação Patrimonial e Resultados Acumulados de exercícios anteriores);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Notas Explicativas:</w:t>
      </w:r>
      <w:r>
        <w:rPr>
          <w:rFonts w:ascii="Arial" w:hAnsi="Arial"/>
          <w:b w:val="0"/>
          <w:i w:val="0"/>
          <w:color w:val="111827"/>
          <w:sz w:val="22"/>
        </w:rPr>
        <w:t xml:space="preserve"> Peça textual analítica obrigatória e indissociável de todas as DCASP, fornecendo detalhes sobre as premissas e políticas contábeis adotadas, contingências judiciais e critérios de mensuração e depreciação.</w:t>
      </w:r>
    </w:p>
    <w:p>
      <w:pPr>
        <w:keepNext/>
        <w:spacing w:before="200" w:after="80"/>
      </w:pPr>
      <w:r>
        <w:rPr>
          <w:rFonts w:ascii="Arial" w:hAnsi="Arial"/>
          <w:b/>
          <w:i w:val="0"/>
          <w:color w:val="2B6CB0"/>
          <w:sz w:val="24"/>
        </w:rPr>
        <w:t>5. Prestação de Contas ao Tribunal de Contas (TCE-GO)</w:t>
      </w:r>
    </w:p>
    <w:p>
      <w:pPr>
        <w:spacing w:line="360" w:lineRule="auto" w:before="0" w:after="80"/>
        <w:jc w:val="both"/>
      </w:pPr>
      <w:r>
        <w:rPr>
          <w:rFonts w:ascii="Arial" w:hAnsi="Arial"/>
          <w:b w:val="0"/>
          <w:i w:val="0"/>
          <w:color w:val="111827"/>
          <w:sz w:val="24"/>
        </w:rPr>
        <w:t>No Estado de Goiás e nos termos dos arts. 70 e 71 da CF/88 c/c a Lei Orgânica do TCE-GO (Lei Complementar Estadual nº 161/2020), o controle externo exercido pelo Tribunal de Contas opera sob dois ritos processuais com naturezas jurídicas inteiramente distintas:</w:t>
      </w:r>
    </w:p>
    <w:p>
      <w:pPr>
        <w:spacing w:after="120"/>
      </w:pPr>
    </w:p>
    <w:p>
      <w:pPr>
        <w:keepNext/>
        <w:spacing w:before="120" w:after="40"/>
      </w:pPr>
      <w:r>
        <w:rPr>
          <w:rFonts w:ascii="Arial" w:hAnsi="Arial"/>
          <w:b/>
          <w:i/>
          <w:color w:val="334155"/>
          <w:sz w:val="22"/>
        </w:rPr>
        <w:t>5.1 Contas de Governo (Parecer Prévio) vs. Contas de Gestão (Julgamento Técnico)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Contas de Governo (Governador do Estado):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Consubstanciam o balanço geral anual do Estado e a prestação macroeconômica da execução orçamentária e financeira;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Tribunal de Contas </w:t>
      </w:r>
      <w:r>
        <w:rPr>
          <w:rFonts w:ascii="Arial" w:hAnsi="Arial"/>
          <w:b/>
          <w:i w:val="0"/>
          <w:color w:val="111827"/>
          <w:sz w:val="22"/>
        </w:rPr>
        <w:t>não julga as contas de governo</w:t>
      </w:r>
      <w:r>
        <w:rPr>
          <w:rFonts w:ascii="Arial" w:hAnsi="Arial"/>
          <w:b w:val="0"/>
          <w:i w:val="0"/>
          <w:color w:val="111827"/>
          <w:sz w:val="22"/>
        </w:rPr>
        <w:t xml:space="preserve">; emite </w:t>
      </w:r>
      <w:r>
        <w:rPr>
          <w:rFonts w:ascii="Arial" w:hAnsi="Arial"/>
          <w:b/>
          <w:i w:val="0"/>
          <w:color w:val="111827"/>
          <w:sz w:val="22"/>
        </w:rPr>
        <w:t>Parecer Prévio</w:t>
      </w:r>
      <w:r>
        <w:rPr>
          <w:rFonts w:ascii="Arial" w:hAnsi="Arial"/>
          <w:b w:val="0"/>
          <w:i w:val="0"/>
          <w:color w:val="111827"/>
          <w:sz w:val="22"/>
        </w:rPr>
        <w:t xml:space="preserve"> de caráter técnico conclusivo no prazo de sessenta (60) dias;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julgamento final é político-institucional e compete privativamente à Assembleia Legislativa do Estado de Goiás (ALEGO). O parecer técnico do TCE só deixará de prevalecer por decisão de </w:t>
      </w:r>
      <w:r>
        <w:rPr>
          <w:rFonts w:ascii="Arial" w:hAnsi="Arial"/>
          <w:b/>
          <w:i w:val="0"/>
          <w:color w:val="111827"/>
          <w:sz w:val="22"/>
        </w:rPr>
        <w:t>dois terços (2/3)</w:t>
      </w:r>
      <w:r>
        <w:rPr>
          <w:rFonts w:ascii="Arial" w:hAnsi="Arial"/>
          <w:b w:val="0"/>
          <w:i w:val="0"/>
          <w:color w:val="111827"/>
          <w:sz w:val="22"/>
        </w:rPr>
        <w:t xml:space="preserve"> dos membros do parlamento estadual.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Contas de Gestão (Ordenadores de Despesas):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Referem-se aos atos de gestão patrimonial, orçamentária e financeira praticados individualmente pelos secretários de Estado, dirigentes de autarquias, fundações e fundos especiais;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Tribunal de Contas </w:t>
      </w:r>
      <w:r>
        <w:rPr>
          <w:rFonts w:ascii="Arial" w:hAnsi="Arial"/>
          <w:b/>
          <w:i w:val="0"/>
          <w:color w:val="111827"/>
          <w:sz w:val="22"/>
        </w:rPr>
        <w:t>julga diretamente e em definitivo</w:t>
      </w:r>
      <w:r>
        <w:rPr>
          <w:rFonts w:ascii="Arial" w:hAnsi="Arial"/>
          <w:b w:val="0"/>
          <w:i w:val="0"/>
          <w:color w:val="111827"/>
          <w:sz w:val="22"/>
        </w:rPr>
        <w:t xml:space="preserve"> a regularidade dessas contas, proferindo acórdão que pode imputar débito ou aplicar multas com </w:t>
      </w:r>
      <w:r>
        <w:rPr>
          <w:rFonts w:ascii="Arial" w:hAnsi="Arial"/>
          <w:b/>
          <w:i w:val="0"/>
          <w:color w:val="111827"/>
          <w:sz w:val="22"/>
        </w:rPr>
        <w:t>eficácia de título executivo extrajudicial</w:t>
      </w:r>
      <w:r>
        <w:rPr>
          <w:rFonts w:ascii="Arial" w:hAnsi="Arial"/>
          <w:b w:val="0"/>
          <w:i w:val="0"/>
          <w:color w:val="111827"/>
          <w:sz w:val="22"/>
        </w:rPr>
        <w:t xml:space="preserve"> (art. 71, § 3º da CF/88).</w:t>
      </w:r>
    </w:p>
    <w:p>
      <w:pPr>
        <w:keepNext/>
        <w:spacing w:before="120" w:after="40"/>
      </w:pPr>
      <w:r>
        <w:rPr>
          <w:rFonts w:ascii="Arial" w:hAnsi="Arial"/>
          <w:b/>
          <w:i/>
          <w:color w:val="334155"/>
          <w:sz w:val="22"/>
        </w:rPr>
        <w:t>5.2 Composição Documental Obrigatória e Papel do Controle Interno</w:t>
      </w:r>
    </w:p>
    <w:p>
      <w:pPr>
        <w:spacing w:line="360" w:lineRule="auto" w:before="0" w:after="80"/>
        <w:jc w:val="both"/>
      </w:pPr>
      <w:r>
        <w:rPr>
          <w:rFonts w:ascii="Arial" w:hAnsi="Arial"/>
          <w:b w:val="0"/>
          <w:i w:val="0"/>
          <w:color w:val="111827"/>
          <w:sz w:val="24"/>
        </w:rPr>
        <w:t>Os processos de prestação de contas enviados anualmente ao TCE-GO devem conter obrigatoriamente: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conjunto completo das Demonstrações Contábeis Aplicadas ao Setor Público (DCASP) acompanhadas das respectivas Notas Explicativas;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Os relatórios fiscais previstos na LRF: Relatório Resumido da Execução Orçamentária (RREO) e Relatório de Gestão Fiscal (RGF);</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Demonstrativo do cumprimento dos limites constitucionais mínimos de aplicação em </w:t>
      </w:r>
      <w:r>
        <w:rPr>
          <w:rFonts w:ascii="Arial" w:hAnsi="Arial"/>
          <w:b/>
          <w:i w:val="0"/>
          <w:color w:val="111827"/>
          <w:sz w:val="22"/>
        </w:rPr>
        <w:t>Saúde (12% para os Estados)</w:t>
      </w:r>
      <w:r>
        <w:rPr>
          <w:rFonts w:ascii="Arial" w:hAnsi="Arial"/>
          <w:b w:val="0"/>
          <w:i w:val="0"/>
          <w:color w:val="111827"/>
          <w:sz w:val="22"/>
        </w:rPr>
        <w:t xml:space="preserve"> e em </w:t>
      </w:r>
      <w:r>
        <w:rPr>
          <w:rFonts w:ascii="Arial" w:hAnsi="Arial"/>
          <w:b/>
          <w:i w:val="0"/>
          <w:color w:val="111827"/>
          <w:sz w:val="22"/>
        </w:rPr>
        <w:t>Educação (25%)</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Relatório e Certificado de Auditoria emitidos pelo Órgão Central do Sistema de Controle Interno estadual</w:t>
      </w:r>
      <w:r>
        <w:rPr>
          <w:rFonts w:ascii="Arial" w:hAnsi="Arial"/>
          <w:b w:val="0"/>
          <w:i w:val="0"/>
          <w:color w:val="111827"/>
          <w:sz w:val="22"/>
        </w:rPr>
        <w:t>, com parecer conclusivo sobre a regularidade da gestão examinada.</w:t>
      </w:r>
    </w:p>
    <w:p>
      <w:pPr>
        <w:keepNext/>
        <w:spacing w:before="280" w:after="120"/>
      </w:pPr>
      <w:r>
        <w:rPr>
          <w:rFonts w:ascii="Arial" w:hAnsi="Arial"/>
          <w:b/>
          <w:i w:val="0"/>
          <w:color w:val="2C5282"/>
          <w:sz w:val="28"/>
        </w:rPr>
        <w:t>🌐 Fontes Oficiais &amp; Manuais Técnicos Recomendados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4.320/1964</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Arts. 43 (Superávit Financeiro) e Arts. 101 a 106 (Das Demonstrações Contábeis).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Manual de Contabilidade Aplicada ao Setor Público (MCASP) - 11ª Edição (STN)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Parte V: Demonstrações Contábeis Aplicadas ao Setor Público (DCASP).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Conselho Federal de Contabilidade - NBC TSP 11 e 12</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NBC TSP 11 (Apresentação das Demonstrações Contábeis) e NBC TSP 12 (Demonstração dos Fluxos de Caixa).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Complementar Estadual de Goiás nº 161/2020 (Lei Orgânica do TCE-GO)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Normas sobre processos de contas de governo e de gestão no Estado de Goiás.</w:t>
      </w:r>
    </w:p>
    <w:p>
      <w:pPr>
        <w:keepNext/>
        <w:spacing w:before="280" w:after="120"/>
      </w:pPr>
      <w:r>
        <w:rPr>
          <w:rFonts w:ascii="Arial" w:hAnsi="Arial"/>
          <w:b/>
          <w:i w:val="0"/>
          <w:color w:val="2C5282"/>
          <w:sz w:val="28"/>
        </w:rPr>
        <w:t>📝 Questões Comentadas no Padrão FCC</w:t>
      </w:r>
    </w:p>
    <w:p>
      <w:pPr>
        <w:keepNext/>
        <w:spacing w:before="200" w:after="80"/>
      </w:pPr>
      <w:r>
        <w:rPr>
          <w:rFonts w:ascii="Arial" w:hAnsi="Arial"/>
          <w:b/>
          <w:i w:val="0"/>
          <w:color w:val="2B6CB0"/>
          <w:sz w:val="24"/>
        </w:rPr>
        <w:t>Questão 1 (FCC - Adaptada / TCE-PI - Auditor de Controle Externo)</w:t>
      </w:r>
    </w:p>
    <w:p>
      <w:pPr>
        <w:spacing w:line="360" w:lineRule="auto" w:before="0" w:after="80"/>
        <w:jc w:val="both"/>
      </w:pPr>
      <w:r>
        <w:rPr>
          <w:rFonts w:ascii="Arial" w:hAnsi="Arial"/>
          <w:b w:val="0"/>
          <w:i w:val="0"/>
          <w:color w:val="111827"/>
          <w:sz w:val="24"/>
        </w:rPr>
        <w:t>Ao final do exercício financeiro de 2023, determinado órgão público estadual apurou as seguintes informações em seus registros contábeis para fechamento do Balanço Patrimonial: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Ativo Financeiro: R$ 12.000.000,00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Ativo Permanente: R$ 45.000.000,00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Passivo Financeiro: R$ 7.000.000,00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Passivo Permanente: R$ 30.000.000,00</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Saldos de créditos adicionais especiais reabertos para o exercício seguinte: R$ 1.500.000,00</w:t>
      </w:r>
    </w:p>
    <w:p>
      <w:pPr>
        <w:spacing w:line="360" w:lineRule="auto" w:before="0" w:after="80"/>
        <w:jc w:val="both"/>
      </w:pPr>
      <w:r>
        <w:rPr>
          <w:rFonts w:ascii="Arial" w:hAnsi="Arial"/>
          <w:b w:val="0"/>
          <w:i w:val="0"/>
          <w:color w:val="111827"/>
          <w:sz w:val="24"/>
        </w:rPr>
        <w:t>Com base estritamente nas regras da Lei Federal nº 4.320/1964 (Art. 43, § 2º), o montante do Superávit Financeiro disponível para abertura de créditos adicionais no exercício de 2024 é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R$ 5.000.000,00.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R$ 3.500.000,00.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R$ 20.000.000,00.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R$ 18.500.000,00.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R$ 2.000.000,00.</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Refere-se à diferença bruta entre Ativo Financeiro e Passivo Financeiro (</w:t>
            </w:r>
            <w:r>
              <w:rPr>
                <w:rFonts w:ascii="Cambria Math" w:hAnsi="Cambria Math"/>
                <w:i/>
                <w:color w:val="1B365D"/>
                <w:sz w:val="21"/>
              </w:rPr>
              <w:t>12.000.000 - 7.000.000 = 5.000.000</w:t>
            </w:r>
            <w:r>
              <w:rPr>
                <w:rFonts w:ascii="Arial" w:hAnsi="Arial"/>
                <w:b w:val="0"/>
                <w:i w:val="0"/>
                <w:color w:val="111827"/>
                <w:sz w:val="21"/>
              </w:rPr>
              <w:t>), esquecendo-se da dedução obrigatória dos créditos especiais reabertos.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o art. 43, § 2º da Lei Federal nº 4.320/1964, o superávit financeiro é calculado subtraindo-se o Passivo Financeiro do Ativo Financeiro e deduzindo-se os saldos de créditos adicionais reabertos que ainda oneram a disponibilidade:</w:t>
            </w:r>
          </w:p>
          <w:p>
            <w:pPr>
              <w:spacing w:line="288" w:lineRule="auto" w:before="40" w:after="40"/>
            </w:pPr>
            <w:r>
              <w:rPr>
                <w:rFonts w:ascii="Arial" w:hAnsi="Arial"/>
                <w:b w:val="0"/>
                <w:i w:val="0"/>
                <w:color w:val="111827"/>
                <w:sz w:val="21"/>
              </w:rPr>
              <w:t>$</w:t>
            </w:r>
            <w:r>
              <w:rPr>
                <w:rFonts w:ascii="Cambria Math" w:hAnsi="Cambria Math"/>
                <w:i/>
                <w:color w:val="1B365D"/>
                <w:sz w:val="21"/>
              </w:rPr>
              <w:t>\text{SF} = \text{Ativo Financeiro} - \text{Passivo Financeiro} - \text{Créditos Reabertos}</w:t>
            </w:r>
            <w:r>
              <w:rPr>
                <w:rFonts w:ascii="Arial" w:hAnsi="Arial"/>
                <w:b w:val="0"/>
                <w:i w:val="0"/>
                <w:color w:val="111827"/>
                <w:sz w:val="21"/>
              </w:rPr>
              <w:t>$</w:t>
            </w:r>
          </w:p>
          <w:p>
            <w:pPr>
              <w:spacing w:line="288" w:lineRule="auto" w:before="40" w:after="40"/>
            </w:pPr>
            <w:r>
              <w:rPr>
                <w:rFonts w:ascii="Arial" w:hAnsi="Arial"/>
                <w:b w:val="0"/>
                <w:i w:val="0"/>
                <w:color w:val="111827"/>
                <w:sz w:val="21"/>
              </w:rPr>
              <w:t>$</w:t>
            </w:r>
            <w:r>
              <w:rPr>
                <w:rFonts w:ascii="Cambria Math" w:hAnsi="Cambria Math"/>
                <w:i/>
                <w:color w:val="1B365D"/>
                <w:sz w:val="21"/>
              </w:rPr>
              <w:t>\text{SF} = 12.000.000,00 - 7.000.000,00 - 1.500.000,00 = \text{R\</w:t>
            </w:r>
            <w:r>
              <w:rPr>
                <w:rFonts w:ascii="Arial" w:hAnsi="Arial"/>
                <w:b w:val="0"/>
                <w:i w:val="0"/>
                <w:color w:val="111827"/>
                <w:sz w:val="21"/>
              </w:rPr>
              <w:t xml:space="preserve"> 3.500.000,00}$$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Misturou valores do patrimônio permanente (</w:t>
            </w:r>
            <w:r>
              <w:rPr>
                <w:rFonts w:ascii="Cambria Math" w:hAnsi="Cambria Math"/>
                <w:i/>
                <w:color w:val="1B365D"/>
                <w:sz w:val="21"/>
              </w:rPr>
              <w:t>45.000.000 - 30.000.000 + 5.000.000</w:t>
            </w:r>
            <w:r>
              <w:rPr>
                <w:rFonts w:ascii="Arial" w:hAnsi="Arial"/>
                <w:b w:val="0"/>
                <w:i w:val="0"/>
                <w:color w:val="111827"/>
                <w:sz w:val="21"/>
              </w:rPr>
              <w:t>), que não possuem liquidez financeira para lastrear gastos orçamentários.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Computou indevidamente o Ativo Permanente, que reúne bens imóveis e infraestrutura.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Subtrações aleatórias sem base nas diretrizes legais de finanças públicas.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Adaptada / TCE-RS - Auditor de Controle Externo)</w:t>
      </w:r>
    </w:p>
    <w:p>
      <w:pPr>
        <w:spacing w:line="360" w:lineRule="auto" w:before="0" w:after="80"/>
        <w:jc w:val="both"/>
      </w:pPr>
      <w:r>
        <w:rPr>
          <w:rFonts w:ascii="Arial" w:hAnsi="Arial"/>
          <w:b w:val="0"/>
          <w:i w:val="0"/>
          <w:color w:val="111827"/>
          <w:sz w:val="24"/>
        </w:rPr>
        <w:t>No âmbito da Contabilidade Aplicada ao Setor Público, a demonstração contábil que evidencia as receitas previstas em confronto com as realizadas e as despesas fixadas em confronto com as executadas (empenhadas, liquidadas e pagas), apurando o resultado orçamentário do exercício, é 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Balanço Financeiro.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Balanço Patrimonial.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Balanço Orçamentário.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Demonstrativo de Fluxo de Caixa.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Demonstrativo das Variações Patrimoniais.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Balanço Financeiro (art. 103 da Lei nº 4.320/1964) evidencia os ingressos e dispêndios de recursos orçamentários e extraorçamentários e a movimentação das disponibilidades de caixa.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Balanço Patrimonial (art. 105 da Lei nº 4.320/1964) evidencia a situação estática de bens, direitos, obrigações e patrimônio líquido.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O Balanço Orçamentário (art. 102 da Lei nº 4.320/1964 e MCASP Parte V) é o demonstrativo que confronta a previsão e arrecadação das receitas públicas com a fixação e execução das despesas orçamentárias (empenho, liquidação e pagamento), demonstrando formalmente o superávit ou déficit orçamentário do exercício.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DFC evidencia as movimentações financeiras segregadas por atividades operacionais, de investimento e de financiamento pelo método direto.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DVP (art. 104 da Lei nº 4.320/1964) confronta as variações aumentativas (VPA) e diminutivas (VPD) para apuração do resultado patrimonial por competência.</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3 (FCC - Adaptada / DPE-RS - Analista: Ciências Contábeis)</w:t>
      </w:r>
    </w:p>
    <w:p>
      <w:pPr>
        <w:spacing w:line="360" w:lineRule="auto" w:before="0" w:after="80"/>
        <w:jc w:val="both"/>
      </w:pPr>
      <w:r>
        <w:rPr>
          <w:rFonts w:ascii="Arial" w:hAnsi="Arial"/>
          <w:b w:val="0"/>
          <w:i w:val="0"/>
          <w:color w:val="111827"/>
          <w:sz w:val="24"/>
        </w:rPr>
        <w:t>Em relação ao Balanço Financeiro disciplinado pela Lei nº 4.320/1964 e pelo Manual de Contabilidade Aplicada ao Setor Público (MCASP), é correto afirmar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Apura em sua última linha o montante do superávit financeiro que servirá de fonte para abertura de créditos suplementares.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inscrição de despesas em Restos a Pagar no encerramento do exercício é registrada na coluna dos ingressos extraorçamentários para compensar a despesa empenhada.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As transferências financeiras recebidas de outros órgãos do mesmo ente da Federação (repasses e sub-repasses) devem ser classificadas como receitas orçamentárias de capital.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pagamento de restos a pagar processados efetuado no exercício é escriturado no quadro das receitas orçamentárias correntes.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cota de depreciação acumulada dos edifícios públicos é registrada como um dispêndio extraorçamentário.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Balanço Financeiro não apresenta saldo de superávit ou déficit financeiro ao final, pois o total dos ingressos sempre se iguala ao total dos dispêndios mediante o transporte do saldo para o exercício seguinte. O superávit financeiro é calculado no Balanço Patrimonial.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Como a despesa orçamentária é computada nos dispêndios pelo valor empenhado total, a parcela que não foi paga até 31 de dezembro (inscrita em Restos a Pagar) deve figurar nos ingressos extraorçamentários como contrapartida contábil de ajuste para manter a equação financeira em equilíbrio.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Repasses e sub-repasses são transferências puramente financeiras entre órgãos públicos, não constituindo receita orçamentária.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pagamento de restos a pagar é uma despesa extraorçamentária, pois refere-se a orçamento de exercício pretérito.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depreciação não transita pelo Balanço Financeiro, visto que não envolve movimentação física ou bancária de dinheiro.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4 (FCC - Adaptada / SEFAZ-SC - Auditor Fiscal da Receita Estadual)</w:t>
      </w:r>
    </w:p>
    <w:p>
      <w:pPr>
        <w:spacing w:line="360" w:lineRule="auto" w:before="0" w:after="80"/>
        <w:jc w:val="both"/>
      </w:pPr>
      <w:r>
        <w:rPr>
          <w:rFonts w:ascii="Arial" w:hAnsi="Arial"/>
          <w:b w:val="0"/>
          <w:i w:val="0"/>
          <w:color w:val="111827"/>
          <w:sz w:val="24"/>
        </w:rPr>
        <w:t>No encerramento do exercício financeiro, uma entidade governamental constatou que o reconhecimento da quota anual de depreciação de seus veículos operacionais no montante de R$ 500.000,00 produziu impactos nas Demonstrações Contábeis Aplicadas ao Setor Público. O reflexo desse fato contábil ocorreu:</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Exclusivamente no Balanço Orçamentário, reduzindo o superávit orçamentário do exercício.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No Balanço Financeiro como dispêndio operacional e na Demonstração dos Fluxos de Caixa.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Na Demonstração das Variações Patrimoniais (DVP) como Variação Patrimonial Diminutiva (VPD) e no Balanço Patrimonial como conta redutora do Ativo Não Circulante.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No Balanço Orçamentário e no Balanço Financeiro simultaneamente, sem afetar o Balanço Patrimonial.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Exclusivamente na Demonstração dos Fluxos de Caixa, classificado como fluxo de investimentos.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depreciação independe de dotação e não envolve execução de despesa orçamentária, não figurando no Balanço Orçamentário.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depreciação não envolve desembolso financeiro de moeda, não afetando o Balanço Financeiro nem a DFC.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depreciação periódica é um fato contábil estritamente patrimonial decorrente do regime de competência. Seu lançamento é: débito em Variação Patrimonial Diminutiva (VPD - Classe 3) e crédito em Depreciação Acumulada (Conta retificadora do Ativo Imobilizado - Classe 1). Logo, impacta a DVP (como VPD) e o Balanço Patrimonial (reduzindo o valor contábil líquido do Ativo Não Circulante).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Não afeta os balanços orçamentário e financeiro.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DFC registra exclusivamente eventos que movimentam contas de disponibilidades de caixa; a depreciação é um custo puramente econômico.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Adaptada / TCE-GO - Analista de Controle Externo)</w:t>
      </w:r>
    </w:p>
    <w:p>
      <w:pPr>
        <w:spacing w:line="360" w:lineRule="auto" w:before="0" w:after="80"/>
        <w:jc w:val="both"/>
      </w:pPr>
      <w:r>
        <w:rPr>
          <w:rFonts w:ascii="Arial" w:hAnsi="Arial"/>
          <w:b w:val="0"/>
          <w:i w:val="0"/>
          <w:color w:val="111827"/>
          <w:sz w:val="24"/>
        </w:rPr>
        <w:t>A respeito da prestação de contas dos administradores públicos perante o Tribunal de Contas do Estado de Goiás (TCE-GO),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 contas prestadas pelo Chefe do Poder Executivo são submetidas a julgamento técnico irrecorrível pelo próprio Tribunal de Contas, cabendo à Assembleia Legislativa apenas tomar conhecimento.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prestação de contas dos dirigentes de autarquias e secretários de Estado (contas de gestão) é apreciada mediante parecer prévio opinativo encaminhado ao Governador do Estado.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parecer prévio emitido pelo TCE sobre as contas de governo do Chefe do Poder Executivo só deixará de prevalecer por decisão de dois terços dos membros da Assembleia Legislativa.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Tribunal de Contas dispensa a apresentação do relatório do órgão central do sistema de controle interno nos processos de tomada de contas especial.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 demonstrações contábeis exigidas na prestação de contas anual dispensam notas explicativas caso o Balanço Patrimonial não registre dívida fundada consolidada.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As contas de governo do Chefe do Executivo estadual (Governador) são julgadas politicamente pela Assembleia Legislativa, cabendo ao Tribunal de Contas emitir parecer prévio técnico conclusivo (art. 71, I c/c art. 75 da CF/88).</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Os ordenadores de despesas e dirigentes de órgãos e autarquias prestam contas de gestão, as quais são julgadas diretamente pelo Tribunal de Contas com caráter terminativo.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Conforme o modelo constitucional de controle externo (art. 31, § 2º aplicado por simetria federativa e normas correlatas da Constituição de Goiás), o parecer prévio técnico emitido pelo Tribunal de Contas sobre as contas anuais de governo do Chefe do Executivo somente deixará de prevalecer por decisão qualificada de dois terços (2/3) dos membros do Poder Legislativo.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relatório e o certificado de auditoria emitidos pelo órgão central do sistema de controle interno são peças obrigatórias e indeclináveis na prestação e tomada de contas especial.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As notas explicativas são parte integrante e obrigatória das Demonstrações Contábeis Aplicadas ao Setor Público (NBC TSP 11 e MCASP), independentemente de existir dívida fundada.</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01 - Organizações Formais, Estruturas, Departamentalização e Processo Organizacional</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Administração Pública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01_organizacoes_formais_estruturas_e_processo_organizacional.md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Características básicas das organizações formais modernas: estrutura organizacional, sistemas de autoridade, hierarquia, amplitude administrativa e especialização do trabalho;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Desenho de estruturas organizacionais: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Relação entre amplitude de controle e formato organizacional (estruturas agudas/altas versus estruturas achatadas/planas);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Centralização e descentralização da tomada de decisão;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Tipos de estrutura organizacional: linear (militar), funcional, linha-staff, matricial e estruturas em rede (redes organizacionais flexíveis);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Critérios de departamentalização: por funções (funcional), por produtos ou serviços, territorial (geográfica), por clientes, por processos e por projetos;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Processo organizacional: as funções fundamentais da administração (PODC):</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Planejamento (níveis estratégico, tático e operacional; objetivos e planos de 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Organização (alocação de recursos, divisão do trabalho e atribuição de responsabilidades);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Direção e Coordenação (liderança, motivação, delegação de autoridade e harmonização de esforços);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Comunicação organizacional (fluxos verticais ascendente e descendente, horizontais e diagonais; barreiras e ruídos na comunicação);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Controle e Avaliação (estabelecimento de padrões, medição do desempenho real, comparação e ações corretivas; controles prévio, concomitante e posterior);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Convergências e diferenças essenciais entre a gestão pública e a gestão privada (princípio da legalidade estrita versus autonomia da vontade, finalidade pública versus lucro, regime de pessoal e sujeição aos órgãos de controle externo).</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Elementos da Organização Formal e Desenho Estrutural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Os Pilares da Organização Formal Moderna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Amplitude Administrativa e Formato Organizacional (Agudo vs. Plano)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Centralização vs. Descentralização Decisória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Modelos de Estrutura Organizacional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Estrutura Linear (Militar/Clássica)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Estrutura Funcional (Tayloriana)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Estrutura Linha-Staff (Comando e Assessoria)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Estrutura Matricial (Dupla Subordinação)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2.5 Estrutura em Rede (Modular e Desverticalizada)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Critérios de Departamentalização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Departamentalização Funcional, Territorial e por Produtos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Departamentalização por Clientes, Processos e Projetos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O Processo Organizacional e as Funções Administrativas (PODC)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Planejamento: Estratégico, Tático e Operacional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Organização: Distribuição de Tarefas, Autoridade e Recursos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Direção, Liderança e Comunicação Organizacional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Controle: Padrões, Medição e Momentos de Atuação (Prévio, Concomitante e Posterior)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Gestão Pública vs. Gestão Privada: Convergências e Diferenças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Oficiais &amp;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Comentadas no Padrão FCC</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Elementos da Organização Formal e Desenho Estrutural</w:t>
      </w:r>
    </w:p>
    <w:p>
      <w:pPr>
        <w:keepNext/>
        <w:spacing w:before="120" w:after="40"/>
      </w:pPr>
      <w:r>
        <w:rPr>
          <w:rFonts w:ascii="Arial" w:hAnsi="Arial"/>
          <w:b/>
          <w:i/>
          <w:color w:val="334155"/>
          <w:sz w:val="22"/>
        </w:rPr>
        <w:t>1.1 Os Pilares da Organização Formal Moderna</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organização formal</w:t>
      </w:r>
      <w:r>
        <w:rPr>
          <w:rFonts w:ascii="Arial" w:hAnsi="Arial"/>
          <w:b w:val="0"/>
          <w:i w:val="0"/>
          <w:color w:val="111827"/>
          <w:sz w:val="24"/>
        </w:rPr>
        <w:t xml:space="preserve"> é a estrutura deliberadamente planejada, racionalmente desenhada e oficialmente sancionada por normas e regulamentos para integrar recursos humanos, materiais, financeiros e tecnológicos em direção a objetivos comuns. Seus pilares teóricos centrais compreendem:</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Divisão do Trabalho:</w:t>
      </w:r>
      <w:r>
        <w:rPr>
          <w:rFonts w:ascii="Arial" w:hAnsi="Arial"/>
          <w:b w:val="0"/>
          <w:i w:val="0"/>
          <w:color w:val="111827"/>
          <w:sz w:val="22"/>
        </w:rPr>
        <w:t xml:space="preserve"> Decomposição das atividades complexas em tarefas menores, homogêneas e sequenciais, potencializando a eficiência global;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Especialização:</w:t>
      </w:r>
      <w:r>
        <w:rPr>
          <w:rFonts w:ascii="Arial" w:hAnsi="Arial"/>
          <w:b w:val="0"/>
          <w:i w:val="0"/>
          <w:color w:val="111827"/>
          <w:sz w:val="22"/>
        </w:rPr>
        <w:t xml:space="preserve"> Concentração individual em funções específicas do processo de trabalho, permitindo aprimoramento da perícia técnica;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Cadeia Escalar e Hierarquia:</w:t>
      </w:r>
      <w:r>
        <w:rPr>
          <w:rFonts w:ascii="Arial" w:hAnsi="Arial"/>
          <w:b w:val="0"/>
          <w:i w:val="0"/>
          <w:color w:val="111827"/>
          <w:sz w:val="22"/>
        </w:rPr>
        <w:t xml:space="preserve"> Linha ininterrupta de autoridade formal e responsabilidade que conecta a cúpula diretiva à base operacional (</w:t>
      </w:r>
      <w:r>
        <w:rPr>
          <w:rFonts w:ascii="Arial" w:hAnsi="Arial"/>
          <w:b w:val="0"/>
          <w:i/>
          <w:color w:val="111827"/>
          <w:sz w:val="22"/>
        </w:rPr>
        <w:t>princípio escalar de Fayol</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Amplitude Administrativa (ou Amplitude de Controle):</w:t>
      </w:r>
      <w:r>
        <w:rPr>
          <w:rFonts w:ascii="Arial" w:hAnsi="Arial"/>
          <w:b w:val="0"/>
          <w:i w:val="0"/>
          <w:color w:val="111827"/>
          <w:sz w:val="22"/>
        </w:rPr>
        <w:t xml:space="preserve"> Número exato de subordinados que reportam diretamente a um único gestor ou supervisor;</w:t>
      </w:r>
    </w:p>
    <w:p>
      <w:pPr>
        <w:spacing w:line="276" w:lineRule="auto" w:before="20" w:after="40"/>
        <w:ind w:left="425"/>
      </w:pPr>
      <w:r>
        <w:rPr>
          <w:rFonts w:ascii="Arial" w:hAnsi="Arial"/>
          <w:b/>
          <w:color w:val="1B365D"/>
          <w:sz w:val="22"/>
        </w:rPr>
        <w:t xml:space="preserve">5. </w:t>
      </w:r>
      <w:r>
        <w:rPr>
          <w:rFonts w:ascii="Arial" w:hAnsi="Arial"/>
          <w:b/>
          <w:i w:val="0"/>
          <w:color w:val="111827"/>
          <w:sz w:val="22"/>
        </w:rPr>
        <w:t>Formalização:</w:t>
      </w:r>
      <w:r>
        <w:rPr>
          <w:rFonts w:ascii="Arial" w:hAnsi="Arial"/>
          <w:b w:val="0"/>
          <w:i w:val="0"/>
          <w:color w:val="111827"/>
          <w:sz w:val="22"/>
        </w:rPr>
        <w:t xml:space="preserve"> Nível de padronização escrita das rotinas de trabalho, manuais, procedimentos operacionais padrão (POP) e organogramas.</w:t>
      </w:r>
    </w:p>
    <w:p>
      <w:pPr>
        <w:keepNext/>
        <w:spacing w:before="120" w:after="40"/>
      </w:pPr>
      <w:r>
        <w:rPr>
          <w:rFonts w:ascii="Arial" w:hAnsi="Arial"/>
          <w:b/>
          <w:i/>
          <w:color w:val="334155"/>
          <w:sz w:val="22"/>
        </w:rPr>
        <w:t>1.2 Amplitude Administrativa e Formato Organizacional (Agudo vs. Plano)</w:t>
      </w:r>
    </w:p>
    <w:p>
      <w:pPr>
        <w:spacing w:line="360" w:lineRule="auto" w:before="0" w:after="80"/>
        <w:jc w:val="both"/>
      </w:pPr>
      <w:r>
        <w:rPr>
          <w:rFonts w:ascii="Arial" w:hAnsi="Arial"/>
          <w:b w:val="0"/>
          <w:i w:val="0"/>
          <w:color w:val="111827"/>
          <w:sz w:val="24"/>
        </w:rPr>
        <w:t>Há uma correlação matemática inversa entre a amplitude administrativa e o número de níveis hierárquicos da organização:</w:t>
      </w: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Amplitude Estreita (Estrutura Aguda/Vertical)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Amplitude Ampla (Estrutura Plana/Achatada)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Níveis Hierárquicos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Muitos níveis intermediários (organização alta).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Poucos níveis intermediários (organização horizontal).</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Estilo de Supervisão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Cerrada, rigorosa, minuciosa e controladora.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Frouxa, com foco na autonomia, confiança e resultados.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Fluxo de Comunicação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Lento, burocrático e sujeito a distorções ("telefone sem fio").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Direto, rápido, transparente e horizontal.</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Custo de Administração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Elevado (grande número de cargos comissionados de chefia).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Baixo (estrutura enxuta com menos gerentes intermediários).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Delegação e Decisão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Centralizada na cúpula; baixa delegação.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Descentralizada; forte empoderamento (</w:t>
            </w:r>
            <w:r>
              <w:rPr>
                <w:rFonts w:ascii="Arial" w:hAnsi="Arial"/>
                <w:b w:val="0"/>
                <w:i/>
                <w:color w:val="111827"/>
                <w:sz w:val="19"/>
              </w:rPr>
              <w:t>empowerment</w:t>
            </w:r>
            <w:r>
              <w:rPr>
                <w:rFonts w:ascii="Arial" w:hAnsi="Arial"/>
                <w:b w:val="0"/>
                <w:i w:val="0"/>
                <w:color w:val="111827"/>
                <w:sz w:val="19"/>
              </w:rPr>
              <w:t>) da base.</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banca frequentemente explora o impacto da "desospitalização" ou redução de níveis hierárquicos: quando uma organização extingue cargos intermediários mantendo o mesmo número de servidores operacionais, ocorre </w:t>
            </w:r>
            <w:r>
              <w:rPr>
                <w:rFonts w:ascii="Arial" w:hAnsi="Arial"/>
                <w:b/>
                <w:i w:val="0"/>
                <w:color w:val="111827"/>
                <w:sz w:val="21"/>
              </w:rPr>
              <w:t>o alargamento da amplitude de controle</w:t>
            </w:r>
            <w:r>
              <w:rPr>
                <w:rFonts w:ascii="Arial" w:hAnsi="Arial"/>
                <w:b w:val="0"/>
                <w:i w:val="0"/>
                <w:color w:val="111827"/>
                <w:sz w:val="21"/>
              </w:rPr>
              <w:t xml:space="preserve"> e o </w:t>
            </w:r>
            <w:r>
              <w:rPr>
                <w:rFonts w:ascii="Arial" w:hAnsi="Arial"/>
                <w:b/>
                <w:i w:val="0"/>
                <w:color w:val="111827"/>
                <w:sz w:val="21"/>
              </w:rPr>
              <w:t>achatamento da estrutura</w:t>
            </w:r>
            <w:r>
              <w:rPr>
                <w:rFonts w:ascii="Arial" w:hAnsi="Arial"/>
                <w:b w:val="0"/>
                <w:i w:val="0"/>
                <w:color w:val="111827"/>
                <w:sz w:val="21"/>
              </w:rPr>
              <w:t xml:space="preserve"> (horizontalização), exigindo maior autonomia e descentralização!</w:t>
            </w:r>
          </w:p>
        </w:tc>
      </w:tr>
    </w:tbl>
    <w:p>
      <w:pPr>
        <w:spacing w:before="0" w:after="120"/>
      </w:pPr>
    </w:p>
    <w:p>
      <w:pPr>
        <w:keepNext/>
        <w:spacing w:before="120" w:after="40"/>
      </w:pPr>
      <w:r>
        <w:rPr>
          <w:rFonts w:ascii="Arial" w:hAnsi="Arial"/>
          <w:b/>
          <w:i/>
          <w:color w:val="334155"/>
          <w:sz w:val="22"/>
        </w:rPr>
        <w:t>1.3 Centralização vs. Descentralização Decisória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Centralização:</w:t>
      </w:r>
      <w:r>
        <w:rPr>
          <w:rFonts w:ascii="Arial" w:hAnsi="Arial"/>
          <w:b w:val="0"/>
          <w:i w:val="0"/>
          <w:color w:val="111827"/>
          <w:sz w:val="22"/>
        </w:rPr>
        <w:t xml:space="preserve"> Ocorre quando o poder decisório e a autoridade para emitir deliberações estão concentrados no ápice da pirâmide hierárquica. Proporciona visão global e uniformidade de políticas, mas gera morosidade, sobrecarga na cúpula e desmotivação dos escalões inferiores.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Descentralização:</w:t>
      </w:r>
      <w:r>
        <w:rPr>
          <w:rFonts w:ascii="Arial" w:hAnsi="Arial"/>
          <w:b w:val="0"/>
          <w:i w:val="0"/>
          <w:color w:val="111827"/>
          <w:sz w:val="22"/>
        </w:rPr>
        <w:t xml:space="preserve"> Ocorre quando a autoridade para tomar decisões é formalmente transferida e delegada aos níveis mais baixos da organização, próximos de onde a ação se desenvolve. Promove agilidade, adaptação às peculiaridades operacionais e valorização dos servidores, mas pode gerar inconsistência e perda de visão sistêmica se não houver mecanismos eficazes de governança e alinhamento.</w:t>
      </w:r>
    </w:p>
    <w:p>
      <w:pPr>
        <w:keepNext/>
        <w:spacing w:before="200" w:after="80"/>
      </w:pPr>
      <w:r>
        <w:rPr>
          <w:rFonts w:ascii="Arial" w:hAnsi="Arial"/>
          <w:b/>
          <w:i w:val="0"/>
          <w:color w:val="2B6CB0"/>
          <w:sz w:val="24"/>
        </w:rPr>
        <w:t>2. Modelos de Estrutura Organizacional</w:t>
      </w:r>
    </w:p>
    <w:p>
      <w:pPr>
        <w:spacing w:line="360" w:lineRule="auto" w:before="0" w:after="80"/>
        <w:jc w:val="both"/>
      </w:pPr>
      <w:r>
        <w:rPr>
          <w:rFonts w:ascii="Arial" w:hAnsi="Arial"/>
          <w:b w:val="0"/>
          <w:i w:val="0"/>
          <w:color w:val="111827"/>
          <w:sz w:val="24"/>
        </w:rPr>
        <w:t>As organizações estruturam-se segundo diferentes desenhos formais de autoridade e divisão do trabalho:</w:t>
      </w:r>
    </w:p>
    <w:p>
      <w:pPr>
        <w:spacing w:after="120"/>
      </w:pPr>
    </w:p>
    <w:p>
      <w:pPr>
        <w:keepNext/>
        <w:spacing w:before="120" w:after="40"/>
      </w:pPr>
      <w:r>
        <w:rPr>
          <w:rFonts w:ascii="Arial" w:hAnsi="Arial"/>
          <w:b/>
          <w:i/>
          <w:color w:val="334155"/>
          <w:sz w:val="22"/>
        </w:rPr>
        <w:t>2.1 Estrutura Linear (Militar/Clássica)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 Central:</w:t>
      </w:r>
      <w:r>
        <w:rPr>
          <w:rFonts w:ascii="Arial" w:hAnsi="Arial"/>
          <w:b w:val="0"/>
          <w:i w:val="0"/>
          <w:color w:val="111827"/>
          <w:sz w:val="22"/>
        </w:rPr>
        <w:t xml:space="preserve"> </w:t>
      </w:r>
      <w:r>
        <w:rPr>
          <w:rFonts w:ascii="Arial" w:hAnsi="Arial"/>
          <w:b/>
          <w:i w:val="0"/>
          <w:color w:val="111827"/>
          <w:sz w:val="22"/>
        </w:rPr>
        <w:t>Unidade de comando absoluta</w:t>
      </w:r>
      <w:r>
        <w:rPr>
          <w:rFonts w:ascii="Arial" w:hAnsi="Arial"/>
          <w:b w:val="0"/>
          <w:i w:val="0"/>
          <w:color w:val="111827"/>
          <w:sz w:val="22"/>
        </w:rPr>
        <w:t xml:space="preserve"> formulada por Henri Fayol: cada subordinado reporta-se única e exclusivamente a um único superior hierárquico direto;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Características:</w:t>
      </w:r>
      <w:r>
        <w:rPr>
          <w:rFonts w:ascii="Arial" w:hAnsi="Arial"/>
          <w:b w:val="0"/>
          <w:i w:val="0"/>
          <w:color w:val="111827"/>
          <w:sz w:val="22"/>
        </w:rPr>
        <w:t xml:space="preserve"> Linhas formais, retas e descendentes de autoridade; centralização radical no topo; formato piramidal rígido;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Vantagens:</w:t>
      </w:r>
      <w:r>
        <w:rPr>
          <w:rFonts w:ascii="Arial" w:hAnsi="Arial"/>
          <w:b w:val="0"/>
          <w:i w:val="0"/>
          <w:color w:val="111827"/>
          <w:sz w:val="22"/>
        </w:rPr>
        <w:t xml:space="preserve"> Clareza de responsabilidades, facilidade de controle e disciplina impecável;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Desvantagens:</w:t>
      </w:r>
      <w:r>
        <w:rPr>
          <w:rFonts w:ascii="Arial" w:hAnsi="Arial"/>
          <w:b w:val="0"/>
          <w:i w:val="0"/>
          <w:color w:val="111827"/>
          <w:sz w:val="22"/>
        </w:rPr>
        <w:t xml:space="preserve"> Rigidez burocrática, morosidade decisória, isolamento departamental e sobrecarga de trabalho do gestor supremo.</w:t>
      </w:r>
    </w:p>
    <w:p>
      <w:pPr>
        <w:keepNext/>
        <w:spacing w:before="120" w:after="40"/>
      </w:pPr>
      <w:r>
        <w:rPr>
          <w:rFonts w:ascii="Arial" w:hAnsi="Arial"/>
          <w:b/>
          <w:i/>
          <w:color w:val="334155"/>
          <w:sz w:val="22"/>
        </w:rPr>
        <w:t>2.2 Estrutura Funcional (Tayloriana)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 Central:</w:t>
      </w:r>
      <w:r>
        <w:rPr>
          <w:rFonts w:ascii="Arial" w:hAnsi="Arial"/>
          <w:b w:val="0"/>
          <w:i w:val="0"/>
          <w:color w:val="111827"/>
          <w:sz w:val="22"/>
        </w:rPr>
        <w:t xml:space="preserve"> </w:t>
      </w:r>
      <w:r>
        <w:rPr>
          <w:rFonts w:ascii="Arial" w:hAnsi="Arial"/>
          <w:b/>
          <w:i w:val="0"/>
          <w:color w:val="111827"/>
          <w:sz w:val="22"/>
        </w:rPr>
        <w:t>Especialização funcional</w:t>
      </w:r>
      <w:r>
        <w:rPr>
          <w:rFonts w:ascii="Arial" w:hAnsi="Arial"/>
          <w:b w:val="0"/>
          <w:i w:val="0"/>
          <w:color w:val="111827"/>
          <w:sz w:val="22"/>
        </w:rPr>
        <w:t xml:space="preserve"> proposta por Frederick Taylor: a autoridade não decorre do posto na linha hierárquica, mas do domínio técnico especializado;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Características:</w:t>
      </w:r>
      <w:r>
        <w:rPr>
          <w:rFonts w:ascii="Arial" w:hAnsi="Arial"/>
          <w:b w:val="0"/>
          <w:i w:val="0"/>
          <w:color w:val="111827"/>
          <w:sz w:val="22"/>
        </w:rPr>
        <w:t xml:space="preserve"> Cada trabalhador reporta-se simultaneamente a vários supervisores especializados (ex.: chefe de qualidade, chefe de manutenção, chefe de prazos);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Vantagens:</w:t>
      </w:r>
      <w:r>
        <w:rPr>
          <w:rFonts w:ascii="Arial" w:hAnsi="Arial"/>
          <w:b w:val="0"/>
          <w:i w:val="0"/>
          <w:color w:val="111827"/>
          <w:sz w:val="22"/>
        </w:rPr>
        <w:t xml:space="preserve"> Máximo aproveitamento do conhecimento técnico especializado e comunicação direta sem intermediários;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Desvantagens:</w:t>
      </w:r>
      <w:r>
        <w:rPr>
          <w:rFonts w:ascii="Arial" w:hAnsi="Arial"/>
          <w:b w:val="0"/>
          <w:i w:val="0"/>
          <w:color w:val="111827"/>
          <w:sz w:val="22"/>
        </w:rPr>
        <w:t xml:space="preserve"> </w:t>
      </w:r>
      <w:r>
        <w:rPr>
          <w:rFonts w:ascii="Arial" w:hAnsi="Arial"/>
          <w:b/>
          <w:i w:val="0"/>
          <w:color w:val="111827"/>
          <w:sz w:val="22"/>
        </w:rPr>
        <w:t>Quebra categórica da unidade de comando</w:t>
      </w:r>
      <w:r>
        <w:rPr>
          <w:rFonts w:ascii="Arial" w:hAnsi="Arial"/>
          <w:b w:val="0"/>
          <w:i w:val="0"/>
          <w:color w:val="111827"/>
          <w:sz w:val="22"/>
        </w:rPr>
        <w:t>, gerando conflitos de prioridades, concorrência entre chefes e confusão de ordens.</w:t>
      </w:r>
    </w:p>
    <w:p>
      <w:pPr>
        <w:keepNext/>
        <w:spacing w:before="120" w:after="40"/>
      </w:pPr>
      <w:r>
        <w:rPr>
          <w:rFonts w:ascii="Arial" w:hAnsi="Arial"/>
          <w:b/>
          <w:i/>
          <w:color w:val="334155"/>
          <w:sz w:val="22"/>
        </w:rPr>
        <w:t>2.3 Estrutura Linha-Staff (Comando e Assessoria)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 Central:</w:t>
      </w:r>
      <w:r>
        <w:rPr>
          <w:rFonts w:ascii="Arial" w:hAnsi="Arial"/>
          <w:b w:val="0"/>
          <w:i w:val="0"/>
          <w:color w:val="111827"/>
          <w:sz w:val="22"/>
        </w:rPr>
        <w:t xml:space="preserve"> Combinação harmônica dos modelos linear e funcional. Os órgãos de </w:t>
      </w:r>
      <w:r>
        <w:rPr>
          <w:rFonts w:ascii="Arial" w:hAnsi="Arial"/>
          <w:b/>
          <w:i w:val="0"/>
          <w:color w:val="111827"/>
          <w:sz w:val="22"/>
        </w:rPr>
        <w:t>linha</w:t>
      </w:r>
      <w:r>
        <w:rPr>
          <w:rFonts w:ascii="Arial" w:hAnsi="Arial"/>
          <w:b w:val="0"/>
          <w:i w:val="0"/>
          <w:color w:val="111827"/>
          <w:sz w:val="22"/>
        </w:rPr>
        <w:t xml:space="preserve"> detêm a autoridade de comando e decisão sobre as atividades-fim da organização; os órgãos de </w:t>
      </w:r>
      <w:r>
        <w:rPr>
          <w:rFonts w:ascii="Arial" w:hAnsi="Arial"/>
          <w:b/>
          <w:i w:val="0"/>
          <w:color w:val="111827"/>
          <w:sz w:val="22"/>
        </w:rPr>
        <w:t>staff (assessoria)</w:t>
      </w:r>
      <w:r>
        <w:rPr>
          <w:rFonts w:ascii="Arial" w:hAnsi="Arial"/>
          <w:b w:val="0"/>
          <w:i w:val="0"/>
          <w:color w:val="111827"/>
          <w:sz w:val="22"/>
        </w:rPr>
        <w:t xml:space="preserve"> prestam serviços especializados, pareceres técnicos, estudos e consultoria às chefias de linha;</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Vantagens:</w:t>
      </w:r>
      <w:r>
        <w:rPr>
          <w:rFonts w:ascii="Arial" w:hAnsi="Arial"/>
          <w:b w:val="0"/>
          <w:i w:val="0"/>
          <w:color w:val="111827"/>
          <w:sz w:val="22"/>
        </w:rPr>
        <w:t xml:space="preserve"> Assegura suporte técnico de alto padrão sem quebrar a unidade de comando de chefia direta;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Desvantagens:</w:t>
      </w:r>
      <w:r>
        <w:rPr>
          <w:rFonts w:ascii="Arial" w:hAnsi="Arial"/>
          <w:b w:val="0"/>
          <w:i w:val="0"/>
          <w:color w:val="111827"/>
          <w:sz w:val="22"/>
        </w:rPr>
        <w:t xml:space="preserve"> Risco constante de atrito e conflito entre os assessores teóricos do </w:t>
      </w:r>
      <w:r>
        <w:rPr>
          <w:rFonts w:ascii="Arial" w:hAnsi="Arial"/>
          <w:b w:val="0"/>
          <w:i/>
          <w:color w:val="111827"/>
          <w:sz w:val="22"/>
        </w:rPr>
        <w:t>staff</w:t>
      </w:r>
      <w:r>
        <w:rPr>
          <w:rFonts w:ascii="Arial" w:hAnsi="Arial"/>
          <w:b w:val="0"/>
          <w:i w:val="0"/>
          <w:color w:val="111827"/>
          <w:sz w:val="22"/>
        </w:rPr>
        <w:t xml:space="preserve"> e os gerentes práticos da </w:t>
      </w:r>
      <w:r>
        <w:rPr>
          <w:rFonts w:ascii="Arial" w:hAnsi="Arial"/>
          <w:b w:val="0"/>
          <w:i/>
          <w:color w:val="111827"/>
          <w:sz w:val="22"/>
        </w:rPr>
        <w:t>linha</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Os órgãos de </w:t>
            </w:r>
            <w:r>
              <w:rPr>
                <w:rFonts w:ascii="Arial" w:hAnsi="Arial"/>
                <w:b w:val="0"/>
                <w:i/>
                <w:color w:val="111827"/>
                <w:sz w:val="21"/>
              </w:rPr>
              <w:t>staff</w:t>
            </w:r>
            <w:r>
              <w:rPr>
                <w:rFonts w:ascii="Arial" w:hAnsi="Arial"/>
                <w:b w:val="0"/>
                <w:i w:val="0"/>
                <w:color w:val="111827"/>
                <w:sz w:val="21"/>
              </w:rPr>
              <w:t xml:space="preserve"> </w:t>
            </w:r>
            <w:r>
              <w:rPr>
                <w:rFonts w:ascii="Arial" w:hAnsi="Arial"/>
                <w:b/>
                <w:i w:val="0"/>
                <w:color w:val="111827"/>
                <w:sz w:val="21"/>
              </w:rPr>
              <w:t>NÃO possuem autoridade de comando</w:t>
            </w:r>
            <w:r>
              <w:rPr>
                <w:rFonts w:ascii="Arial" w:hAnsi="Arial"/>
                <w:b w:val="0"/>
                <w:i w:val="0"/>
                <w:color w:val="111827"/>
                <w:sz w:val="21"/>
              </w:rPr>
              <w:t xml:space="preserve"> sobre o pessoal da linha! Eles prestam consultoria, aconselham e sugerem, mas não têm competência para emitir ordens diretas de execução aos operadores de linha.</w:t>
            </w:r>
          </w:p>
        </w:tc>
      </w:tr>
    </w:tbl>
    <w:p>
      <w:pPr>
        <w:spacing w:before="0" w:after="120"/>
      </w:pPr>
    </w:p>
    <w:p>
      <w:pPr>
        <w:keepNext/>
        <w:spacing w:before="120" w:after="40"/>
      </w:pPr>
      <w:r>
        <w:rPr>
          <w:rFonts w:ascii="Arial" w:hAnsi="Arial"/>
          <w:b/>
          <w:i/>
          <w:color w:val="334155"/>
          <w:sz w:val="22"/>
        </w:rPr>
        <w:t>2.4 Estrutura Matricial (Dupla Subordinação)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 Central:</w:t>
      </w:r>
      <w:r>
        <w:rPr>
          <w:rFonts w:ascii="Arial" w:hAnsi="Arial"/>
          <w:b w:val="0"/>
          <w:i w:val="0"/>
          <w:color w:val="111827"/>
          <w:sz w:val="22"/>
        </w:rPr>
        <w:t xml:space="preserve"> Sobreposição deliberada de uma estrutura temporária de </w:t>
      </w:r>
      <w:r>
        <w:rPr>
          <w:rFonts w:ascii="Arial" w:hAnsi="Arial"/>
          <w:b/>
          <w:i w:val="0"/>
          <w:color w:val="111827"/>
          <w:sz w:val="22"/>
        </w:rPr>
        <w:t>projetos/produtos</w:t>
      </w:r>
      <w:r>
        <w:rPr>
          <w:rFonts w:ascii="Arial" w:hAnsi="Arial"/>
          <w:b w:val="0"/>
          <w:i w:val="0"/>
          <w:color w:val="111827"/>
          <w:sz w:val="22"/>
        </w:rPr>
        <w:t xml:space="preserve"> sobre a estrutura permanente </w:t>
      </w:r>
      <w:r>
        <w:rPr>
          <w:rFonts w:ascii="Arial" w:hAnsi="Arial"/>
          <w:b/>
          <w:i w:val="0"/>
          <w:color w:val="111827"/>
          <w:sz w:val="22"/>
        </w:rPr>
        <w:t>funcional</w:t>
      </w:r>
      <w:r>
        <w:rPr>
          <w:rFonts w:ascii="Arial" w:hAnsi="Arial"/>
          <w:b w:val="0"/>
          <w:i w:val="0"/>
          <w:color w:val="111827"/>
          <w:sz w:val="22"/>
        </w:rPr>
        <w:t xml:space="preserve">. O servidor possui </w:t>
      </w:r>
      <w:r>
        <w:rPr>
          <w:rFonts w:ascii="Arial" w:hAnsi="Arial"/>
          <w:b/>
          <w:i w:val="0"/>
          <w:color w:val="111827"/>
          <w:sz w:val="22"/>
        </w:rPr>
        <w:t>dupla subordinação</w:t>
      </w:r>
      <w:r>
        <w:rPr>
          <w:rFonts w:ascii="Arial" w:hAnsi="Arial"/>
          <w:b w:val="0"/>
          <w:i w:val="0"/>
          <w:color w:val="111827"/>
          <w:sz w:val="22"/>
        </w:rPr>
        <w:t>: responde perante o seu chefe de departamento funcional (ex.: Diretor de TI) e perante o líder do projeto interdisciplinar (ex.: Coordenador do Projeto Nova Sede);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Vantagens:</w:t>
      </w:r>
      <w:r>
        <w:rPr>
          <w:rFonts w:ascii="Arial" w:hAnsi="Arial"/>
          <w:b w:val="0"/>
          <w:i w:val="0"/>
          <w:color w:val="111827"/>
          <w:sz w:val="22"/>
        </w:rPr>
        <w:t xml:space="preserve"> Altíssima flexibilidade, orientação estratégica para resultados e objetivos de longo prazo, cooperação interdisciplinar e resposta ágil a demandas complexas;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Desvantagens:</w:t>
      </w:r>
      <w:r>
        <w:rPr>
          <w:rFonts w:ascii="Arial" w:hAnsi="Arial"/>
          <w:b w:val="0"/>
          <w:i w:val="0"/>
          <w:color w:val="111827"/>
          <w:sz w:val="22"/>
        </w:rPr>
        <w:t xml:space="preserve"> </w:t>
      </w:r>
      <w:r>
        <w:rPr>
          <w:rFonts w:ascii="Arial" w:hAnsi="Arial"/>
          <w:b/>
          <w:i w:val="0"/>
          <w:color w:val="111827"/>
          <w:sz w:val="22"/>
        </w:rPr>
        <w:t>Violação deliberada da unidade de comando</w:t>
      </w:r>
      <w:r>
        <w:rPr>
          <w:rFonts w:ascii="Arial" w:hAnsi="Arial"/>
          <w:b w:val="0"/>
          <w:i w:val="0"/>
          <w:color w:val="111827"/>
          <w:sz w:val="22"/>
        </w:rPr>
        <w:t>: gera insegurança emocional, ansiedade em relação a prazos, disputa de poder entre gestores e excesso de reuniões de alinhamento.</w:t>
      </w:r>
    </w:p>
    <w:p>
      <w:pPr>
        <w:keepNext/>
        <w:spacing w:before="120" w:after="40"/>
      </w:pPr>
      <w:r>
        <w:rPr>
          <w:rFonts w:ascii="Arial" w:hAnsi="Arial"/>
          <w:b/>
          <w:i/>
          <w:color w:val="334155"/>
          <w:sz w:val="22"/>
        </w:rPr>
        <w:t>2.5 Estrutura em Rede (Modular e Desverticalizada)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 Central:</w:t>
      </w:r>
      <w:r>
        <w:rPr>
          <w:rFonts w:ascii="Arial" w:hAnsi="Arial"/>
          <w:b w:val="0"/>
          <w:i w:val="0"/>
          <w:color w:val="111827"/>
          <w:sz w:val="22"/>
        </w:rPr>
        <w:t xml:space="preserve"> Desverticalização organizacional. A entidade mantém um núcleo estratégico enxuto central que coordena uma rede de prestadores de serviços, parceiros, órgãos conveniados e fornecedores externos conectados por tecnologia da informação e contratos;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Vantagens:</w:t>
      </w:r>
      <w:r>
        <w:rPr>
          <w:rFonts w:ascii="Arial" w:hAnsi="Arial"/>
          <w:b w:val="0"/>
          <w:i w:val="0"/>
          <w:color w:val="111827"/>
          <w:sz w:val="22"/>
        </w:rPr>
        <w:t xml:space="preserve"> Custos fixos estruturais mínimos, extrema adaptabilidade a oscilações do ambiente e foco exclusivo nas competências essenciais (</w:t>
      </w:r>
      <w:r>
        <w:rPr>
          <w:rFonts w:ascii="Arial" w:hAnsi="Arial"/>
          <w:b w:val="0"/>
          <w:i/>
          <w:color w:val="111827"/>
          <w:sz w:val="22"/>
        </w:rPr>
        <w:t>core business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Desvantagens:</w:t>
      </w:r>
      <w:r>
        <w:rPr>
          <w:rFonts w:ascii="Arial" w:hAnsi="Arial"/>
          <w:b w:val="0"/>
          <w:i w:val="0"/>
          <w:color w:val="111827"/>
          <w:sz w:val="22"/>
        </w:rPr>
        <w:t xml:space="preserve"> Perda de controle direto sobre a operação, fragilidade na cadeia de suprimentos e dependência excessiva de parceiros externos.</w:t>
      </w:r>
    </w:p>
    <w:p>
      <w:pPr>
        <w:keepNext/>
        <w:spacing w:before="200" w:after="80"/>
      </w:pPr>
      <w:r>
        <w:rPr>
          <w:rFonts w:ascii="Arial" w:hAnsi="Arial"/>
          <w:b/>
          <w:i w:val="0"/>
          <w:color w:val="2B6CB0"/>
          <w:sz w:val="24"/>
        </w:rPr>
        <w:t>3. Critérios de Departamentalização</w:t>
      </w:r>
    </w:p>
    <w:p>
      <w:pPr>
        <w:spacing w:line="360" w:lineRule="auto" w:before="0" w:after="80"/>
        <w:jc w:val="both"/>
      </w:pPr>
      <w:r>
        <w:rPr>
          <w:rFonts w:ascii="Arial" w:hAnsi="Arial"/>
          <w:b w:val="0"/>
          <w:i w:val="0"/>
          <w:color w:val="111827"/>
          <w:sz w:val="24"/>
        </w:rPr>
        <w:t>A departamentalização consiste no agrupamento de atividades, recursos e servidores em unidades organizacionais homogêneas para viabilizar a divisão equilibrada do trabalho:</w:t>
      </w:r>
    </w:p>
    <w:p>
      <w:pPr>
        <w:spacing w:after="120"/>
      </w:pPr>
    </w:p>
    <w:p>
      <w:pPr>
        <w:keepNext/>
        <w:spacing w:before="120" w:after="40"/>
      </w:pPr>
      <w:r>
        <w:rPr>
          <w:rFonts w:ascii="Arial" w:hAnsi="Arial"/>
          <w:b/>
          <w:i/>
          <w:color w:val="334155"/>
          <w:sz w:val="22"/>
        </w:rPr>
        <w:t>3.1 Departamentalização Funcional, Territorial e por Produtos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Funcional:</w:t>
      </w:r>
      <w:r>
        <w:rPr>
          <w:rFonts w:ascii="Arial" w:hAnsi="Arial"/>
          <w:b w:val="0"/>
          <w:i w:val="0"/>
          <w:color w:val="111827"/>
          <w:sz w:val="22"/>
        </w:rPr>
        <w:t xml:space="preserve"> Agrupa servidores que desempenham funções correlatas ou utilizam competências e equipamentos semelhantes (ex.: Secretaria de Estado da Fazenda, Gerência de Recursos Humanos). Propicia economia de escala, mas cria isolamento setorial ("feudos").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Territorial ou Geográfica:</w:t>
      </w:r>
      <w:r>
        <w:rPr>
          <w:rFonts w:ascii="Arial" w:hAnsi="Arial"/>
          <w:b w:val="0"/>
          <w:i w:val="0"/>
          <w:color w:val="111827"/>
          <w:sz w:val="22"/>
        </w:rPr>
        <w:t xml:space="preserve"> Baseia-se na dispersão espacial dos usuários e das atividades (ex.: Delegacias Regionais do Trabalho, Superintendências Regionais do Dnit). Permite adaptação precisa ao contexto local, mas duplica custos de infraestrutura física.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 Produtos ou Serviços:</w:t>
      </w:r>
      <w:r>
        <w:rPr>
          <w:rFonts w:ascii="Arial" w:hAnsi="Arial"/>
          <w:b w:val="0"/>
          <w:i w:val="0"/>
          <w:color w:val="111827"/>
          <w:sz w:val="22"/>
        </w:rPr>
        <w:t xml:space="preserve"> Agrupa atividades em torno das saídas ou linhas de bens produzidos (ex.: numa agência reguladora, diretoria de energia elétrica, diretoria de petróleo e diretoria de biocombustíveis). Fomenta inovação e foco nos resultados do produto, mas encarece a gestão com duplicação de funções de apoio.</w:t>
      </w:r>
    </w:p>
    <w:p>
      <w:pPr>
        <w:keepNext/>
        <w:spacing w:before="120" w:after="40"/>
      </w:pPr>
      <w:r>
        <w:rPr>
          <w:rFonts w:ascii="Arial" w:hAnsi="Arial"/>
          <w:b/>
          <w:i/>
          <w:color w:val="334155"/>
          <w:sz w:val="22"/>
        </w:rPr>
        <w:t>3.2 Departamentalização por Clientes, Processos e Projetos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 Clientes / Cidadãos:</w:t>
      </w:r>
      <w:r>
        <w:rPr>
          <w:rFonts w:ascii="Arial" w:hAnsi="Arial"/>
          <w:b w:val="0"/>
          <w:i w:val="0"/>
          <w:color w:val="111827"/>
          <w:sz w:val="22"/>
        </w:rPr>
        <w:t xml:space="preserve"> Organiza os setores com foco nas características peculiares de segmentos de usuários do serviço público (ex.: Delegacia de Atendimento à Mulher, Promotoria do Idoso). Assegura tratamento prioritário e personalizado ao público-alvo, mas dificulta a coordenação central.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 Processos:</w:t>
      </w:r>
      <w:r>
        <w:rPr>
          <w:rFonts w:ascii="Arial" w:hAnsi="Arial"/>
          <w:b w:val="0"/>
          <w:i w:val="0"/>
          <w:color w:val="111827"/>
          <w:sz w:val="22"/>
        </w:rPr>
        <w:t xml:space="preserve"> Estrutura as unidades segundo a sequência lógica e temporal das etapas de trabalho produtivo (ex.: Protocolo Geral </w:t>
      </w:r>
      <w:r>
        <w:rPr>
          <w:rFonts w:ascii="Cambria Math" w:hAnsi="Cambria Math"/>
          <w:i/>
          <w:color w:val="1B365D"/>
          <w:sz w:val="22"/>
        </w:rPr>
        <w:t>\rightarrow</w:t>
      </w:r>
      <w:r>
        <w:rPr>
          <w:rFonts w:ascii="Arial" w:hAnsi="Arial"/>
          <w:b w:val="0"/>
          <w:i w:val="0"/>
          <w:color w:val="111827"/>
          <w:sz w:val="22"/>
        </w:rPr>
        <w:t xml:space="preserve"> Triagem Documental </w:t>
      </w:r>
      <w:r>
        <w:rPr>
          <w:rFonts w:ascii="Cambria Math" w:hAnsi="Cambria Math"/>
          <w:i/>
          <w:color w:val="1B365D"/>
          <w:sz w:val="22"/>
        </w:rPr>
        <w:t>\rightarrow</w:t>
      </w:r>
      <w:r>
        <w:rPr>
          <w:rFonts w:ascii="Arial" w:hAnsi="Arial"/>
          <w:b w:val="0"/>
          <w:i w:val="0"/>
          <w:color w:val="111827"/>
          <w:sz w:val="22"/>
        </w:rPr>
        <w:t xml:space="preserve"> Instrução Processual </w:t>
      </w:r>
      <w:r>
        <w:rPr>
          <w:rFonts w:ascii="Cambria Math" w:hAnsi="Cambria Math"/>
          <w:i/>
          <w:color w:val="1B365D"/>
          <w:sz w:val="22"/>
        </w:rPr>
        <w:t>\rightarrow</w:t>
      </w:r>
      <w:r>
        <w:rPr>
          <w:rFonts w:ascii="Arial" w:hAnsi="Arial"/>
          <w:b w:val="0"/>
          <w:i w:val="0"/>
          <w:color w:val="111827"/>
          <w:sz w:val="22"/>
        </w:rPr>
        <w:t xml:space="preserve"> Julgamento pelo Tribunal Pleno). Otimiza o fluxo de valor contínuo e a tecnologia de produção, mas é vulnerável a gargalos operacionais em qualquer etapa.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Por Projetos:</w:t>
      </w:r>
      <w:r>
        <w:rPr>
          <w:rFonts w:ascii="Arial" w:hAnsi="Arial"/>
          <w:b w:val="0"/>
          <w:i w:val="0"/>
          <w:color w:val="111827"/>
          <w:sz w:val="22"/>
        </w:rPr>
        <w:t xml:space="preserve"> Agrupamento temporário de recursos e profissionais de diversas especialidades dedicados exclusivamente a entregar um empreendimento único com data de encerramento prefixada (ex.: Comitê de Construção do Novo Prédio do TCE-GO). Ao término do projeto, a equipe é desmobilizada e os membros retornam aos seus órgãos funcionais.</w:t>
      </w:r>
    </w:p>
    <w:p>
      <w:pPr>
        <w:keepNext/>
        <w:spacing w:before="200" w:after="80"/>
      </w:pPr>
      <w:r>
        <w:rPr>
          <w:rFonts w:ascii="Arial" w:hAnsi="Arial"/>
          <w:b/>
          <w:i w:val="0"/>
          <w:color w:val="2B6CB0"/>
          <w:sz w:val="24"/>
        </w:rPr>
        <w:t>4. O Processo Organizacional e as Funções Administrativas (PODC)</w:t>
      </w:r>
    </w:p>
    <w:p>
      <w:pPr>
        <w:spacing w:line="360" w:lineRule="auto" w:before="0" w:after="80"/>
        <w:jc w:val="both"/>
      </w:pPr>
      <w:r>
        <w:rPr>
          <w:rFonts w:ascii="Arial" w:hAnsi="Arial"/>
          <w:b w:val="0"/>
          <w:i w:val="0"/>
          <w:color w:val="111827"/>
          <w:sz w:val="24"/>
        </w:rPr>
        <w:t>A administração moderna concebe o processo organizacional como um fluxo dinâmico, interdependente e contínuo composto por quatro funções clássicas:</w:t>
      </w:r>
    </w:p>
    <w:p>
      <w:pPr>
        <w:spacing w:after="120"/>
      </w:pPr>
    </w:p>
    <w:p>
      <w:pPr>
        <w:keepNext/>
        <w:spacing w:before="120" w:after="40"/>
      </w:pPr>
      <w:r>
        <w:rPr>
          <w:rFonts w:ascii="Arial" w:hAnsi="Arial"/>
          <w:b/>
          <w:i/>
          <w:color w:val="334155"/>
          <w:sz w:val="22"/>
        </w:rPr>
        <w:t>4.1 Planejamento: Estratégico, Tático e Operacional</w:t>
      </w:r>
    </w:p>
    <w:p>
      <w:pPr>
        <w:spacing w:line="360" w:lineRule="auto" w:before="0" w:after="80"/>
        <w:jc w:val="both"/>
      </w:pPr>
      <w:r>
        <w:rPr>
          <w:rFonts w:ascii="Arial" w:hAnsi="Arial"/>
          <w:b w:val="0"/>
          <w:i w:val="0"/>
          <w:color w:val="111827"/>
          <w:sz w:val="24"/>
        </w:rPr>
        <w:t>O planejamento é a função que precede e fundamenta todas as demais, determinando onde a instituição pretende chegar e quais caminhos trilhar:</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Nível de Planejamento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Nível Hierárquico Responsável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Horizonte Temporal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Amplitude e Abrangência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Conteúdo Típico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Estratégico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Alta Administração (Cúpula / Presidência).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Longo Prazo</w:t>
            </w:r>
            <w:r>
              <w:rPr>
                <w:rFonts w:ascii="Arial" w:hAnsi="Arial"/>
                <w:b w:val="0"/>
                <w:i w:val="0"/>
                <w:color w:val="111827"/>
                <w:sz w:val="19"/>
              </w:rPr>
              <w:t xml:space="preserve"> (4 a 8 anos).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Abrange a </w:t>
            </w:r>
            <w:r>
              <w:rPr>
                <w:rFonts w:ascii="Arial" w:hAnsi="Arial"/>
                <w:b/>
                <w:i w:val="0"/>
                <w:color w:val="111827"/>
                <w:sz w:val="19"/>
              </w:rPr>
              <w:t>instituição como um todo</w:t>
            </w:r>
            <w:r>
              <w:rPr>
                <w:rFonts w:ascii="Arial" w:hAnsi="Arial"/>
                <w:b w:val="0"/>
                <w:i w:val="0"/>
                <w:color w:val="111827"/>
                <w:sz w:val="19"/>
              </w:rPr>
              <w:t xml:space="preserve"> em sua relação com o ambiente externo.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Missão, Visão de Futuro, Valores, Objetivos Estratégicos e Plano de Metas Global.</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Tático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Gerências Intermediárias (Diretorias).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Médio Prazo</w:t>
            </w:r>
            <w:r>
              <w:rPr>
                <w:rFonts w:ascii="Arial" w:hAnsi="Arial"/>
                <w:b w:val="0"/>
                <w:i w:val="0"/>
                <w:color w:val="111827"/>
                <w:sz w:val="19"/>
              </w:rPr>
              <w:t xml:space="preserve"> (1 a 3 anos).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Abrange cada </w:t>
            </w:r>
            <w:r>
              <w:rPr>
                <w:rFonts w:ascii="Arial" w:hAnsi="Arial"/>
                <w:b/>
                <w:i w:val="0"/>
                <w:color w:val="111827"/>
                <w:sz w:val="19"/>
              </w:rPr>
              <w:t>unidade ou departamento funcional</w:t>
            </w:r>
            <w:r>
              <w:rPr>
                <w:rFonts w:ascii="Arial" w:hAnsi="Arial"/>
                <w:b w:val="0"/>
                <w:i w:val="0"/>
                <w:color w:val="111827"/>
                <w:sz w:val="19"/>
              </w:rPr>
              <w:t xml:space="preserve"> isoladamente.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Planos setoriais (RH, TI, Logística), alocação departamental de recursos e metas intermediárias.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Operacional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Supervisores e Equipes Operacionais.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Curto Prazo</w:t>
            </w:r>
            <w:r>
              <w:rPr>
                <w:rFonts w:ascii="Arial" w:hAnsi="Arial"/>
                <w:b w:val="0"/>
                <w:i w:val="0"/>
                <w:color w:val="111827"/>
                <w:sz w:val="19"/>
              </w:rPr>
              <w:t xml:space="preserve"> (dias, semanas, meses).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Focado em </w:t>
            </w:r>
            <w:r>
              <w:rPr>
                <w:rFonts w:ascii="Arial" w:hAnsi="Arial"/>
                <w:b/>
                <w:i w:val="0"/>
                <w:color w:val="111827"/>
                <w:sz w:val="19"/>
              </w:rPr>
              <w:t>tarefas, procedimentos e rotinas específicas</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Procedimentos Operacionais Padrão (POP), rotinas de atendimento, escalas diárias e cronogramas.</w:t>
            </w:r>
          </w:p>
        </w:tc>
      </w:tr>
    </w:tbl>
    <w:p>
      <w:pPr>
        <w:spacing w:after="120"/>
      </w:pPr>
    </w:p>
    <w:p>
      <w:pPr>
        <w:keepNext/>
        <w:spacing w:before="120" w:after="40"/>
      </w:pPr>
      <w:r>
        <w:rPr>
          <w:rFonts w:ascii="Arial" w:hAnsi="Arial"/>
          <w:b/>
          <w:i/>
          <w:color w:val="334155"/>
          <w:sz w:val="22"/>
        </w:rPr>
        <w:t>4.2 Organização: Distribuição de Tarefas, Autoridade e Recursos</w:t>
      </w:r>
    </w:p>
    <w:p>
      <w:pPr>
        <w:spacing w:line="360" w:lineRule="auto" w:before="0" w:after="80"/>
        <w:jc w:val="both"/>
      </w:pPr>
      <w:r>
        <w:rPr>
          <w:rFonts w:ascii="Arial" w:hAnsi="Arial"/>
          <w:b w:val="0"/>
          <w:i w:val="0"/>
          <w:color w:val="111827"/>
          <w:sz w:val="24"/>
        </w:rPr>
        <w:t>Função responsável pela modelagem dos órgãos, desenho de cargos, atribuição de responsabilidades, alocação de recursos financeiros e materiais e estabelecimento de relações formais de cooperação e subordinação para que os planos possam ser implementados com eficácia.</w:t>
      </w:r>
    </w:p>
    <w:p>
      <w:pPr>
        <w:keepNext/>
        <w:spacing w:before="120" w:after="40"/>
      </w:pPr>
      <w:r>
        <w:rPr>
          <w:rFonts w:ascii="Arial" w:hAnsi="Arial"/>
          <w:b/>
          <w:i/>
          <w:color w:val="334155"/>
          <w:sz w:val="22"/>
        </w:rPr>
        <w:t>4.3 Direção, Liderança e Comunicação Organizacional</w:t>
      </w:r>
    </w:p>
    <w:p>
      <w:pPr>
        <w:spacing w:line="360" w:lineRule="auto" w:before="0" w:after="80"/>
        <w:jc w:val="both"/>
      </w:pPr>
      <w:r>
        <w:rPr>
          <w:rFonts w:ascii="Arial" w:hAnsi="Arial"/>
          <w:b w:val="0"/>
          <w:i w:val="0"/>
          <w:color w:val="111827"/>
          <w:sz w:val="24"/>
        </w:rPr>
        <w:t xml:space="preserve">A função de </w:t>
      </w:r>
      <w:r>
        <w:rPr>
          <w:rFonts w:ascii="Arial" w:hAnsi="Arial"/>
          <w:b/>
          <w:i w:val="0"/>
          <w:color w:val="111827"/>
          <w:sz w:val="24"/>
        </w:rPr>
        <w:t>Direção</w:t>
      </w:r>
      <w:r>
        <w:rPr>
          <w:rFonts w:ascii="Arial" w:hAnsi="Arial"/>
          <w:b w:val="0"/>
          <w:i w:val="0"/>
          <w:color w:val="111827"/>
          <w:sz w:val="24"/>
        </w:rPr>
        <w:t xml:space="preserve"> dinamiza a organização, orientando e influenciando as pessoas para que desempenhem com zelo suas atribuições: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Liderança e Motivação:</w:t>
      </w:r>
      <w:r>
        <w:rPr>
          <w:rFonts w:ascii="Arial" w:hAnsi="Arial"/>
          <w:b w:val="0"/>
          <w:i w:val="0"/>
          <w:color w:val="111827"/>
          <w:sz w:val="22"/>
        </w:rPr>
        <w:t xml:space="preserve"> Condução de equipes através de estilos de liderança (autocrático, democrático e liberal/laissez-faire) e compreensão dos fatores motivacionais de servidores públicos (Teoria dos Dois Fatores de Herzberg, Teoria das Necessidades de Maslow);</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Comunicação Organizacional e seus Fluxos: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Fluxo Descendente (Top-Down):</w:t>
      </w:r>
      <w:r>
        <w:rPr>
          <w:rFonts w:ascii="Arial" w:hAnsi="Arial"/>
          <w:b w:val="0"/>
          <w:i w:val="0"/>
          <w:color w:val="111827"/>
          <w:sz w:val="22"/>
        </w:rPr>
        <w:t xml:space="preserve"> Da chefia superior para a base operacional (ordens de serviço, diretrizes institucionais, metas e instruções normativas);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Fluxo Ascendente (Bottom-Up):</w:t>
      </w:r>
      <w:r>
        <w:rPr>
          <w:rFonts w:ascii="Arial" w:hAnsi="Arial"/>
          <w:b w:val="0"/>
          <w:i w:val="0"/>
          <w:color w:val="111827"/>
          <w:sz w:val="22"/>
        </w:rPr>
        <w:t xml:space="preserve"> Da base operacional para a cúpula (relatórios de progresso, sugestões de melhoria, dúvidas e recursos administrativos);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Fluxo Horizontal (Lateral):</w:t>
      </w:r>
      <w:r>
        <w:rPr>
          <w:rFonts w:ascii="Arial" w:hAnsi="Arial"/>
          <w:b w:val="0"/>
          <w:i w:val="0"/>
          <w:color w:val="111827"/>
          <w:sz w:val="22"/>
        </w:rPr>
        <w:t xml:space="preserve"> Entre servidores ou unidades situados no mesmo nível hierárquico (coordenação interdisciplinar e cooperação técnica);</w:t>
      </w:r>
    </w:p>
    <w:p>
      <w:pPr>
        <w:spacing w:line="276" w:lineRule="auto" w:before="20" w:after="40"/>
        <w:ind w:left="992"/>
      </w:pPr>
      <w:r>
        <w:rPr>
          <w:rFonts w:ascii="Arial" w:hAnsi="Arial"/>
          <w:b/>
          <w:color w:val="2B6CB0"/>
          <w:sz w:val="22"/>
        </w:rPr>
        <w:t xml:space="preserve">• </w:t>
      </w:r>
      <w:r>
        <w:rPr>
          <w:rFonts w:ascii="Arial" w:hAnsi="Arial"/>
          <w:b/>
          <w:i w:val="0"/>
          <w:color w:val="111827"/>
          <w:sz w:val="22"/>
        </w:rPr>
        <w:t>Fluxo Diagonal:</w:t>
      </w:r>
      <w:r>
        <w:rPr>
          <w:rFonts w:ascii="Arial" w:hAnsi="Arial"/>
          <w:b w:val="0"/>
          <w:i w:val="0"/>
          <w:color w:val="111827"/>
          <w:sz w:val="22"/>
        </w:rPr>
        <w:t xml:space="preserve"> Atravessa diferentes setores e diferentes níveis hierárquicos simultaneamente (agiliza soluções de problemas complexos);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Barreiras Comunicacionais:</w:t>
      </w:r>
      <w:r>
        <w:rPr>
          <w:rFonts w:ascii="Arial" w:hAnsi="Arial"/>
          <w:b w:val="0"/>
          <w:i w:val="0"/>
          <w:color w:val="111827"/>
          <w:sz w:val="22"/>
        </w:rPr>
        <w:t xml:space="preserve"> Ruídos que prejudicam a decodificação da mensagem:</w:t>
      </w:r>
    </w:p>
    <w:p>
      <w:pPr>
        <w:spacing w:line="276" w:lineRule="auto" w:before="20" w:after="40"/>
        <w:ind w:left="992"/>
      </w:pPr>
      <w:r>
        <w:rPr>
          <w:rFonts w:ascii="Arial" w:hAnsi="Arial"/>
          <w:b/>
          <w:color w:val="2B6CB0"/>
          <w:sz w:val="22"/>
        </w:rPr>
        <w:t xml:space="preserve">• </w:t>
      </w:r>
      <w:r>
        <w:rPr>
          <w:rFonts w:ascii="Arial" w:hAnsi="Arial"/>
          <w:b w:val="0"/>
          <w:i/>
          <w:color w:val="111827"/>
          <w:sz w:val="22"/>
        </w:rPr>
        <w:t>Físicas:</w:t>
      </w:r>
      <w:r>
        <w:rPr>
          <w:rFonts w:ascii="Arial" w:hAnsi="Arial"/>
          <w:b w:val="0"/>
          <w:i w:val="0"/>
          <w:color w:val="111827"/>
          <w:sz w:val="22"/>
        </w:rPr>
        <w:t xml:space="preserve"> Barulho ambiente, interferência técnica em equipamentos e falhas de rede;</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Semânticas:</w:t>
      </w:r>
      <w:r>
        <w:rPr>
          <w:rFonts w:ascii="Arial" w:hAnsi="Arial"/>
          <w:b w:val="0"/>
          <w:i w:val="0"/>
          <w:color w:val="111827"/>
          <w:sz w:val="22"/>
        </w:rPr>
        <w:t xml:space="preserve"> Diferenças de vocabulário, termos técnicos ou jurídicos herméticos inacessíveis ao receptor;</w:t>
      </w:r>
    </w:p>
    <w:p>
      <w:pPr>
        <w:spacing w:line="276" w:lineRule="auto" w:before="20" w:after="40"/>
        <w:ind w:left="992"/>
      </w:pPr>
      <w:r>
        <w:rPr>
          <w:rFonts w:ascii="Arial" w:hAnsi="Arial"/>
          <w:b/>
          <w:color w:val="2B6CB0"/>
          <w:sz w:val="22"/>
        </w:rPr>
        <w:t xml:space="preserve">• </w:t>
      </w:r>
      <w:r>
        <w:rPr>
          <w:rFonts w:ascii="Arial" w:hAnsi="Arial"/>
          <w:b w:val="0"/>
          <w:i/>
          <w:color w:val="111827"/>
          <w:sz w:val="22"/>
        </w:rPr>
        <w:t>Psicológicas:</w:t>
      </w:r>
      <w:r>
        <w:rPr>
          <w:rFonts w:ascii="Arial" w:hAnsi="Arial"/>
          <w:b w:val="0"/>
          <w:i w:val="0"/>
          <w:color w:val="111827"/>
          <w:sz w:val="22"/>
        </w:rPr>
        <w:t xml:space="preserve"> Preconceitos, desconfiança, filtros seletivos e viés perceptivo do interlocutor.</w:t>
      </w:r>
    </w:p>
    <w:p>
      <w:pPr>
        <w:keepNext/>
        <w:spacing w:before="120" w:after="40"/>
      </w:pPr>
      <w:r>
        <w:rPr>
          <w:rFonts w:ascii="Arial" w:hAnsi="Arial"/>
          <w:b/>
          <w:i/>
          <w:color w:val="334155"/>
          <w:sz w:val="22"/>
        </w:rPr>
        <w:t>4.4 Controle: Padrões, Medição e Momentos de Atuação (Prévio, Concomitante e Posterior)</w:t>
      </w:r>
    </w:p>
    <w:p>
      <w:pPr>
        <w:spacing w:line="360" w:lineRule="auto" w:before="0" w:after="80"/>
        <w:jc w:val="both"/>
      </w:pPr>
      <w:r>
        <w:rPr>
          <w:rFonts w:ascii="Arial" w:hAnsi="Arial"/>
          <w:b w:val="0"/>
          <w:i w:val="0"/>
          <w:color w:val="111827"/>
          <w:sz w:val="24"/>
        </w:rPr>
        <w:t>O controle assegura que o desempenho real esteja em consonância com o que foi previamente planejado: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Estabelecimento de Padrões de Desempenho:</w:t>
      </w:r>
      <w:r>
        <w:rPr>
          <w:rFonts w:ascii="Arial" w:hAnsi="Arial"/>
          <w:b w:val="0"/>
          <w:i w:val="0"/>
          <w:color w:val="111827"/>
          <w:sz w:val="22"/>
        </w:rPr>
        <w:t xml:space="preserve"> Fixação prévia de metas, indicadores e prazos;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Medição do Desempenho Real:</w:t>
      </w:r>
      <w:r>
        <w:rPr>
          <w:rFonts w:ascii="Arial" w:hAnsi="Arial"/>
          <w:b w:val="0"/>
          <w:i w:val="0"/>
          <w:color w:val="111827"/>
          <w:sz w:val="22"/>
        </w:rPr>
        <w:t xml:space="preserve"> Obtenção de dados tempestivos sobre o andamento dos processos;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Comparação entre Desempenho Real e Padrão:</w:t>
      </w:r>
      <w:r>
        <w:rPr>
          <w:rFonts w:ascii="Arial" w:hAnsi="Arial"/>
          <w:b w:val="0"/>
          <w:i w:val="0"/>
          <w:color w:val="111827"/>
          <w:sz w:val="22"/>
        </w:rPr>
        <w:t xml:space="preserve"> Identificação de variações, desvios e erros;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Ação Corretiva:</w:t>
      </w:r>
      <w:r>
        <w:rPr>
          <w:rFonts w:ascii="Arial" w:hAnsi="Arial"/>
          <w:b w:val="0"/>
          <w:i w:val="0"/>
          <w:color w:val="111827"/>
          <w:sz w:val="22"/>
        </w:rPr>
        <w:t xml:space="preserve"> Intervenção tempestiva para reorientar a execução ou reajustar o planejamento original.</w:t>
      </w:r>
    </w:p>
    <w:p>
      <w:pPr>
        <w:keepNext/>
        <w:spacing w:before="120" w:after="40"/>
      </w:pPr>
      <w:r>
        <w:rPr>
          <w:rFonts w:ascii="Arial" w:hAnsi="Arial"/>
          <w:b/>
          <w:i/>
          <w:color w:val="334155"/>
          <w:sz w:val="22"/>
        </w:rPr>
        <w:t>Momentos Temporais do Controle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Controle Prévio (Preventivo / Ex Ante):</w:t>
      </w:r>
      <w:r>
        <w:rPr>
          <w:rFonts w:ascii="Arial" w:hAnsi="Arial"/>
          <w:b w:val="0"/>
          <w:i w:val="0"/>
          <w:color w:val="111827"/>
          <w:sz w:val="22"/>
        </w:rPr>
        <w:t xml:space="preserve"> Antecipa-se aos fatos para impedir irregularidades ou desvios (ex.: exigência de certidões de regularidade fiscal e habilitação técnica antes de assinar contrato, estimativa orçamentária prévia);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Controle Concomitante (Diretivo / Em Tempo Real):</w:t>
      </w:r>
      <w:r>
        <w:rPr>
          <w:rFonts w:ascii="Arial" w:hAnsi="Arial"/>
          <w:b w:val="0"/>
          <w:i w:val="0"/>
          <w:color w:val="111827"/>
          <w:sz w:val="22"/>
        </w:rPr>
        <w:t xml:space="preserve"> Acompanha a execução física e financeira no momento em que ela está ocorrendo (ex.: fiscalização presencial de obra pública, medições parciais de cronograma);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Controle Posterior (Corretivo / Ex Post):</w:t>
      </w:r>
      <w:r>
        <w:rPr>
          <w:rFonts w:ascii="Arial" w:hAnsi="Arial"/>
          <w:b w:val="0"/>
          <w:i w:val="0"/>
          <w:color w:val="111827"/>
          <w:sz w:val="22"/>
        </w:rPr>
        <w:t xml:space="preserve"> Incide após a conclusão da ação ou do ciclo de gestão para auditar a conformidade e os resultados alcançados (ex.: prestação anual de contas julgada pelo Tribunal de Contas, processo disciplinar por desvio de conduta).</w:t>
      </w:r>
    </w:p>
    <w:p>
      <w:pPr>
        <w:keepNext/>
        <w:spacing w:before="200" w:after="80"/>
      </w:pPr>
      <w:r>
        <w:rPr>
          <w:rFonts w:ascii="Arial" w:hAnsi="Arial"/>
          <w:b/>
          <w:i w:val="0"/>
          <w:color w:val="2B6CB0"/>
          <w:sz w:val="24"/>
        </w:rPr>
        <w:t>5. Gestão Pública vs. Gestão Privada: Convergências e Diferenças</w:t>
      </w: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 de Análise</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Gestão Pública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Gestão Privada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Princípio da Legalidade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Legalidade Estrita (Art. 37 da CF):</w:t>
            </w:r>
            <w:r>
              <w:rPr>
                <w:rFonts w:ascii="Arial" w:hAnsi="Arial"/>
                <w:b w:val="0"/>
                <w:i w:val="0"/>
                <w:color w:val="111827"/>
                <w:sz w:val="19"/>
              </w:rPr>
              <w:t xml:space="preserve"> O gestor só pode fazer o que a lei expressamente autoriza ou determina.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Autonomia da Vontade (Art. 5º, II da CF):</w:t>
            </w:r>
            <w:r>
              <w:rPr>
                <w:rFonts w:ascii="Arial" w:hAnsi="Arial"/>
                <w:b w:val="0"/>
                <w:i w:val="0"/>
                <w:color w:val="111827"/>
                <w:sz w:val="19"/>
              </w:rPr>
              <w:t xml:space="preserve"> A empresa pode fazer tudo o que a lei não proíbe.</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Objetivo Primordial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Promoção do </w:t>
            </w:r>
            <w:r>
              <w:rPr>
                <w:rFonts w:ascii="Arial" w:hAnsi="Arial"/>
                <w:b/>
                <w:i w:val="0"/>
                <w:color w:val="111827"/>
                <w:sz w:val="19"/>
              </w:rPr>
              <w:t>bem comum</w:t>
            </w:r>
            <w:r>
              <w:rPr>
                <w:rFonts w:ascii="Arial" w:hAnsi="Arial"/>
                <w:b w:val="0"/>
                <w:i w:val="0"/>
                <w:color w:val="111827"/>
                <w:sz w:val="19"/>
              </w:rPr>
              <w:t>, satisfação de necessidades coletivas e justiça social.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Maximização do </w:t>
            </w:r>
            <w:r>
              <w:rPr>
                <w:rFonts w:ascii="Arial" w:hAnsi="Arial"/>
                <w:b/>
                <w:i w:val="0"/>
                <w:color w:val="111827"/>
                <w:sz w:val="19"/>
              </w:rPr>
              <w:t>lucro financeiro</w:t>
            </w:r>
            <w:r>
              <w:rPr>
                <w:rFonts w:ascii="Arial" w:hAnsi="Arial"/>
                <w:b w:val="0"/>
                <w:i w:val="0"/>
                <w:color w:val="111827"/>
                <w:sz w:val="19"/>
              </w:rPr>
              <w:t>, participação de mercado e retorno aos investidores.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Recursos Financeiros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Receitas públicas derivadas (tributos arrecadados coercitivamente da sociedade).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Preços de venda de produtos e serviços cobrados em regime de concorrência de mercado.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Regime de Pessoal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Regime jurídico estatutário (ou celetista público), com </w:t>
            </w:r>
            <w:r>
              <w:rPr>
                <w:rFonts w:ascii="Arial" w:hAnsi="Arial"/>
                <w:b/>
                <w:i w:val="0"/>
                <w:color w:val="111827"/>
                <w:sz w:val="19"/>
              </w:rPr>
              <w:t>investidura obrigatória por concurso público</w:t>
            </w:r>
            <w:r>
              <w:rPr>
                <w:rFonts w:ascii="Arial" w:hAnsi="Arial"/>
                <w:b w:val="0"/>
                <w:i w:val="0"/>
                <w:color w:val="111827"/>
                <w:sz w:val="19"/>
              </w:rPr>
              <w:t xml:space="preserve"> e estabilidade.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Regime celetista comum (CLT), com contratações e demissões discricionárias segundo a demanda.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Sistema de Controle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Submissão a rígido </w:t>
            </w:r>
            <w:r>
              <w:rPr>
                <w:rFonts w:ascii="Arial" w:hAnsi="Arial"/>
                <w:b/>
                <w:i w:val="0"/>
                <w:color w:val="111827"/>
                <w:sz w:val="19"/>
              </w:rPr>
              <w:t>controle externo</w:t>
            </w:r>
            <w:r>
              <w:rPr>
                <w:rFonts w:ascii="Arial" w:hAnsi="Arial"/>
                <w:b w:val="0"/>
                <w:i w:val="0"/>
                <w:color w:val="111827"/>
                <w:sz w:val="19"/>
              </w:rPr>
              <w:t xml:space="preserve"> (Poder Legislativo auxiliado pelo Tribunal de Contas, Ministério Público e cidadãos).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Submissão a controles societários internos (Conselho de Administração, acionistas e auditorias privadas).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Convergências Modernas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Adoção de técnicas de gestão por processos, governança, foco no usuário-cidadão e busca contínua por eficiência e qualidade.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Responsabilidade socioambiental (ESG), governança corporativa e conformidade com normas regulatórias (</w:t>
            </w:r>
            <w:r>
              <w:rPr>
                <w:rFonts w:ascii="Arial" w:hAnsi="Arial"/>
                <w:b w:val="0"/>
                <w:i/>
                <w:color w:val="111827"/>
                <w:sz w:val="19"/>
              </w:rPr>
              <w:t>compliance</w:t>
            </w:r>
            <w:r>
              <w:rPr>
                <w:rFonts w:ascii="Arial" w:hAnsi="Arial"/>
                <w:b w:val="0"/>
                <w:i w:val="0"/>
                <w:color w:val="111827"/>
                <w:sz w:val="19"/>
              </w:rPr>
              <w:t>).</w:t>
            </w:r>
          </w:p>
        </w:tc>
      </w:tr>
    </w:tbl>
    <w:p>
      <w:pPr>
        <w:spacing w:after="120"/>
      </w:pPr>
    </w:p>
    <w:p>
      <w:pPr>
        <w:keepNext/>
        <w:spacing w:before="280" w:after="120"/>
      </w:pPr>
      <w:r>
        <w:rPr>
          <w:rFonts w:ascii="Arial" w:hAnsi="Arial"/>
          <w:b/>
          <w:i w:val="0"/>
          <w:color w:val="2C5282"/>
          <w:sz w:val="28"/>
        </w:rPr>
        <w:t>🌐 Fontes Oficiais &amp;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CHIAVENATO, Idalberto. Introdução à Teoria Geral da Administração: Uma visão abrangente da moderna administração das organizações. 10ª Edição.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Estrutura organizacional, amplitude administrativa e funções administrativas (PODC).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MAXIMIANO, Antonio Cesar Amaru. Teoria Geral da Administração: da revolução urbana à revolução digital. Editora Atlas.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Modelagem estrutural, centralização, departamentalização e fluxos comunicacionais.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da República Federativa do Brasil de 1988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Art. 37 (Princípios da Administração Pública e Concurso Público).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Cadernos ENAP (Escola Nacional de Administração Pública)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Textos de referência sobre Organização do Estado e Gestão Pública Contemporânea.</w:t>
      </w:r>
    </w:p>
    <w:p>
      <w:pPr>
        <w:keepNext/>
        <w:spacing w:before="280" w:after="120"/>
      </w:pPr>
      <w:r>
        <w:rPr>
          <w:rFonts w:ascii="Arial" w:hAnsi="Arial"/>
          <w:b/>
          <w:i w:val="0"/>
          <w:color w:val="2C5282"/>
          <w:sz w:val="28"/>
        </w:rPr>
        <w:t>📝 Questões Comentadas no Padrão FCC</w:t>
      </w:r>
    </w:p>
    <w:p>
      <w:pPr>
        <w:keepNext/>
        <w:spacing w:before="200" w:after="80"/>
      </w:pPr>
      <w:r>
        <w:rPr>
          <w:rFonts w:ascii="Arial" w:hAnsi="Arial"/>
          <w:b/>
          <w:i w:val="0"/>
          <w:color w:val="2B6CB0"/>
          <w:sz w:val="24"/>
        </w:rPr>
        <w:t>Questão 1 (FCC – TCE-PI – Auditor de Controle Externo)</w:t>
      </w:r>
    </w:p>
    <w:p>
      <w:pPr>
        <w:spacing w:line="360" w:lineRule="auto" w:before="0" w:after="80"/>
        <w:jc w:val="both"/>
      </w:pPr>
      <w:r>
        <w:rPr>
          <w:rFonts w:ascii="Arial" w:hAnsi="Arial"/>
          <w:b w:val="0"/>
          <w:i w:val="0"/>
          <w:color w:val="111827"/>
          <w:sz w:val="24"/>
        </w:rPr>
        <w:t>Determinada autarquia estadual de regulação de transportes estruturou suas equipes de fiscalização agrupando os servidores em torno de projetos especiais com prazos pré-fixados, mantendo concomitantemente as diretorias técnicas fixas de engenharia, finanças e tecnologia. Nesse modelo, os auditores reportam-se tanto ao coordenador do projeto específico quanto ao diretor da sua respectiva área técnica de origem. Trata-se de típica estrutura organizacional: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Linear.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Funcional pura.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Matricial.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Linha-staff.</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Colegiada.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estrutura linear fundamenta-se na unidade de comando irrestrita, com linhas únicas, diretas e verticais de chefia.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estrutura funcional fraciona a autoridade de acordo com a especialidade funcional, mas não sobrepõe gerências temporárias de projetos a departamentos fixos.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estrutura matricial caracteriza-se essencialmente pela combinação bidimensional de uma estrutura funcional permanente com gerências de projetos temporárias, resultando na </w:t>
            </w:r>
            <w:r>
              <w:rPr>
                <w:rFonts w:ascii="Arial" w:hAnsi="Arial"/>
                <w:b/>
                <w:i w:val="0"/>
                <w:color w:val="111827"/>
                <w:sz w:val="21"/>
              </w:rPr>
              <w:t>dupla subordinação</w:t>
            </w:r>
            <w:r>
              <w:rPr>
                <w:rFonts w:ascii="Arial" w:hAnsi="Arial"/>
                <w:b w:val="0"/>
                <w:i w:val="0"/>
                <w:color w:val="111827"/>
                <w:sz w:val="21"/>
              </w:rPr>
              <w:t xml:space="preserve"> dos colaboradores (ao líder do projeto e ao chefe funcional da sua área técnica).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Na estrutura linha-staff, os órgãos de staff prestam consultoria técnica aos órgãos de linha, sem haver comando duplo de projetos sobre colaboradores operacionais.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Estrutura colegiada refere-se à tomada de decisão por órgão consultivo ou deliberativo coletivo (ex.: Tribunal Pleno, Conselhos de Administração).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TCE-RS – Auditor de Controle Externo)</w:t>
      </w:r>
    </w:p>
    <w:p>
      <w:pPr>
        <w:spacing w:line="360" w:lineRule="auto" w:before="0" w:after="80"/>
        <w:jc w:val="both"/>
      </w:pPr>
      <w:r>
        <w:rPr>
          <w:rFonts w:ascii="Arial" w:hAnsi="Arial"/>
          <w:b w:val="0"/>
          <w:i w:val="0"/>
          <w:color w:val="111827"/>
          <w:sz w:val="24"/>
        </w:rPr>
        <w:t>A respeito das funções do processo administrativo (planejamento, organização, direção e controle) e das diferenças entre a gestão pública e a gestão privada,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função administrativa de planejamento restringe-se ao nível operacional da instituição, cabendo à função de organização a definição das metas estratégicas de longo prazo.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gestão pública e a gestão privada diferenciam-se essencialmente pelo regime de legalidade, na medida em que, na administração pública, o administrador só pode fazer o que a lei expressamente autoriza ou determina.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controle é a primeira função administrativa a ser desempenhada no processo de trabalho, dispensando a existência de padrões prévios fixados no planejamento.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amplitude de controle administrativa define a quantidade total de departamentos existentes na organização, independentemente do número de subordinados por chefia.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 organizações privadas submetem-se ao mesmo regime de recrutamento universal mediante concurso público imposto pela Constituição aos órgãos estatais.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planejamento abrange três horizontes: estratégico (longo prazo), tático (médio prazo) e operacional (curto prazo). A fixação de metas institucionais pertence ao planejamento estratégico, e não à organização.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Essa é a distinção jurídica clássica: na gestão privada vigora a autonomia da vontade (fazer tudo que a lei não proíbe - Art. 5º, II da CF), enquanto na administração pública incide o princípio da legalidade estrita (o agente só pode agir de acordo com o que a lei expressamente autoriza ou determina - Art. 37, caput da CF).</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planejamento é a primeira função administrativa. O controle depende da existência prévia de metas e padrões para aferir desvios e corrigi-los.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Amplitude de controle administrativo mede o número de subordinados atribuídos diretamente a cada supervisor ou gestor.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dever de concurso público é imposto pela CF/88 (art. 37, II) exclusivamente para a investidura em cargos e empregos públicos da Administração Direta e Indireta.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TRT-2ª Região – Analista Judiciário: Área Administrativa)</w:t>
      </w:r>
    </w:p>
    <w:p>
      <w:pPr>
        <w:spacing w:line="360" w:lineRule="auto" w:before="0" w:after="80"/>
        <w:jc w:val="both"/>
      </w:pPr>
      <w:r>
        <w:rPr>
          <w:rFonts w:ascii="Arial" w:hAnsi="Arial"/>
          <w:b w:val="0"/>
          <w:i w:val="0"/>
          <w:color w:val="111827"/>
          <w:sz w:val="24"/>
        </w:rPr>
        <w:t>Considere uma organização pública estadual que decida reduzir o número de seus escalões hierárquicos intermediários de sete para apenas três níveis, mantendo o mesmo quantitativo total de servidores em seus quadros operacionais. Sob a ótica da teoria da organização formal, essa reforma provocará:</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estreitamento da amplitude de controle e a verticalização da estrutura organizacional.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eliminação da divisão do trabalho e a conversão automática para a estrutura linear pura.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alargamento da amplitude de controle dos gestores e o achatamento (horizontalização) da estrutura organizacional.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centralização absoluta de todas as decisões na cúpula diretiva em razão do aumento do número de chefes.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transformação imediata do modelo organizacional em departamentalização estritamente geográfica.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Reduzir escalões faz o oposto: alarga a amplitude de controle e horizontaliza a estrutura.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divisão do trabalho permanece; ela não depende da quantidade de níveis hierárquicos.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Ao reduzir os níveis intermediários sem diminuir o total de subordinados, cada gestor remanescente passará a chefiar um contingente maior de pessoas (</w:t>
            </w:r>
            <w:r>
              <w:rPr>
                <w:rFonts w:ascii="Arial" w:hAnsi="Arial"/>
                <w:b/>
                <w:i w:val="0"/>
                <w:color w:val="111827"/>
                <w:sz w:val="21"/>
              </w:rPr>
              <w:t>alargamento da amplitude administrativa</w:t>
            </w:r>
            <w:r>
              <w:rPr>
                <w:rFonts w:ascii="Arial" w:hAnsi="Arial"/>
                <w:b w:val="0"/>
                <w:i w:val="0"/>
                <w:color w:val="111827"/>
                <w:sz w:val="21"/>
              </w:rPr>
              <w:t xml:space="preserve">). Como consequência direta, a organização torna-se </w:t>
            </w:r>
            <w:r>
              <w:rPr>
                <w:rFonts w:ascii="Arial" w:hAnsi="Arial"/>
                <w:b/>
                <w:i w:val="0"/>
                <w:color w:val="111827"/>
                <w:sz w:val="21"/>
              </w:rPr>
              <w:t>achatada (plana/horizontalizada)</w:t>
            </w:r>
            <w:r>
              <w:rPr>
                <w:rFonts w:ascii="Arial" w:hAnsi="Arial"/>
                <w:b w:val="0"/>
                <w:i w:val="0"/>
                <w:color w:val="111827"/>
                <w:sz w:val="21"/>
              </w:rPr>
              <w:t>, reduzindo a distância entre a base e a cúpula.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Estruturas achatadas com grande amplitude tendem a exigir maior delegação e descentralização, pois um chefe com muitos subordinados não consegue centralizar todas as rotinas.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forma da pirâmide hierárquica não define o critério de departamentalização (que pode continuar sendo funcional, por processos etc.).</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AL-AP – Analista Legislativo: Administração)</w:t>
      </w:r>
    </w:p>
    <w:p>
      <w:pPr>
        <w:spacing w:line="360" w:lineRule="auto" w:before="0" w:after="80"/>
        <w:jc w:val="both"/>
      </w:pPr>
      <w:r>
        <w:rPr>
          <w:rFonts w:ascii="Arial" w:hAnsi="Arial"/>
          <w:b w:val="0"/>
          <w:i w:val="0"/>
          <w:color w:val="111827"/>
          <w:sz w:val="24"/>
        </w:rPr>
        <w:t>Uma das etapas cruciais da função administrativa de Direção é a comunicação organizacional. A respeito dos fluxos comunicacionais e de suas barreiras nas organizações públicas, assinale a alternativa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fluxo de comunicação descendente transporta prioritariamente relatórios de desempenho, pedidos de esclarecimento e sugestões de melhoria vindos da base operacional.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fluxo horizontal ou lateral refere-se à troca de informações entre servidores situados no mesmo nível hierárquico, sendo indispensável para a coordenação interdepartamental.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Barreiras semânticas decorrem exclusivamente de falhas mecânicas nos equipamentos de transmissão e instabilidade nas redes de computadores.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comunicação diagonal ocorre exclusivamente entre a chefia superior de um setor e os estagiários daquele mesmo departamento.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ampliação de níveis hierárquicos em estruturas verticais favorece a fidelidade da mensagem e elimina qualquer possibilidade de ruído comunicacional.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Relatórios, dúvidas e sugestões vindos da base para a chefia constituem o fluxo </w:t>
            </w:r>
            <w:r>
              <w:rPr>
                <w:rFonts w:ascii="Arial" w:hAnsi="Arial"/>
                <w:b/>
                <w:i w:val="0"/>
                <w:color w:val="111827"/>
                <w:sz w:val="21"/>
              </w:rPr>
              <w:t>ascendente</w:t>
            </w:r>
            <w:r>
              <w:rPr>
                <w:rFonts w:ascii="Arial" w:hAnsi="Arial"/>
                <w:b w:val="0"/>
                <w:i w:val="0"/>
                <w:color w:val="111827"/>
                <w:sz w:val="21"/>
              </w:rPr>
              <w:t>. O fluxo descendente transmite diretrizes, metas e normas do topo para a base.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comunicação horizontal (ou lateral) ocorre entre membros de departamentos distintos ou colegas que ocupam o mesmo patamar hierárquico, facilitando a cooperação mútua, integração de processos e resolução ágil de problemas cotidianos.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Falhas mecânicas e instabilidade de sinal são barreiras </w:t>
            </w:r>
            <w:r>
              <w:rPr>
                <w:rFonts w:ascii="Arial" w:hAnsi="Arial"/>
                <w:b/>
                <w:i w:val="0"/>
                <w:color w:val="111827"/>
                <w:sz w:val="21"/>
              </w:rPr>
              <w:t>físicas</w:t>
            </w:r>
            <w:r>
              <w:rPr>
                <w:rFonts w:ascii="Arial" w:hAnsi="Arial"/>
                <w:b w:val="0"/>
                <w:i w:val="0"/>
                <w:color w:val="111827"/>
                <w:sz w:val="21"/>
              </w:rPr>
              <w:t xml:space="preserve">. Barreiras </w:t>
            </w:r>
            <w:r>
              <w:rPr>
                <w:rFonts w:ascii="Arial" w:hAnsi="Arial"/>
                <w:b/>
                <w:i w:val="0"/>
                <w:color w:val="111827"/>
                <w:sz w:val="21"/>
              </w:rPr>
              <w:t>semânticas</w:t>
            </w:r>
            <w:r>
              <w:rPr>
                <w:rFonts w:ascii="Arial" w:hAnsi="Arial"/>
                <w:b w:val="0"/>
                <w:i w:val="0"/>
                <w:color w:val="111827"/>
                <w:sz w:val="21"/>
              </w:rPr>
              <w:t xml:space="preserve"> dizem respeito ao significado das palavras, jargões técnicos incompreendidos ou diferenças de vocabulário.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comunicação </w:t>
            </w:r>
            <w:r>
              <w:rPr>
                <w:rFonts w:ascii="Arial" w:hAnsi="Arial"/>
                <w:b/>
                <w:i w:val="0"/>
                <w:color w:val="111827"/>
                <w:sz w:val="21"/>
              </w:rPr>
              <w:t>diagonal</w:t>
            </w:r>
            <w:r>
              <w:rPr>
                <w:rFonts w:ascii="Arial" w:hAnsi="Arial"/>
                <w:b w:val="0"/>
                <w:i w:val="0"/>
                <w:color w:val="111827"/>
                <w:sz w:val="21"/>
              </w:rPr>
              <w:t xml:space="preserve"> atravessa diferentes funções e diferentes níveis hierárquicos simultaneamente (ex.: um analista de compras que se comunica diretamente com o Diretor de Tecnologia de outro órgão).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Quanto maior o número de níveis hierárquicos, maior o risco de distorção ("efeito telefone sem fio") e ruídos na comunicação.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DPE-RS – Analista: Área Administrativa)</w:t>
      </w:r>
    </w:p>
    <w:p>
      <w:pPr>
        <w:spacing w:line="360" w:lineRule="auto" w:before="0" w:after="80"/>
        <w:jc w:val="both"/>
      </w:pPr>
      <w:r>
        <w:rPr>
          <w:rFonts w:ascii="Arial" w:hAnsi="Arial"/>
          <w:b w:val="0"/>
          <w:i w:val="0"/>
          <w:color w:val="111827"/>
          <w:sz w:val="24"/>
        </w:rPr>
        <w:t>No âmbito da administração contemporânea, o processo administrativo de controle desdobra-se em três momentos temporais fundamentais: prévio, concomitante e posterior. Constitui exemplo típico de controle prévio (preventivo) no setor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análise da prestação de contas do ordenador de despesa efetuada pelo Tribunal de Contas após o encerramento do exercício financeiro.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aplicação de penalidade contratual de multa a uma empresa fornecedora que entregou bens com defeito de fabricação.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medição semanal em tempo real do avanço físico de uma rodovia estadual pelo fiscal da administração durante a execução da obra.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exigência de apresentação prévia de certidões de regularidade fiscal e habilitação jurídica no edital antes da contratação da empresa licitante.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realização de auditoria de conformidade ex post destinada a quantificar o dano ao erário decorrente de sobrepreço em contrato encerrado.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análise de contas após o encerramento do exercício financeiro é um controle </w:t>
            </w:r>
            <w:r>
              <w:rPr>
                <w:rFonts w:ascii="Arial" w:hAnsi="Arial"/>
                <w:b/>
                <w:i w:val="0"/>
                <w:color w:val="111827"/>
                <w:sz w:val="21"/>
              </w:rPr>
              <w:t>posterior (ex post)</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aplicação de sanção por entrega defeituosa é uma medida </w:t>
            </w:r>
            <w:r>
              <w:rPr>
                <w:rFonts w:ascii="Arial" w:hAnsi="Arial"/>
                <w:b/>
                <w:i w:val="0"/>
                <w:color w:val="111827"/>
                <w:sz w:val="21"/>
              </w:rPr>
              <w:t>corretiva/posterior</w:t>
            </w:r>
            <w:r>
              <w:rPr>
                <w:rFonts w:ascii="Arial" w:hAnsi="Arial"/>
                <w:b w:val="0"/>
                <w:i w:val="0"/>
                <w:color w:val="111827"/>
                <w:sz w:val="21"/>
              </w:rPr>
              <w:t xml:space="preserve"> à constatação da infração contratual.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fiscalização presencial durante a realização dos serviços é um controle </w:t>
            </w:r>
            <w:r>
              <w:rPr>
                <w:rFonts w:ascii="Arial" w:hAnsi="Arial"/>
                <w:b/>
                <w:i w:val="0"/>
                <w:color w:val="111827"/>
                <w:sz w:val="21"/>
              </w:rPr>
              <w:t>concomitante (em tempo real)</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Correta. O controle prévio (preventivo ou ex ante) atua antes que a ação administrativa se materialize, estabelecendo barreiras e condições de aptidão com o objetivo de evitar prejuízos futuros. A exigência editalícia de regularidade fiscal e jurídica antes da celebração do vínculo é um exemplo límpido de controle preventivo.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Auditoria após a conclusão contratual para apuração de dano é controle </w:t>
            </w:r>
            <w:r>
              <w:rPr>
                <w:rFonts w:ascii="Arial" w:hAnsi="Arial"/>
                <w:b/>
                <w:i w:val="0"/>
                <w:color w:val="111827"/>
                <w:sz w:val="21"/>
              </w:rPr>
              <w:t>posterior</w:t>
            </w:r>
            <w:r>
              <w:rPr>
                <w:rFonts w:ascii="Arial" w:hAnsi="Arial"/>
                <w:b w:val="0"/>
                <w:i w:val="0"/>
                <w:color w:val="111827"/>
                <w:sz w:val="21"/>
              </w:rPr>
              <w:t>.</w:t>
            </w:r>
          </w:p>
          <w:p>
            <w:pPr>
              <w:spacing w:line="288" w:lineRule="auto" w:before="120" w:after="80"/>
            </w:pPr>
            <w:r>
              <w:rPr>
                <w:rFonts w:ascii="Arial" w:hAnsi="Arial"/>
                <w:b/>
                <w:i w:val="0"/>
                <w:color w:val="047857"/>
                <w:sz w:val="22"/>
              </w:rPr>
              <w:t>Gabarito: D</w:t>
            </w:r>
          </w:p>
        </w:tc>
      </w:tr>
    </w:tbl>
    <w:p>
      <w:pPr>
        <w:spacing w:before="0" w:after="120"/>
      </w:pPr>
    </w:p>
    <w:p>
      <w:r>
        <w:br w:type="page"/>
      </w:r>
    </w:p>
    <w:p>
      <w:pPr>
        <w:keepNext/>
        <w:spacing w:before="360" w:after="160"/>
      </w:pPr>
      <w:r>
        <w:rPr>
          <w:rFonts w:ascii="Arial" w:hAnsi="Arial"/>
          <w:b/>
          <w:i w:val="0"/>
          <w:color w:val="1B365D"/>
          <w:sz w:val="36"/>
        </w:rPr>
        <w:t>02 - Modelos de Administração Pública, Governança, Governabilidade e Transparência</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Administração Pública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02_modelos_de_administracao_publica_e_governanca.md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Evolução dos paradigmas da gestão pública:</w:t>
      </w:r>
    </w:p>
    <w:p>
      <w:pPr>
        <w:spacing w:line="276" w:lineRule="auto" w:before="20" w:after="40"/>
        <w:ind w:left="992"/>
      </w:pPr>
      <w:r>
        <w:rPr>
          <w:rFonts w:ascii="Arial" w:hAnsi="Arial"/>
          <w:b/>
          <w:color w:val="2B6CB0"/>
          <w:sz w:val="22"/>
        </w:rPr>
        <w:t xml:space="preserve">• </w:t>
      </w:r>
      <w:r>
        <w:rPr>
          <w:rFonts w:ascii="Arial" w:hAnsi="Arial"/>
          <w:b/>
          <w:i w:val="0"/>
          <w:color w:val="111827"/>
          <w:sz w:val="22"/>
        </w:rPr>
        <w:t>Administração Pública Patrimonialista:</w:t>
      </w:r>
      <w:r>
        <w:rPr>
          <w:rFonts w:ascii="Arial" w:hAnsi="Arial"/>
          <w:b w:val="0"/>
          <w:i w:val="0"/>
          <w:color w:val="111827"/>
          <w:sz w:val="22"/>
        </w:rPr>
        <w:t xml:space="preserve"> características, confusão entre patrimônio público e privado, prebendas, sinécures, clientelismo e nepotismo;</w:t>
      </w:r>
    </w:p>
    <w:p>
      <w:pPr>
        <w:spacing w:line="276" w:lineRule="auto" w:before="20" w:after="40"/>
        <w:ind w:left="992"/>
      </w:pPr>
      <w:r>
        <w:rPr>
          <w:rFonts w:ascii="Arial" w:hAnsi="Arial"/>
          <w:b/>
          <w:color w:val="2B6CB0"/>
          <w:sz w:val="22"/>
        </w:rPr>
        <w:t xml:space="preserve">• </w:t>
      </w:r>
      <w:r>
        <w:rPr>
          <w:rFonts w:ascii="Arial" w:hAnsi="Arial"/>
          <w:b/>
          <w:i w:val="0"/>
          <w:color w:val="111827"/>
          <w:sz w:val="22"/>
        </w:rPr>
        <w:t>Administração Pública Burocrática (Max Weber):</w:t>
      </w:r>
      <w:r>
        <w:rPr>
          <w:rFonts w:ascii="Arial" w:hAnsi="Arial"/>
          <w:b w:val="0"/>
          <w:i w:val="0"/>
          <w:color w:val="111827"/>
          <w:sz w:val="22"/>
        </w:rPr>
        <w:t xml:space="preserve"> racionalidade, formalismo, impessoalidade, meritocracia, hierarquia funcional, controle prévio (</w:t>
      </w:r>
      <w:r>
        <w:rPr>
          <w:rFonts w:ascii="Arial" w:hAnsi="Arial"/>
          <w:b w:val="0"/>
          <w:i/>
          <w:color w:val="111827"/>
          <w:sz w:val="22"/>
        </w:rPr>
        <w:t>a priori</w:t>
      </w:r>
      <w:r>
        <w:rPr>
          <w:rFonts w:ascii="Arial" w:hAnsi="Arial"/>
          <w:b w:val="0"/>
          <w:i w:val="0"/>
          <w:color w:val="111827"/>
          <w:sz w:val="22"/>
        </w:rPr>
        <w:t>) de processos e as disfunções da burocracia (Robert Merton);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**Administração Pública Gerencial (</w:t>
      </w:r>
      <w:r>
        <w:rPr>
          <w:rFonts w:ascii="Arial" w:hAnsi="Arial"/>
          <w:b w:val="0"/>
          <w:i/>
          <w:color w:val="111827"/>
          <w:sz w:val="22"/>
        </w:rPr>
        <w:t>New Public Management</w:t>
      </w:r>
      <w:r>
        <w:rPr>
          <w:rFonts w:ascii="Arial" w:hAnsi="Arial"/>
          <w:b w:val="0"/>
          <w:i w:val="0"/>
          <w:color w:val="111827"/>
          <w:sz w:val="22"/>
        </w:rPr>
        <w:t xml:space="preserve"> - NPM):** orientação para resultados, foco no cidadão-usuário/cliente, descentralização, controle a posteriori e contratualização de resultados;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As três fases do gerencialismo: Gerencialismo Puro (</w:t>
      </w:r>
      <w:r>
        <w:rPr>
          <w:rFonts w:ascii="Arial" w:hAnsi="Arial"/>
          <w:b w:val="0"/>
          <w:i/>
          <w:color w:val="111827"/>
          <w:sz w:val="22"/>
        </w:rPr>
        <w:t>Managerialism</w:t>
      </w:r>
      <w:r>
        <w:rPr>
          <w:rFonts w:ascii="Arial" w:hAnsi="Arial"/>
          <w:b w:val="0"/>
          <w:i w:val="0"/>
          <w:color w:val="111827"/>
          <w:sz w:val="22"/>
        </w:rPr>
        <w:t xml:space="preserve">), </w:t>
      </w:r>
      <w:r>
        <w:rPr>
          <w:rFonts w:ascii="Arial" w:hAnsi="Arial"/>
          <w:b w:val="0"/>
          <w:i/>
          <w:color w:val="111827"/>
          <w:sz w:val="22"/>
        </w:rPr>
        <w:t>Consumerism</w:t>
      </w:r>
      <w:r>
        <w:rPr>
          <w:rFonts w:ascii="Arial" w:hAnsi="Arial"/>
          <w:b w:val="0"/>
          <w:i w:val="0"/>
          <w:color w:val="111827"/>
          <w:sz w:val="22"/>
        </w:rPr>
        <w:t xml:space="preserve"> e </w:t>
      </w:r>
      <w:r>
        <w:rPr>
          <w:rFonts w:ascii="Arial" w:hAnsi="Arial"/>
          <w:b w:val="0"/>
          <w:i/>
          <w:color w:val="111827"/>
          <w:sz w:val="22"/>
        </w:rPr>
        <w:t>Public Service Orientation</w:t>
      </w:r>
      <w:r>
        <w:rPr>
          <w:rFonts w:ascii="Arial" w:hAnsi="Arial"/>
          <w:b w:val="0"/>
          <w:i w:val="0"/>
          <w:color w:val="111827"/>
          <w:sz w:val="22"/>
        </w:rPr>
        <w:t xml:space="preserve"> (PSO);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Reforma Gerencial de 1995 no Brasil (Plano Diretor da Reforma do Aparelho do Estado - PDRAE):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Os quatro setores do Estado: Núcleo Estratégico, Atividades Exclusivas, Serviços Não Exclusivos e Produção de Bens e Serviços para o Mercado;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Formas de atuação e publicização: Agências Reguladoras, Agências Executivas, Organizações Sociais (OS) e Organizações da Sociedade Civil de Interesse Público (OSCIP);</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Eficiência, Eficácia e Efetividade no setor público (a tríade dos resultados públicos e economicidade);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Governança e Governabilidade: conceitos, distinções e mecanismos (liderança, estratégia e controle - Referencial TCU);</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conceito e dimensões de </w:t>
      </w:r>
      <w:r>
        <w:rPr>
          <w:rFonts w:ascii="Arial" w:hAnsi="Arial"/>
          <w:b w:val="0"/>
          <w:i/>
          <w:color w:val="111827"/>
          <w:sz w:val="22"/>
        </w:rPr>
        <w:t>Accountability</w:t>
      </w:r>
      <w:r>
        <w:rPr>
          <w:rFonts w:ascii="Arial" w:hAnsi="Arial"/>
          <w:b w:val="0"/>
          <w:i w:val="0"/>
          <w:color w:val="111827"/>
          <w:sz w:val="22"/>
        </w:rPr>
        <w:t>: vertical, horizontal e social (societal);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Transparência pública e controle social: a Lei de Acesso à Informação (Lei Federal nº 12.527/2011 - LAI) e Lei Estadual de Goiás nº 18.025/2013:</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Transparência ativa versus transparência passiva;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Prazos de resposta e instâncias de recurso administrativo (regra 20 + 10 dias);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Graus de sigilo documental: reservada (5 anos), secreta (15 anos) e ultrassecreta (25 anos); proteção de dados pessoais (100 anos).</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Evolução Histórica dos Modelos de Gestão Pública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Modelo Patrimonialista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Modelo Burocrático Weberiano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Modelo Gerencial (*New Public Management* - NPM)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Quadro Analítico Comparativo dos Três Modelos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As Disfunções da Burocracia (Robert Merton)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A Reforma Gerencial Brasileira de 1995 (PDRAE)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Os Quatro Setores do Estado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O Mecanismo da Publicização e as Organizações Sociais (OS)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As Dimensões do Desempenho Público (Os 6Es da Gestão)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Economicidade, Eficiência, Eficácia e Efetividade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Governança, Governabilidade e Accountability</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Governabilidade vs. Governança (Distinção Crítica FCC)</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Dimensões da Accountability (Vertical, Horizontal e Social)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Transparência Pública e a Lei de Acesso à Informação (Lei nº 12.527/2011)</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6.1 Transparência Ativa vs. Transparência Passiva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6.2 Prazos de Atendimento e Desnecessidade de Motivação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6.3 Graus e Prazos Máximos de Sigilo Documental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Fontes Oficiais &amp;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8. Questões Comentadas no Padrão FCC</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Evolução Histórica dos Modelos de Gestão Pública</w:t>
      </w:r>
    </w:p>
    <w:p>
      <w:pPr>
        <w:spacing w:line="360" w:lineRule="auto" w:before="0" w:after="80"/>
        <w:jc w:val="both"/>
      </w:pPr>
      <w:r>
        <w:rPr>
          <w:rFonts w:ascii="Arial" w:hAnsi="Arial"/>
          <w:b w:val="0"/>
          <w:i w:val="0"/>
          <w:color w:val="111827"/>
          <w:sz w:val="24"/>
        </w:rPr>
        <w:t>A trajetória da administração pública no mundo ocidental e no Brasil desdobra-se na sucessão e convivência dialética de três modelos paradigmáticos:</w:t>
      </w:r>
    </w:p>
    <w:p>
      <w:pPr>
        <w:spacing w:after="120"/>
      </w:pPr>
    </w:p>
    <w:p>
      <w:pPr>
        <w:keepNext/>
        <w:spacing w:before="120" w:after="40"/>
      </w:pPr>
      <w:r>
        <w:rPr>
          <w:rFonts w:ascii="Arial" w:hAnsi="Arial"/>
          <w:b/>
          <w:i/>
          <w:color w:val="334155"/>
          <w:sz w:val="22"/>
        </w:rPr>
        <w:t>1.1 Modelo Patrimonialista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Vigente no Estado Absolutista e no Brasil Colonial/Imperial até a década de 1930;</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Característica Central:</w:t>
      </w:r>
      <w:r>
        <w:rPr>
          <w:rFonts w:ascii="Arial" w:hAnsi="Arial"/>
          <w:b w:val="0"/>
          <w:i w:val="0"/>
          <w:color w:val="111827"/>
          <w:sz w:val="22"/>
        </w:rPr>
        <w:t xml:space="preserve"> Ausência de separação entre o patrimônio do soberano e a </w:t>
      </w:r>
      <w:r>
        <w:rPr>
          <w:rFonts w:ascii="Arial" w:hAnsi="Arial"/>
          <w:b w:val="0"/>
          <w:i/>
          <w:color w:val="111827"/>
          <w:sz w:val="22"/>
        </w:rPr>
        <w:t>res publica</w:t>
      </w:r>
      <w:r>
        <w:rPr>
          <w:rFonts w:ascii="Arial" w:hAnsi="Arial"/>
          <w:b w:val="0"/>
          <w:i w:val="0"/>
          <w:color w:val="111827"/>
          <w:sz w:val="22"/>
        </w:rPr>
        <w:t xml:space="preserve"> (o Estado é tratado como extensão da casa do príncipe);</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Práticas Correlatas:</w:t>
      </w:r>
      <w:r>
        <w:rPr>
          <w:rFonts w:ascii="Arial" w:hAnsi="Arial"/>
          <w:b w:val="0"/>
          <w:i w:val="0"/>
          <w:color w:val="111827"/>
          <w:sz w:val="22"/>
        </w:rPr>
        <w:t xml:space="preserve"> Concessão de cargos públicos como </w:t>
      </w:r>
      <w:r>
        <w:rPr>
          <w:rFonts w:ascii="Arial" w:hAnsi="Arial"/>
          <w:b/>
          <w:i w:val="0"/>
          <w:color w:val="111827"/>
          <w:sz w:val="22"/>
        </w:rPr>
        <w:t>prebendas</w:t>
      </w:r>
      <w:r>
        <w:rPr>
          <w:rFonts w:ascii="Arial" w:hAnsi="Arial"/>
          <w:b w:val="0"/>
          <w:i w:val="0"/>
          <w:color w:val="111827"/>
          <w:sz w:val="22"/>
        </w:rPr>
        <w:t xml:space="preserve"> (rendas vitalícias) e </w:t>
      </w:r>
      <w:r>
        <w:rPr>
          <w:rFonts w:ascii="Arial" w:hAnsi="Arial"/>
          <w:b/>
          <w:i w:val="0"/>
          <w:color w:val="111827"/>
          <w:sz w:val="22"/>
        </w:rPr>
        <w:t>sinecuras</w:t>
      </w:r>
      <w:r>
        <w:rPr>
          <w:rFonts w:ascii="Arial" w:hAnsi="Arial"/>
          <w:b w:val="0"/>
          <w:i w:val="0"/>
          <w:color w:val="111827"/>
          <w:sz w:val="22"/>
        </w:rPr>
        <w:t xml:space="preserve"> (cargos sem trabalho correspondente), nepotismo, favorecimento pessoal e coronelismo/clientelismo eleitoral.</w:t>
      </w:r>
    </w:p>
    <w:p>
      <w:pPr>
        <w:keepNext/>
        <w:spacing w:before="120" w:after="40"/>
      </w:pPr>
      <w:r>
        <w:rPr>
          <w:rFonts w:ascii="Arial" w:hAnsi="Arial"/>
          <w:b/>
          <w:i/>
          <w:color w:val="334155"/>
          <w:sz w:val="22"/>
        </w:rPr>
        <w:t>1.2 Modelo Burocrático Weberiano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Estruturado conceitualmente por Max Weber no início do século XX e introduzido no Brasil pela reforma do DASP (1936-1938);</w:t>
      </w:r>
    </w:p>
    <w:p>
      <w:pPr>
        <w:spacing w:line="276" w:lineRule="auto" w:before="20" w:after="40"/>
        <w:ind w:left="425"/>
      </w:pPr>
      <w:r>
        <w:rPr>
          <w:rFonts w:ascii="Arial" w:hAnsi="Arial"/>
          <w:b/>
          <w:color w:val="2B6CB0"/>
          <w:sz w:val="22"/>
        </w:rPr>
        <w:t xml:space="preserve">• </w:t>
      </w:r>
      <w:r>
        <w:rPr>
          <w:rFonts w:ascii="Arial" w:hAnsi="Arial"/>
          <w:b/>
          <w:i w:val="0"/>
          <w:color w:val="111827"/>
          <w:sz w:val="22"/>
        </w:rPr>
        <w:t>Objetivo Histórico Primário:</w:t>
      </w:r>
      <w:r>
        <w:rPr>
          <w:rFonts w:ascii="Arial" w:hAnsi="Arial"/>
          <w:b w:val="0"/>
          <w:i w:val="0"/>
          <w:color w:val="111827"/>
          <w:sz w:val="22"/>
        </w:rPr>
        <w:t xml:space="preserve"> Combater frontalmente a corrupção e o nepotismo patrimonialistas mediante regras rígidas;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Princípios Racionais-Legais: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Formalismo Estrito:</w:t>
      </w:r>
      <w:r>
        <w:rPr>
          <w:rFonts w:ascii="Arial" w:hAnsi="Arial"/>
          <w:b w:val="0"/>
          <w:i w:val="0"/>
          <w:color w:val="111827"/>
          <w:sz w:val="22"/>
        </w:rPr>
        <w:t xml:space="preserve"> A autoridade emana da lei e as rotinas devem ser reduzidas a documentos escritos e processos formais;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Impessoalidade:</w:t>
      </w:r>
      <w:r>
        <w:rPr>
          <w:rFonts w:ascii="Arial" w:hAnsi="Arial"/>
          <w:b w:val="0"/>
          <w:i w:val="0"/>
          <w:color w:val="111827"/>
          <w:sz w:val="22"/>
        </w:rPr>
        <w:t xml:space="preserve"> As decisões administrativas aplicam-se a categorias abstratas, sem discriminações ou privilégios subjetivos;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Meritocracia e Profissionalização:</w:t>
      </w:r>
      <w:r>
        <w:rPr>
          <w:rFonts w:ascii="Arial" w:hAnsi="Arial"/>
          <w:b w:val="0"/>
          <w:i w:val="0"/>
          <w:color w:val="111827"/>
          <w:sz w:val="22"/>
        </w:rPr>
        <w:t xml:space="preserve"> Ingresso na carreira por concurso público e promoções baseadas no mérito funcional;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Hierarquia Funcional:</w:t>
      </w:r>
      <w:r>
        <w:rPr>
          <w:rFonts w:ascii="Arial" w:hAnsi="Arial"/>
          <w:b w:val="0"/>
          <w:i w:val="0"/>
          <w:color w:val="111827"/>
          <w:sz w:val="22"/>
        </w:rPr>
        <w:t xml:space="preserve"> Cadeia de comando clara, com linhas bem delimitadas de subordinação;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Controle a Priori (Prévio):</w:t>
      </w:r>
      <w:r>
        <w:rPr>
          <w:rFonts w:ascii="Arial" w:hAnsi="Arial"/>
          <w:b w:val="0"/>
          <w:i w:val="0"/>
          <w:color w:val="111827"/>
          <w:sz w:val="22"/>
        </w:rPr>
        <w:t xml:space="preserve"> Controle minucioso e exaustivo sobre a conformidade dos meios, formulários e ritos processuais antes de qualquer decisão.</w:t>
      </w:r>
    </w:p>
    <w:p>
      <w:pPr>
        <w:keepNext/>
        <w:spacing w:before="120" w:after="40"/>
      </w:pPr>
      <w:r>
        <w:rPr>
          <w:rFonts w:ascii="Arial" w:hAnsi="Arial"/>
          <w:b/>
          <w:i/>
          <w:color w:val="334155"/>
          <w:sz w:val="22"/>
        </w:rPr>
        <w:t>1.3 Modelo Gerencial (</w:t>
      </w:r>
      <w:r>
        <w:rPr>
          <w:rFonts w:ascii="Arial" w:hAnsi="Arial"/>
          <w:b/>
          <w:i/>
          <w:color w:val="334155"/>
          <w:sz w:val="22"/>
        </w:rPr>
        <w:t>New Public Management</w:t>
      </w:r>
      <w:r>
        <w:rPr>
          <w:rFonts w:ascii="Arial" w:hAnsi="Arial"/>
          <w:b/>
          <w:i/>
          <w:color w:val="334155"/>
          <w:sz w:val="22"/>
        </w:rPr>
        <w:t xml:space="preserve"> - NPM)</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Emergente nas décadas de 1970/1980 (Reino Unido, Nova Zelândia e EUA) e adotado no Brasil pela Reforma de 1995 (PDRAE);</w:t>
      </w:r>
    </w:p>
    <w:p>
      <w:pPr>
        <w:spacing w:line="276" w:lineRule="auto" w:before="20" w:after="40"/>
        <w:ind w:left="425"/>
      </w:pPr>
      <w:r>
        <w:rPr>
          <w:rFonts w:ascii="Arial" w:hAnsi="Arial"/>
          <w:b/>
          <w:color w:val="2B6CB0"/>
          <w:sz w:val="22"/>
        </w:rPr>
        <w:t xml:space="preserve">• </w:t>
      </w:r>
      <w:r>
        <w:rPr>
          <w:rFonts w:ascii="Arial" w:hAnsi="Arial"/>
          <w:b/>
          <w:i w:val="0"/>
          <w:color w:val="111827"/>
          <w:sz w:val="22"/>
        </w:rPr>
        <w:t>Objetivo Central:</w:t>
      </w:r>
      <w:r>
        <w:rPr>
          <w:rFonts w:ascii="Arial" w:hAnsi="Arial"/>
          <w:b w:val="0"/>
          <w:i w:val="0"/>
          <w:color w:val="111827"/>
          <w:sz w:val="22"/>
        </w:rPr>
        <w:t xml:space="preserve"> Superar a rigidez, a lentidão e a ineficiência do modelo burocrático diante da crise fiscal do Estado social;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Princípios Estruturantes:</w:t>
      </w:r>
      <w:r>
        <w:rPr>
          <w:rFonts w:ascii="Arial" w:hAnsi="Arial"/>
          <w:b w:val="0"/>
          <w:i w:val="0"/>
          <w:color w:val="111827"/>
          <w:sz w:val="22"/>
        </w:rPr>
        <w:t xml:space="preserve"> Descentralização da gestão, autonomia dos gestores, flexibilização das contratações, incentivo à inovação, contratualização de resultados e foco absoluto nas necessidades do </w:t>
      </w:r>
      <w:r>
        <w:rPr>
          <w:rFonts w:ascii="Arial" w:hAnsi="Arial"/>
          <w:b/>
          <w:i w:val="0"/>
          <w:color w:val="111827"/>
          <w:sz w:val="22"/>
        </w:rPr>
        <w:t>cidadão-usuário/cliente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Fases do Gerencialismo:</w:t>
      </w:r>
    </w:p>
    <w:p>
      <w:pPr>
        <w:spacing w:line="276" w:lineRule="auto" w:before="20" w:after="40"/>
        <w:ind w:left="992"/>
      </w:pPr>
      <w:r>
        <w:rPr>
          <w:rFonts w:ascii="Arial" w:hAnsi="Arial"/>
          <w:b/>
          <w:color w:val="1B365D"/>
          <w:sz w:val="22"/>
        </w:rPr>
        <w:t xml:space="preserve">1. </w:t>
      </w:r>
      <w:r>
        <w:rPr>
          <w:rFonts w:ascii="Arial" w:hAnsi="Arial"/>
          <w:b w:val="0"/>
          <w:i/>
          <w:color w:val="111827"/>
          <w:sz w:val="22"/>
        </w:rPr>
        <w:t>Gerencialismo Puro (Managerialism):</w:t>
      </w:r>
      <w:r>
        <w:rPr>
          <w:rFonts w:ascii="Arial" w:hAnsi="Arial"/>
          <w:b w:val="0"/>
          <w:i w:val="0"/>
          <w:color w:val="111827"/>
          <w:sz w:val="22"/>
        </w:rPr>
        <w:t xml:space="preserve"> Foco inicial obsessivo no corte de gastos públicos, equilíbrio fiscal e redução do tamanho da máquina governamental;</w:t>
      </w:r>
    </w:p>
    <w:p>
      <w:pPr>
        <w:spacing w:line="276" w:lineRule="auto" w:before="20" w:after="40"/>
        <w:ind w:left="992"/>
      </w:pPr>
      <w:r>
        <w:rPr>
          <w:rFonts w:ascii="Arial" w:hAnsi="Arial"/>
          <w:b/>
          <w:color w:val="1B365D"/>
          <w:sz w:val="22"/>
        </w:rPr>
        <w:t xml:space="preserve">2. </w:t>
      </w:r>
      <w:r>
        <w:rPr>
          <w:rFonts w:ascii="Arial" w:hAnsi="Arial"/>
          <w:b w:val="0"/>
          <w:i/>
          <w:color w:val="111827"/>
          <w:sz w:val="22"/>
        </w:rPr>
        <w:t>Consumerism:</w:t>
      </w:r>
      <w:r>
        <w:rPr>
          <w:rFonts w:ascii="Arial" w:hAnsi="Arial"/>
          <w:b w:val="0"/>
          <w:i w:val="0"/>
          <w:color w:val="111827"/>
          <w:sz w:val="22"/>
        </w:rPr>
        <w:t xml:space="preserve"> Introdução do conceito de qualidade total, desregulamentação, competição entre prestadores e tratamento do cidadão como "cliente";</w:t>
      </w:r>
    </w:p>
    <w:p>
      <w:pPr>
        <w:spacing w:line="276" w:lineRule="auto" w:before="20" w:after="40"/>
        <w:ind w:left="992"/>
      </w:pPr>
      <w:r>
        <w:rPr>
          <w:rFonts w:ascii="Arial" w:hAnsi="Arial"/>
          <w:b/>
          <w:color w:val="1B365D"/>
          <w:sz w:val="22"/>
        </w:rPr>
        <w:t xml:space="preserve">3. </w:t>
      </w:r>
      <w:r>
        <w:rPr>
          <w:rFonts w:ascii="Arial" w:hAnsi="Arial"/>
          <w:b w:val="0"/>
          <w:i/>
          <w:color w:val="111827"/>
          <w:sz w:val="22"/>
        </w:rPr>
        <w:t>Public Service Orientation (PSO):</w:t>
      </w:r>
      <w:r>
        <w:rPr>
          <w:rFonts w:ascii="Arial" w:hAnsi="Arial"/>
          <w:b w:val="0"/>
          <w:i w:val="0"/>
          <w:color w:val="111827"/>
          <w:sz w:val="22"/>
        </w:rPr>
        <w:t xml:space="preserve"> Síntese democrática contemporânea que resgata a cidadania plena, direitos republicanos, equidade, transparência e governança participativa.</w:t>
      </w:r>
    </w:p>
    <w:p>
      <w:pPr>
        <w:keepNext/>
        <w:spacing w:before="120" w:after="40"/>
      </w:pPr>
      <w:r>
        <w:rPr>
          <w:rFonts w:ascii="Arial" w:hAnsi="Arial"/>
          <w:b/>
          <w:i/>
          <w:color w:val="334155"/>
          <w:sz w:val="22"/>
        </w:rPr>
        <w:t>1.4 Quadro Analítico Comparativo dos Três Modelos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Administração Patrimonialista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Administração Burocrática (Weber)</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Administração Gerencial (NPM)</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Relação Estado vs. Sociedade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Confusão total entre patrimônio público e bens particulares do governante.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Separação estrita entre a esfera pública e a privada. Protege o erário da apropriação indevida.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Estado serve à sociedade. Foco no cidadão como titular de direitos e usuário de serviços públicos.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Princípio Básico de Atuação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Arbitrariedade, laços de sangue, prebendas, sinécures e apadrinhamento político.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Formalismo legal estrito, impessoalidade, hierarquia rígida e meritocracia (concurso público).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Flexibilidade, descentralização de autoridade, competitividade, inovação e avaliação por metas.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Mecanismo de Controle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Inexistente (vontade pessoal e absoluta do soberano).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Controle a priori (prévio):</w:t>
            </w:r>
            <w:r>
              <w:rPr>
                <w:rFonts w:ascii="Arial" w:hAnsi="Arial"/>
                <w:b w:val="0"/>
                <w:i w:val="0"/>
                <w:color w:val="111827"/>
                <w:sz w:val="19"/>
              </w:rPr>
              <w:t xml:space="preserve"> Focado obsessivamente nos processos, ritos e obediência às normas.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Controle a posteriori (de resultados):</w:t>
            </w:r>
            <w:r>
              <w:rPr>
                <w:rFonts w:ascii="Arial" w:hAnsi="Arial"/>
                <w:b w:val="0"/>
                <w:i w:val="0"/>
                <w:color w:val="111827"/>
                <w:sz w:val="19"/>
              </w:rPr>
              <w:t xml:space="preserve"> Focado no cumprimento das metas pactuadas em contratos de gestão.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Papel do Servidor Público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Titular de sinecuras e favores concedidos pela coroa.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Especialista profissional, com carreira técnica estruturada e estabilidade funcional.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Gestor de programas orientado a metas, com autonomia operacional e incentivo ao mérito.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Disfunções Centrais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Corrupção sistêmica, nepotismo e ineficiência predatória.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Rigidez burocrática, lentidão, excesso de burocracia documental e desapego às demandas sociais.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Risco de mercantilização de serviços sociais e redução da impessoalidade.</w:t>
            </w:r>
          </w:p>
        </w:tc>
      </w:tr>
    </w:tbl>
    <w:p>
      <w:pPr>
        <w:spacing w:after="120"/>
      </w:pPr>
    </w:p>
    <w:p>
      <w:pPr>
        <w:keepNext/>
        <w:spacing w:before="200" w:after="80"/>
      </w:pPr>
      <w:r>
        <w:rPr>
          <w:rFonts w:ascii="Arial" w:hAnsi="Arial"/>
          <w:b/>
          <w:i w:val="0"/>
          <w:color w:val="2B6CB0"/>
          <w:sz w:val="24"/>
        </w:rPr>
        <w:t>2. As Disfunções da Burocracia (Robert Merton)</w:t>
      </w:r>
    </w:p>
    <w:p>
      <w:pPr>
        <w:spacing w:line="360" w:lineRule="auto" w:before="0" w:after="80"/>
        <w:jc w:val="both"/>
      </w:pPr>
      <w:r>
        <w:rPr>
          <w:rFonts w:ascii="Arial" w:hAnsi="Arial"/>
          <w:b w:val="0"/>
          <w:i w:val="0"/>
          <w:color w:val="111827"/>
          <w:sz w:val="24"/>
        </w:rPr>
        <w:t xml:space="preserve">Embora concebida por Max Weber como o tipo ideal de organização racional e previsível, a aplicação concreta da burocracia gera anomalias conhecidas como </w:t>
      </w:r>
      <w:r>
        <w:rPr>
          <w:rFonts w:ascii="Arial" w:hAnsi="Arial"/>
          <w:b/>
          <w:i w:val="0"/>
          <w:color w:val="111827"/>
          <w:sz w:val="24"/>
        </w:rPr>
        <w:t>disfunções da burocracia</w:t>
      </w:r>
      <w:r>
        <w:rPr>
          <w:rFonts w:ascii="Arial" w:hAnsi="Arial"/>
          <w:b w:val="0"/>
          <w:i w:val="0"/>
          <w:color w:val="111827"/>
          <w:sz w:val="24"/>
        </w:rPr>
        <w:t>:</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Deslocamento de Objetivos:</w:t>
      </w:r>
      <w:r>
        <w:rPr>
          <w:rFonts w:ascii="Arial" w:hAnsi="Arial"/>
          <w:b w:val="0"/>
          <w:i w:val="0"/>
          <w:color w:val="111827"/>
          <w:sz w:val="22"/>
        </w:rPr>
        <w:t xml:space="preserve"> O cumprimento cego do regulamento transforma-se na missão primordial do servidor, em detrimento da entrega final do serviço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Superconformidade:</w:t>
      </w:r>
      <w:r>
        <w:rPr>
          <w:rFonts w:ascii="Arial" w:hAnsi="Arial"/>
          <w:b w:val="0"/>
          <w:i w:val="0"/>
          <w:color w:val="111827"/>
          <w:sz w:val="22"/>
        </w:rPr>
        <w:t xml:space="preserve"> O funcionário limita-se estritamente ao que está escrito e recusa-se a agir perante situações imprevistas, gerando paralisia decisória;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Exibição de Sinais de Autoridade:</w:t>
      </w:r>
      <w:r>
        <w:rPr>
          <w:rFonts w:ascii="Arial" w:hAnsi="Arial"/>
          <w:b w:val="0"/>
          <w:i w:val="0"/>
          <w:color w:val="111827"/>
          <w:sz w:val="22"/>
        </w:rPr>
        <w:t xml:space="preserve"> Uso excessivo de títulos formais, carimbos e hierarquia para distanciar o funcionário do cidadão comum.</w:t>
      </w:r>
    </w:p>
    <w:p>
      <w:pPr>
        <w:keepNext/>
        <w:spacing w:before="200" w:after="80"/>
      </w:pPr>
      <w:r>
        <w:rPr>
          <w:rFonts w:ascii="Arial" w:hAnsi="Arial"/>
          <w:b/>
          <w:i w:val="0"/>
          <w:color w:val="2B6CB0"/>
          <w:sz w:val="24"/>
        </w:rPr>
        <w:t>3. A Reforma Gerencial Brasileira de 1995 (PDRAE)</w:t>
      </w:r>
    </w:p>
    <w:p>
      <w:pPr>
        <w:spacing w:line="360" w:lineRule="auto" w:before="0" w:after="80"/>
        <w:jc w:val="both"/>
      </w:pPr>
      <w:r>
        <w:rPr>
          <w:rFonts w:ascii="Arial" w:hAnsi="Arial"/>
          <w:b w:val="0"/>
          <w:i w:val="0"/>
          <w:color w:val="111827"/>
          <w:sz w:val="24"/>
        </w:rPr>
        <w:t xml:space="preserve">Coordenado pelo Ministro Luiz Carlos Bresser-Pereira durante a presidência de Fernando Henrique Cardoso, o </w:t>
      </w:r>
      <w:r>
        <w:rPr>
          <w:rFonts w:ascii="Arial" w:hAnsi="Arial"/>
          <w:b/>
          <w:i w:val="0"/>
          <w:color w:val="111827"/>
          <w:sz w:val="24"/>
        </w:rPr>
        <w:t>Plano Diretor da Reforma do Aparelho do Estado (PDRAE)</w:t>
      </w:r>
      <w:r>
        <w:rPr>
          <w:rFonts w:ascii="Arial" w:hAnsi="Arial"/>
          <w:b w:val="0"/>
          <w:i w:val="0"/>
          <w:color w:val="111827"/>
          <w:sz w:val="24"/>
        </w:rPr>
        <w:t xml:space="preserve"> estabeleceu as bases do gerencialismo no Brasil:</w:t>
      </w:r>
    </w:p>
    <w:p>
      <w:pPr>
        <w:spacing w:after="120"/>
      </w:pPr>
    </w:p>
    <w:p>
      <w:pPr>
        <w:keepNext/>
        <w:spacing w:before="120" w:after="40"/>
      </w:pPr>
      <w:r>
        <w:rPr>
          <w:rFonts w:ascii="Arial" w:hAnsi="Arial"/>
          <w:b/>
          <w:i/>
          <w:color w:val="334155"/>
          <w:sz w:val="22"/>
        </w:rPr>
        <w:t>3.1 Os Quatro Setores do Estado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Núcleo Estratégico:</w:t>
      </w:r>
      <w:r>
        <w:rPr>
          <w:rFonts w:ascii="Arial" w:hAnsi="Arial"/>
          <w:b w:val="0"/>
          <w:i w:val="0"/>
          <w:color w:val="111827"/>
          <w:sz w:val="22"/>
        </w:rPr>
        <w:t xml:space="preserve"> Define as leis, as políticas públicas fundamentais e as diretrizes estratégicas da nação. Propriedade estatal integral, composta pelas carreiras de Estado;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Atividades Exclusivas de Estado:</w:t>
      </w:r>
      <w:r>
        <w:rPr>
          <w:rFonts w:ascii="Arial" w:hAnsi="Arial"/>
          <w:b w:val="0"/>
          <w:i w:val="0"/>
          <w:color w:val="111827"/>
          <w:sz w:val="22"/>
        </w:rPr>
        <w:t xml:space="preserve"> Serviços que envolvem o exercício do poder de império e coerção (polícia, diplomacia, fiscalização tributária, regulação e controle externo);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Serviços Não Exclusivos do Estado:</w:t>
      </w:r>
      <w:r>
        <w:rPr>
          <w:rFonts w:ascii="Arial" w:hAnsi="Arial"/>
          <w:b w:val="0"/>
          <w:i w:val="0"/>
          <w:color w:val="111827"/>
          <w:sz w:val="22"/>
        </w:rPr>
        <w:t xml:space="preserve"> Serviços sociais de relevância coletiva que o Estado presta, mas nos quais o setor privado também atua livremente (saúde, ensino, cultura e pesquisa científica);</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Produção de Bens e Serviços para o Mercado:</w:t>
      </w:r>
      <w:r>
        <w:rPr>
          <w:rFonts w:ascii="Arial" w:hAnsi="Arial"/>
          <w:b w:val="0"/>
          <w:i w:val="0"/>
          <w:color w:val="111827"/>
          <w:sz w:val="22"/>
        </w:rPr>
        <w:t xml:space="preserve"> Atividades econômicas industriais e comerciais que devem ser operadas pelo mercado concorrencial (objeto de privatização).</w:t>
      </w:r>
    </w:p>
    <w:p>
      <w:pPr>
        <w:keepNext/>
        <w:spacing w:before="120" w:after="40"/>
      </w:pPr>
      <w:r>
        <w:rPr>
          <w:rFonts w:ascii="Arial" w:hAnsi="Arial"/>
          <w:b/>
          <w:i/>
          <w:color w:val="334155"/>
          <w:sz w:val="22"/>
        </w:rPr>
        <w:t>3.2 O Mecanismo da Publicização e as Organizações Sociais (OS)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Publicização:</w:t>
      </w:r>
      <w:r>
        <w:rPr>
          <w:rFonts w:ascii="Arial" w:hAnsi="Arial"/>
          <w:b w:val="0"/>
          <w:i w:val="0"/>
          <w:color w:val="111827"/>
          <w:sz w:val="22"/>
        </w:rPr>
        <w:t xml:space="preserve"> É a descentralização de atividades e serviços não exclusivos do Estado para entidades do setor público não estatal (terceiro setor), constituídas como pessoas jurídicas de direito privado sem fins lucrativos qualificadas como </w:t>
      </w:r>
      <w:r>
        <w:rPr>
          <w:rFonts w:ascii="Arial" w:hAnsi="Arial"/>
          <w:b/>
          <w:i w:val="0"/>
          <w:color w:val="111827"/>
          <w:sz w:val="22"/>
        </w:rPr>
        <w:t>Organizações Sociais (OS)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Instrumento Vinculante:</w:t>
      </w:r>
      <w:r>
        <w:rPr>
          <w:rFonts w:ascii="Arial" w:hAnsi="Arial"/>
          <w:b w:val="0"/>
          <w:i w:val="0"/>
          <w:color w:val="111827"/>
          <w:sz w:val="22"/>
        </w:rPr>
        <w:t xml:space="preserve"> A parceria celebra-se mediante </w:t>
      </w:r>
      <w:r>
        <w:rPr>
          <w:rFonts w:ascii="Arial" w:hAnsi="Arial"/>
          <w:b/>
          <w:i w:val="0"/>
          <w:color w:val="111827"/>
          <w:sz w:val="22"/>
        </w:rPr>
        <w:t>Contrato de Gestão</w:t>
      </w:r>
      <w:r>
        <w:rPr>
          <w:rFonts w:ascii="Arial" w:hAnsi="Arial"/>
          <w:b w:val="0"/>
          <w:i w:val="0"/>
          <w:color w:val="111827"/>
          <w:sz w:val="22"/>
        </w:rPr>
        <w:t>, estipulando metas quantitativas e qualitativas de atendimento, com repasse de recursos orçamentários, cessão de servidores públicos e de imóveis estatais, sujeitando-se ao controle externo do Tribunal de Contas.</w:t>
      </w:r>
    </w:p>
    <w:p>
      <w:pPr>
        <w:keepNext/>
        <w:spacing w:before="200" w:after="80"/>
      </w:pPr>
      <w:r>
        <w:rPr>
          <w:rFonts w:ascii="Arial" w:hAnsi="Arial"/>
          <w:b/>
          <w:i w:val="0"/>
          <w:color w:val="2B6CB0"/>
          <w:sz w:val="24"/>
        </w:rPr>
        <w:t>4. As Dimensões do Desempenho Público (Os 6Es da Gestão)</w:t>
      </w:r>
    </w:p>
    <w:p>
      <w:pPr>
        <w:spacing w:line="360" w:lineRule="auto" w:before="0" w:after="80"/>
        <w:jc w:val="both"/>
      </w:pPr>
      <w:r>
        <w:rPr>
          <w:rFonts w:ascii="Arial" w:hAnsi="Arial"/>
          <w:b w:val="0"/>
          <w:i w:val="0"/>
          <w:color w:val="111827"/>
          <w:sz w:val="24"/>
        </w:rPr>
        <w:t>A mensuração de resultados governamentais apoia-se em dimensões analíticas fundamentais:</w:t>
      </w:r>
    </w:p>
    <w:p>
      <w:pPr>
        <w:spacing w:after="120"/>
      </w:pPr>
    </w:p>
    <w:p>
      <w:pPr>
        <w:keepNext/>
        <w:spacing w:before="120" w:after="40"/>
      </w:pPr>
      <w:r>
        <w:rPr>
          <w:rFonts w:ascii="Arial" w:hAnsi="Arial"/>
          <w:b/>
          <w:i/>
          <w:color w:val="334155"/>
          <w:sz w:val="22"/>
        </w:rPr>
        <w:t>4.1 Economicidade, Eficiência, Eficácia e Efetividade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Economicidade:</w:t>
      </w:r>
      <w:r>
        <w:rPr>
          <w:rFonts w:ascii="Arial" w:hAnsi="Arial"/>
          <w:b w:val="0"/>
          <w:i w:val="0"/>
          <w:color w:val="111827"/>
          <w:sz w:val="22"/>
        </w:rPr>
        <w:t xml:space="preserve"> Minimização dos custos na aquisição de insumos, sem comprometer os padrões adequados de qualidade (comprar os melhores insumos pelo menor custo financeiro possível);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Eficiência:</w:t>
      </w:r>
      <w:r>
        <w:rPr>
          <w:rFonts w:ascii="Arial" w:hAnsi="Arial"/>
          <w:b w:val="0"/>
          <w:i w:val="0"/>
          <w:color w:val="111827"/>
          <w:sz w:val="22"/>
        </w:rPr>
        <w:t xml:space="preserve"> Relação otimizada entre os insumos empregados e as saídas produzidas (</w:t>
      </w:r>
      <w:r>
        <w:rPr>
          <w:rFonts w:ascii="Cambria Math" w:hAnsi="Cambria Math"/>
          <w:i/>
          <w:color w:val="1B365D"/>
          <w:sz w:val="22"/>
        </w:rPr>
        <w:t>\text{Produtos} / \text{Insumos}</w:t>
      </w:r>
      <w:r>
        <w:rPr>
          <w:rFonts w:ascii="Arial" w:hAnsi="Arial"/>
          <w:b w:val="0"/>
          <w:i w:val="0"/>
          <w:color w:val="111827"/>
          <w:sz w:val="22"/>
        </w:rPr>
        <w:t>). É a competência para fazer certo as coisas, reduzindo perdas e desperdícios operacionais;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Eficácia:</w:t>
      </w:r>
      <w:r>
        <w:rPr>
          <w:rFonts w:ascii="Arial" w:hAnsi="Arial"/>
          <w:b w:val="0"/>
          <w:i w:val="0"/>
          <w:color w:val="111827"/>
          <w:sz w:val="22"/>
        </w:rPr>
        <w:t xml:space="preserve"> Grau de cumprimento das metas e objetivos formalmente planejados (</w:t>
      </w:r>
      <w:r>
        <w:rPr>
          <w:rFonts w:ascii="Cambria Math" w:hAnsi="Cambria Math"/>
          <w:i/>
          <w:color w:val="1B365D"/>
          <w:sz w:val="22"/>
        </w:rPr>
        <w:t>\text{Metas Realizadas} / \text{Metas Previstas}</w:t>
      </w:r>
      <w:r>
        <w:rPr>
          <w:rFonts w:ascii="Arial" w:hAnsi="Arial"/>
          <w:b w:val="0"/>
          <w:i w:val="0"/>
          <w:color w:val="111827"/>
          <w:sz w:val="22"/>
        </w:rPr>
        <w:t>). É a capacidade de fazer a coisa certa e entregar as saídas combinadas;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Efetividade:</w:t>
      </w:r>
      <w:r>
        <w:rPr>
          <w:rFonts w:ascii="Arial" w:hAnsi="Arial"/>
          <w:b w:val="0"/>
          <w:i w:val="0"/>
          <w:color w:val="111827"/>
          <w:sz w:val="22"/>
        </w:rPr>
        <w:t xml:space="preserve"> Impacto social duradouro e positivo gerado na realidade concreta da sociedade pela política pública. É a transformação concreta da vida do cidadão.</w:t>
      </w:r>
    </w:p>
    <w:tbl>
      <w:tblPr>
        <w:tblW w:type="auto" w:w="0"/>
        <w:jc w:val="center"/>
        <w:tblLook w:firstColumn="1" w:firstRow="1" w:lastColumn="0" w:lastRow="0" w:noHBand="0" w:noVBand="1" w:val="04A0"/>
      </w:tblPr>
      <w:tblGrid>
        <w:gridCol w:w="9071"/>
      </w:tblGrid>
      <w:tr>
        <w:tc>
          <w:tcPr>
            <w:tcW w:type="dxa" w:w="9071"/>
            <w:shd w:fill="EFF6FF"/>
            <w:tcBorders>
              <w:left w:val="single" w:sz="32" w:space="0" w:color="2563EB"/>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Exemplo Clássico em Provas:</w:t>
            </w:r>
          </w:p>
          <w:p>
            <w:pPr>
              <w:spacing w:line="288" w:lineRule="auto" w:before="40" w:after="40"/>
            </w:pPr>
            <w:r>
              <w:rPr>
                <w:rFonts w:ascii="Arial" w:hAnsi="Arial"/>
                <w:b w:val="0"/>
                <w:i w:val="0"/>
                <w:color w:val="111827"/>
                <w:sz w:val="21"/>
              </w:rPr>
              <w:t>Numa campanha de vacinação infantil:</w:t>
            </w:r>
          </w:p>
          <w:p>
            <w:pPr>
              <w:spacing w:line="288" w:lineRule="auto" w:before="40" w:after="40"/>
            </w:pPr>
            <w:r>
              <w:rPr>
                <w:rFonts w:ascii="Arial" w:hAnsi="Arial"/>
                <w:b w:val="0"/>
                <w:i w:val="0"/>
                <w:color w:val="111827"/>
                <w:sz w:val="21"/>
              </w:rPr>
              <w:t xml:space="preserve">- Comprar as vacinas e seringas pelo menor preço do mercado = </w:t>
            </w:r>
            <w:r>
              <w:rPr>
                <w:rFonts w:ascii="Arial" w:hAnsi="Arial"/>
                <w:b/>
                <w:i w:val="0"/>
                <w:color w:val="111827"/>
                <w:sz w:val="21"/>
              </w:rPr>
              <w:t>Economicidade</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Aplicar 80 doses por hora por enfermeiro sem desperdício de ampolas = </w:t>
            </w:r>
            <w:r>
              <w:rPr>
                <w:rFonts w:ascii="Arial" w:hAnsi="Arial"/>
                <w:b/>
                <w:i w:val="0"/>
                <w:color w:val="111827"/>
                <w:sz w:val="21"/>
              </w:rPr>
              <w:t>Eficiência</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Atingir a meta de imunizar 95% das crianças do público-alvo = </w:t>
            </w:r>
            <w:r>
              <w:rPr>
                <w:rFonts w:ascii="Arial" w:hAnsi="Arial"/>
                <w:b/>
                <w:i w:val="0"/>
                <w:color w:val="111827"/>
                <w:sz w:val="21"/>
              </w:rPr>
              <w:t>Eficácia</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Erradicar a doença e reduzir a zero as internações hospitalares na população infantil = </w:t>
            </w:r>
            <w:r>
              <w:rPr>
                <w:rFonts w:ascii="Arial" w:hAnsi="Arial"/>
                <w:b/>
                <w:i w:val="0"/>
                <w:color w:val="111827"/>
                <w:sz w:val="21"/>
              </w:rPr>
              <w:t>Efetividade</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5. Governança, Governabilidade e Accountability</w:t>
      </w:r>
    </w:p>
    <w:p>
      <w:pPr>
        <w:keepNext/>
        <w:spacing w:before="120" w:after="40"/>
      </w:pPr>
      <w:r>
        <w:rPr>
          <w:rFonts w:ascii="Arial" w:hAnsi="Arial"/>
          <w:b/>
          <w:i/>
          <w:color w:val="334155"/>
          <w:sz w:val="22"/>
        </w:rPr>
        <w:t>5.1 Governabilidade vs. Governança (Distinção Crítica FCC)</w:t>
      </w:r>
    </w:p>
    <w:p>
      <w:pPr>
        <w:spacing w:line="360" w:lineRule="auto" w:before="0" w:after="80"/>
        <w:jc w:val="both"/>
      </w:pPr>
      <w:r>
        <w:rPr>
          <w:rFonts w:ascii="Arial" w:hAnsi="Arial"/>
          <w:b w:val="0"/>
          <w:i w:val="0"/>
          <w:color w:val="111827"/>
          <w:sz w:val="24"/>
        </w:rPr>
        <w:t>A banca FCC cobra de forma reiterada a distinção analítica entre governabilidade e governança:</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Os Mecanismos de Governança (Referencial Básico do TCU):</w:t>
      </w:r>
    </w:p>
    <w:p>
      <w:pPr>
        <w:spacing w:line="276" w:lineRule="auto" w:before="20" w:after="40"/>
        <w:ind w:left="992"/>
      </w:pPr>
      <w:r>
        <w:rPr>
          <w:rFonts w:ascii="Arial" w:hAnsi="Arial"/>
          <w:b/>
          <w:color w:val="1B365D"/>
          <w:sz w:val="22"/>
        </w:rPr>
        <w:t xml:space="preserve">1. </w:t>
      </w:r>
      <w:r>
        <w:rPr>
          <w:rFonts w:ascii="Arial" w:hAnsi="Arial"/>
          <w:b/>
          <w:i w:val="0"/>
          <w:color w:val="111827"/>
          <w:sz w:val="22"/>
        </w:rPr>
        <w:t>Liderança:</w:t>
      </w:r>
      <w:r>
        <w:rPr>
          <w:rFonts w:ascii="Arial" w:hAnsi="Arial"/>
          <w:b w:val="0"/>
          <w:i w:val="0"/>
          <w:color w:val="111827"/>
          <w:sz w:val="22"/>
        </w:rPr>
        <w:t xml:space="preserve"> Papel dos dirigentes em estabelecer integridade, propósito e direção ética;</w:t>
      </w:r>
    </w:p>
    <w:p>
      <w:pPr>
        <w:spacing w:line="276" w:lineRule="auto" w:before="20" w:after="40"/>
        <w:ind w:left="992"/>
      </w:pPr>
      <w:r>
        <w:rPr>
          <w:rFonts w:ascii="Arial" w:hAnsi="Arial"/>
          <w:b/>
          <w:color w:val="1B365D"/>
          <w:sz w:val="22"/>
        </w:rPr>
        <w:t xml:space="preserve">2. </w:t>
      </w:r>
      <w:r>
        <w:rPr>
          <w:rFonts w:ascii="Arial" w:hAnsi="Arial"/>
          <w:b/>
          <w:i w:val="0"/>
          <w:color w:val="111827"/>
          <w:sz w:val="22"/>
        </w:rPr>
        <w:t>Estratégia:</w:t>
      </w:r>
      <w:r>
        <w:rPr>
          <w:rFonts w:ascii="Arial" w:hAnsi="Arial"/>
          <w:b w:val="0"/>
          <w:i w:val="0"/>
          <w:color w:val="111827"/>
          <w:sz w:val="22"/>
        </w:rPr>
        <w:t xml:space="preserve"> Definição de planos claros, metas, diretrizes e prioridades alinhadas à missão;</w:t>
      </w:r>
    </w:p>
    <w:p>
      <w:pPr>
        <w:spacing w:line="276" w:lineRule="auto" w:before="20" w:after="40"/>
        <w:ind w:left="992"/>
      </w:pPr>
      <w:r>
        <w:rPr>
          <w:rFonts w:ascii="Arial" w:hAnsi="Arial"/>
          <w:b/>
          <w:color w:val="1B365D"/>
          <w:sz w:val="22"/>
        </w:rPr>
        <w:t xml:space="preserve">3. </w:t>
      </w:r>
      <w:r>
        <w:rPr>
          <w:rFonts w:ascii="Arial" w:hAnsi="Arial"/>
          <w:b/>
          <w:i w:val="0"/>
          <w:color w:val="111827"/>
          <w:sz w:val="22"/>
        </w:rPr>
        <w:t>Controle:</w:t>
      </w:r>
      <w:r>
        <w:rPr>
          <w:rFonts w:ascii="Arial" w:hAnsi="Arial"/>
          <w:b w:val="0"/>
          <w:i w:val="0"/>
          <w:color w:val="111827"/>
          <w:sz w:val="22"/>
        </w:rPr>
        <w:t xml:space="preserve"> Gestão de riscos, transparência, integridade (</w:t>
      </w:r>
      <w:r>
        <w:rPr>
          <w:rFonts w:ascii="Arial" w:hAnsi="Arial"/>
          <w:b w:val="0"/>
          <w:i/>
          <w:color w:val="111827"/>
          <w:sz w:val="22"/>
        </w:rPr>
        <w:t>compliance</w:t>
      </w:r>
      <w:r>
        <w:rPr>
          <w:rFonts w:ascii="Arial" w:hAnsi="Arial"/>
          <w:b w:val="0"/>
          <w:i w:val="0"/>
          <w:color w:val="111827"/>
          <w:sz w:val="22"/>
        </w:rPr>
        <w:t>) e monitoramento contínuo.</w:t>
      </w:r>
    </w:p>
    <w:p>
      <w:pPr>
        <w:keepNext/>
        <w:spacing w:before="120" w:after="40"/>
      </w:pPr>
      <w:r>
        <w:rPr>
          <w:rFonts w:ascii="Arial" w:hAnsi="Arial"/>
          <w:b/>
          <w:i/>
          <w:color w:val="334155"/>
          <w:sz w:val="22"/>
        </w:rPr>
        <w:t>5.2 Dimensões da Accountability (Vertical, Horizontal e Social)</w:t>
      </w:r>
    </w:p>
    <w:p>
      <w:pPr>
        <w:spacing w:line="360" w:lineRule="auto" w:before="0" w:after="80"/>
        <w:jc w:val="both"/>
      </w:pPr>
      <w:r>
        <w:rPr>
          <w:rFonts w:ascii="Arial" w:hAnsi="Arial"/>
          <w:b w:val="0"/>
          <w:i w:val="0"/>
          <w:color w:val="111827"/>
          <w:sz w:val="24"/>
        </w:rPr>
        <w:t xml:space="preserve">O termo </w:t>
      </w:r>
      <w:r>
        <w:rPr>
          <w:rFonts w:ascii="Arial" w:hAnsi="Arial"/>
          <w:b w:val="0"/>
          <w:i/>
          <w:color w:val="111827"/>
          <w:sz w:val="24"/>
        </w:rPr>
        <w:t>accountability</w:t>
      </w:r>
      <w:r>
        <w:rPr>
          <w:rFonts w:ascii="Arial" w:hAnsi="Arial"/>
          <w:b w:val="0"/>
          <w:i w:val="0"/>
          <w:color w:val="111827"/>
          <w:sz w:val="24"/>
        </w:rPr>
        <w:t xml:space="preserve"> compreende o dever indeclinável de prestar contas, responder pelos atos praticados na gestão da coisa pública e submeter-se a sanções em caso de malversação: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Accountability Vertical:</w:t>
      </w:r>
      <w:r>
        <w:rPr>
          <w:rFonts w:ascii="Arial" w:hAnsi="Arial"/>
          <w:b w:val="0"/>
          <w:i w:val="0"/>
          <w:color w:val="111827"/>
          <w:sz w:val="22"/>
        </w:rPr>
        <w:t xml:space="preserve"> Opera de baixo para cima, no vínculo entre o cidadão e os governantes, materializada essencialmente pelo </w:t>
      </w:r>
      <w:r>
        <w:rPr>
          <w:rFonts w:ascii="Arial" w:hAnsi="Arial"/>
          <w:b/>
          <w:i w:val="0"/>
          <w:color w:val="111827"/>
          <w:sz w:val="22"/>
        </w:rPr>
        <w:t>voto livre e secreto nas eleições democráticas</w:t>
      </w:r>
      <w:r>
        <w:rPr>
          <w:rFonts w:ascii="Arial" w:hAnsi="Arial"/>
          <w:b w:val="0"/>
          <w:i w:val="0"/>
          <w:color w:val="111827"/>
          <w:sz w:val="22"/>
        </w:rPr>
        <w:t>, bem como por plebiscitos e referendos;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Accountability Horizontal:</w:t>
      </w:r>
      <w:r>
        <w:rPr>
          <w:rFonts w:ascii="Arial" w:hAnsi="Arial"/>
          <w:b w:val="0"/>
          <w:i w:val="0"/>
          <w:color w:val="111827"/>
          <w:sz w:val="22"/>
        </w:rPr>
        <w:t xml:space="preserve"> Consiste no controle mútuo e recíproco exercido entre órgãos estatais autônomos dotados de poderes constitucionais de freios e contrapesos (</w:t>
      </w:r>
      <w:r>
        <w:rPr>
          <w:rFonts w:ascii="Arial" w:hAnsi="Arial"/>
          <w:b/>
          <w:i w:val="0"/>
          <w:color w:val="111827"/>
          <w:sz w:val="22"/>
        </w:rPr>
        <w:t>Tribunais de Contas</w:t>
      </w:r>
      <w:r>
        <w:rPr>
          <w:rFonts w:ascii="Arial" w:hAnsi="Arial"/>
          <w:b w:val="0"/>
          <w:i w:val="0"/>
          <w:color w:val="111827"/>
          <w:sz w:val="22"/>
        </w:rPr>
        <w:t>, Ministério Público, Poder Judiciário e Controladorias);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Accountability Social (ou Societal):</w:t>
      </w:r>
      <w:r>
        <w:rPr>
          <w:rFonts w:ascii="Arial" w:hAnsi="Arial"/>
          <w:b w:val="0"/>
          <w:i w:val="0"/>
          <w:color w:val="111827"/>
          <w:sz w:val="22"/>
        </w:rPr>
        <w:t xml:space="preserve"> Exercida pela mobilização da sociedade civil organizada, sindicatos, conselhos de políticas públicas e pela imprensa investigativa independente.</w:t>
      </w:r>
    </w:p>
    <w:p>
      <w:pPr>
        <w:keepNext/>
        <w:spacing w:before="200" w:after="80"/>
      </w:pPr>
      <w:r>
        <w:rPr>
          <w:rFonts w:ascii="Arial" w:hAnsi="Arial"/>
          <w:b/>
          <w:i w:val="0"/>
          <w:color w:val="2B6CB0"/>
          <w:sz w:val="24"/>
        </w:rPr>
        <w:t>6. Transparência Pública e a Lei de Acesso à Informação (Lei nº 12.527/2011)</w:t>
      </w:r>
    </w:p>
    <w:p>
      <w:pPr>
        <w:spacing w:line="360" w:lineRule="auto" w:before="0" w:after="80"/>
        <w:jc w:val="both"/>
      </w:pPr>
      <w:r>
        <w:rPr>
          <w:rFonts w:ascii="Arial" w:hAnsi="Arial"/>
          <w:b w:val="0"/>
          <w:i w:val="0"/>
          <w:color w:val="111827"/>
          <w:sz w:val="24"/>
        </w:rPr>
        <w:t>A Lei Federal nº 12.527/2011 (LAI) e a Lei Estadual de Goiás nº 18.025/2013 consagram a publicidade como preceito geral republicano e o sigilo como exceção rigorosa.</w:t>
      </w:r>
    </w:p>
    <w:p>
      <w:pPr>
        <w:spacing w:after="120"/>
      </w:pPr>
    </w:p>
    <w:p>
      <w:pPr>
        <w:keepNext/>
        <w:spacing w:before="120" w:after="40"/>
      </w:pPr>
      <w:r>
        <w:rPr>
          <w:rFonts w:ascii="Arial" w:hAnsi="Arial"/>
          <w:b/>
          <w:i/>
          <w:color w:val="334155"/>
          <w:sz w:val="22"/>
        </w:rPr>
        <w:t>6.1 Transparência Ativa vs. Transparência Passiva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Transparência Ativa:</w:t>
      </w:r>
      <w:r>
        <w:rPr>
          <w:rFonts w:ascii="Arial" w:hAnsi="Arial"/>
          <w:b w:val="0"/>
          <w:i w:val="0"/>
          <w:color w:val="111827"/>
          <w:sz w:val="22"/>
        </w:rPr>
        <w:t xml:space="preserve"> Divulgação oficial espontânea e contínua de informações públicas de interesse coletivo em sítios oficiais da internet (portais de transparência), em dados abertos e de fácil acesso, independentemente de requerimento;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Transparência Passiva:</w:t>
      </w:r>
      <w:r>
        <w:rPr>
          <w:rFonts w:ascii="Arial" w:hAnsi="Arial"/>
          <w:b w:val="0"/>
          <w:i w:val="0"/>
          <w:color w:val="111827"/>
          <w:sz w:val="22"/>
        </w:rPr>
        <w:t xml:space="preserve"> Resposta formal do Poder Público aos pedidos específicos de acesso a documentos e informações formulados pelos cidadãos perante os Serviços de Informações ao Cidadão (SIC).</w:t>
      </w:r>
    </w:p>
    <w:p>
      <w:pPr>
        <w:keepNext/>
        <w:spacing w:before="120" w:after="40"/>
      </w:pPr>
      <w:r>
        <w:rPr>
          <w:rFonts w:ascii="Arial" w:hAnsi="Arial"/>
          <w:b/>
          <w:i/>
          <w:color w:val="334155"/>
          <w:sz w:val="22"/>
        </w:rPr>
        <w:t>6.2 Prazos de Atendimento e Desnecessidade de Motivação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Prazos:</w:t>
      </w:r>
      <w:r>
        <w:rPr>
          <w:rFonts w:ascii="Arial" w:hAnsi="Arial"/>
          <w:b w:val="0"/>
          <w:i w:val="0"/>
          <w:color w:val="111827"/>
          <w:sz w:val="22"/>
        </w:rPr>
        <w:t xml:space="preserve"> Se a informação estiver disponível, o acesso deve ser imediato. Caso não seja possível o atendimento imediato, o órgão tem o prazo de </w:t>
      </w:r>
      <w:r>
        <w:rPr>
          <w:rFonts w:ascii="Arial" w:hAnsi="Arial"/>
          <w:b/>
          <w:i w:val="0"/>
          <w:color w:val="111827"/>
          <w:sz w:val="22"/>
        </w:rPr>
        <w:t>até 20 (vinte) dias</w:t>
      </w:r>
      <w:r>
        <w:rPr>
          <w:rFonts w:ascii="Arial" w:hAnsi="Arial"/>
          <w:b w:val="0"/>
          <w:i w:val="0"/>
          <w:color w:val="111827"/>
          <w:sz w:val="22"/>
        </w:rPr>
        <w:t xml:space="preserve">, prorrogável motivadamente por mais </w:t>
      </w:r>
      <w:r>
        <w:rPr>
          <w:rFonts w:ascii="Arial" w:hAnsi="Arial"/>
          <w:b/>
          <w:i w:val="0"/>
          <w:color w:val="111827"/>
          <w:sz w:val="22"/>
        </w:rPr>
        <w:t>10 (dez) dias</w:t>
      </w:r>
      <w:r>
        <w:rPr>
          <w:rFonts w:ascii="Arial" w:hAnsi="Arial"/>
          <w:b w:val="0"/>
          <w:i w:val="0"/>
          <w:color w:val="111827"/>
          <w:sz w:val="22"/>
        </w:rPr>
        <w:t xml:space="preserve"> (regra dos 20 + 10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Desnecessidade de Motivação (Art. 10, § 3º da LAI):</w:t>
      </w:r>
      <w:r>
        <w:rPr>
          <w:rFonts w:ascii="Arial" w:hAnsi="Arial"/>
          <w:b w:val="0"/>
          <w:i w:val="0"/>
          <w:color w:val="111827"/>
          <w:sz w:val="22"/>
        </w:rPr>
        <w:t xml:space="preserve"> São vedadas quaisquer exigências relativas aos motivos determinantes da solicitação de informações de interesse público! O cidadão não precisa justificar por que deseja saber os gastos públicos.</w:t>
      </w:r>
    </w:p>
    <w:p>
      <w:pPr>
        <w:keepNext/>
        <w:spacing w:before="120" w:after="40"/>
      </w:pPr>
      <w:r>
        <w:rPr>
          <w:rFonts w:ascii="Arial" w:hAnsi="Arial"/>
          <w:b/>
          <w:i/>
          <w:color w:val="334155"/>
          <w:sz w:val="22"/>
        </w:rPr>
        <w:t>6.3 Graus e Prazos Máximos de Sigilo Documental</w:t>
      </w:r>
    </w:p>
    <w:p>
      <w:pPr>
        <w:spacing w:line="360" w:lineRule="auto" w:before="0" w:after="80"/>
        <w:jc w:val="both"/>
      </w:pPr>
      <w:r>
        <w:rPr>
          <w:rFonts w:ascii="Arial" w:hAnsi="Arial"/>
          <w:b w:val="0"/>
          <w:i w:val="0"/>
          <w:color w:val="111827"/>
          <w:sz w:val="24"/>
        </w:rPr>
        <w:t>As informações cuja divulgação possa colocar em risco a segurança da sociedade ou do Estado podem ser classificadas em três graus de sigilo: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Reservada:</w:t>
      </w:r>
      <w:r>
        <w:rPr>
          <w:rFonts w:ascii="Arial" w:hAnsi="Arial"/>
          <w:b w:val="0"/>
          <w:i w:val="0"/>
          <w:color w:val="111827"/>
          <w:sz w:val="22"/>
        </w:rPr>
        <w:t xml:space="preserve"> Prazo máximo de restrição de </w:t>
      </w:r>
      <w:r>
        <w:rPr>
          <w:rFonts w:ascii="Arial" w:hAnsi="Arial"/>
          <w:b/>
          <w:i w:val="0"/>
          <w:color w:val="111827"/>
          <w:sz w:val="22"/>
        </w:rPr>
        <w:t>até 5 (cinco) anos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Secreta:</w:t>
      </w:r>
      <w:r>
        <w:rPr>
          <w:rFonts w:ascii="Arial" w:hAnsi="Arial"/>
          <w:b w:val="0"/>
          <w:i w:val="0"/>
          <w:color w:val="111827"/>
          <w:sz w:val="22"/>
        </w:rPr>
        <w:t xml:space="preserve"> Prazo máximo de restrição de </w:t>
      </w:r>
      <w:r>
        <w:rPr>
          <w:rFonts w:ascii="Arial" w:hAnsi="Arial"/>
          <w:b/>
          <w:i w:val="0"/>
          <w:color w:val="111827"/>
          <w:sz w:val="22"/>
        </w:rPr>
        <w:t>até 15 (quinze) anos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Ultrassecreta:</w:t>
      </w:r>
      <w:r>
        <w:rPr>
          <w:rFonts w:ascii="Arial" w:hAnsi="Arial"/>
          <w:b w:val="0"/>
          <w:i w:val="0"/>
          <w:color w:val="111827"/>
          <w:sz w:val="22"/>
        </w:rPr>
        <w:t xml:space="preserve"> Prazo máximo de restrição de </w:t>
      </w:r>
      <w:r>
        <w:rPr>
          <w:rFonts w:ascii="Arial" w:hAnsi="Arial"/>
          <w:b/>
          <w:i w:val="0"/>
          <w:color w:val="111827"/>
          <w:sz w:val="22"/>
        </w:rPr>
        <w:t>até 25 (vinte e cinco) anos</w:t>
      </w:r>
      <w:r>
        <w:rPr>
          <w:rFonts w:ascii="Arial" w:hAnsi="Arial"/>
          <w:b w:val="0"/>
          <w:i w:val="0"/>
          <w:color w:val="111827"/>
          <w:sz w:val="22"/>
        </w:rPr>
        <w:t>, prorrogável uma única vez por igual período;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Informações Pessoais (Art. 31 da LAI):</w:t>
      </w:r>
      <w:r>
        <w:rPr>
          <w:rFonts w:ascii="Arial" w:hAnsi="Arial"/>
          <w:b w:val="0"/>
          <w:i w:val="0"/>
          <w:color w:val="111827"/>
          <w:sz w:val="22"/>
        </w:rPr>
        <w:t xml:space="preserve"> Relativas à intimidade, vida privada, honra e imagem de indivíduos têm acesso restrito por </w:t>
      </w:r>
      <w:r>
        <w:rPr>
          <w:rFonts w:ascii="Arial" w:hAnsi="Arial"/>
          <w:b/>
          <w:i w:val="0"/>
          <w:color w:val="111827"/>
          <w:sz w:val="22"/>
        </w:rPr>
        <w:t>até 100 (cem) anos</w:t>
      </w:r>
      <w:r>
        <w:rPr>
          <w:rFonts w:ascii="Arial" w:hAnsi="Arial"/>
          <w:b w:val="0"/>
          <w:i w:val="0"/>
          <w:color w:val="111827"/>
          <w:sz w:val="22"/>
        </w:rPr>
        <w:t>, independentemente de classificação de sigilo.</w:t>
      </w:r>
    </w:p>
    <w:p>
      <w:pPr>
        <w:keepNext/>
        <w:spacing w:before="280" w:after="120"/>
      </w:pPr>
      <w:r>
        <w:rPr>
          <w:rFonts w:ascii="Arial" w:hAnsi="Arial"/>
          <w:b/>
          <w:i w:val="0"/>
          <w:color w:val="2C5282"/>
          <w:sz w:val="28"/>
        </w:rPr>
        <w:t>🌐 Fontes Oficiais &amp;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BRESSER-PEREIRA, Luiz Carlos. Plano Diretor da Reforma do Aparelho do Estado (PDRAE)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Documento histórico fundamental do Ministério da Administração e Reforma do Estado (MARE, 1995).</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12.527/2011 (Lei de Acesso à Informação - LAI)</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Estatuto nacional de transparência ativa, passiva e graus de sigilo.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Estadual de Goiás nº 18.025/2013</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Aplicação e regulamento da Lei de Acesso à Informação no âmbito do Estado de Goiás.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Tribunal de Contas da União (TCU) - Referencial Básico de Governança Aplicável ao Setor Público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Princípios de liderança, estratégia, governança e controle.</w:t>
      </w:r>
    </w:p>
    <w:p>
      <w:pPr>
        <w:keepNext/>
        <w:spacing w:before="280" w:after="120"/>
      </w:pPr>
      <w:r>
        <w:rPr>
          <w:rFonts w:ascii="Arial" w:hAnsi="Arial"/>
          <w:b/>
          <w:i w:val="0"/>
          <w:color w:val="2C5282"/>
          <w:sz w:val="28"/>
        </w:rPr>
        <w:t>📝 Questões Comentadas no Padrão FCC</w:t>
      </w:r>
    </w:p>
    <w:p>
      <w:pPr>
        <w:keepNext/>
        <w:spacing w:before="200" w:after="80"/>
      </w:pPr>
      <w:r>
        <w:rPr>
          <w:rFonts w:ascii="Arial" w:hAnsi="Arial"/>
          <w:b/>
          <w:i w:val="0"/>
          <w:color w:val="2B6CB0"/>
          <w:sz w:val="24"/>
        </w:rPr>
        <w:t>Questão 1 (FCC – TCE-PI – Auditor de Controle Externo)</w:t>
      </w:r>
    </w:p>
    <w:p>
      <w:pPr>
        <w:spacing w:line="360" w:lineRule="auto" w:before="0" w:after="80"/>
        <w:jc w:val="both"/>
      </w:pPr>
      <w:r>
        <w:rPr>
          <w:rFonts w:ascii="Arial" w:hAnsi="Arial"/>
          <w:b w:val="0"/>
          <w:i w:val="0"/>
          <w:color w:val="111827"/>
          <w:sz w:val="24"/>
        </w:rPr>
        <w:t>A respeito da evolução dos modelos de administração pública e das reformas administrativas contemporâneas, considere as afirmativas a seguir:</w:t>
      </w:r>
    </w:p>
    <w:p>
      <w:pPr>
        <w:spacing w:line="360" w:lineRule="auto" w:before="0" w:after="80"/>
        <w:jc w:val="both"/>
      </w:pPr>
      <w:r>
        <w:rPr>
          <w:rFonts w:ascii="Arial" w:hAnsi="Arial"/>
          <w:b w:val="0"/>
          <w:i w:val="0"/>
          <w:color w:val="111827"/>
          <w:sz w:val="24"/>
        </w:rPr>
        <w:t>I. O modelo burocrático weberiano introduziu a impessoalidade e o mérito no serviço público com o objetivo de combater as práticas clientelistas e patrimonialistas da administração tradicional.</w:t>
      </w:r>
    </w:p>
    <w:p>
      <w:pPr>
        <w:spacing w:line="360" w:lineRule="auto" w:before="0" w:after="80"/>
        <w:jc w:val="both"/>
      </w:pPr>
      <w:r>
        <w:rPr>
          <w:rFonts w:ascii="Arial" w:hAnsi="Arial"/>
          <w:b w:val="0"/>
          <w:i w:val="0"/>
          <w:color w:val="111827"/>
          <w:sz w:val="24"/>
        </w:rPr>
        <w:t>II. A governabilidade traduz a capacidade financeira, operacional e técnica do Estado de implementar políticas públicas planejadas, ao passo que a governança expressa as condições políticas de sustentação parlamentar do governo.</w:t>
      </w:r>
    </w:p>
    <w:p>
      <w:pPr>
        <w:spacing w:line="360" w:lineRule="auto" w:before="0" w:after="80"/>
        <w:jc w:val="both"/>
      </w:pPr>
      <w:r>
        <w:rPr>
          <w:rFonts w:ascii="Arial" w:hAnsi="Arial"/>
          <w:b w:val="0"/>
          <w:i w:val="0"/>
          <w:color w:val="111827"/>
          <w:sz w:val="24"/>
        </w:rPr>
        <w:t>III. No modelo gerencial de administração pública, o controle estatal privilegia a avaliação dos resultados e o cumprimento de metas contratuais em detrimento do controle prévio e rígido dos processos procedimentais.</w:t>
      </w:r>
    </w:p>
    <w:p>
      <w:pPr>
        <w:spacing w:line="360" w:lineRule="auto" w:before="0" w:after="80"/>
        <w:jc w:val="both"/>
      </w:pPr>
      <w:r>
        <w:rPr>
          <w:rFonts w:ascii="Arial" w:hAnsi="Arial"/>
          <w:b w:val="0"/>
          <w:i w:val="0"/>
          <w:color w:val="111827"/>
          <w:sz w:val="24"/>
        </w:rPr>
        <w:t>Está correto o que se afirma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 e 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II e III, apenas.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 II e III.</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item III também está correto, tornando a opção incompleta.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item II traz um erro conceitual grave ao inverter as definições de governança e governabilidade.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w:t>
            </w:r>
          </w:p>
          <w:p>
            <w:pPr>
              <w:spacing w:line="288" w:lineRule="auto" w:before="40" w:after="40"/>
            </w:pPr>
            <w:r>
              <w:rPr>
                <w:rFonts w:ascii="Arial" w:hAnsi="Arial"/>
                <w:b w:val="0"/>
                <w:i w:val="0"/>
                <w:color w:val="111827"/>
                <w:sz w:val="21"/>
              </w:rPr>
              <w:t>- O item I é verdadeiro: a burocracia weberiana surgiu historicamente para combater a apropriação privada do Estado pelo patrimonialismo, mediante mérito, concurso público e regras impessoais;</w:t>
            </w:r>
          </w:p>
          <w:p>
            <w:pPr>
              <w:spacing w:line="288" w:lineRule="auto" w:before="40" w:after="40"/>
            </w:pPr>
            <w:r>
              <w:rPr>
                <w:rFonts w:ascii="Arial" w:hAnsi="Arial"/>
                <w:b w:val="0"/>
                <w:i w:val="0"/>
                <w:color w:val="111827"/>
                <w:sz w:val="21"/>
              </w:rPr>
              <w:t>- O item II é falso: governança é a capacidade técnica e gerencial de execução, enquanto governabilidade refere-se às condições políticas de sustentação no parlamento;</w:t>
            </w:r>
          </w:p>
          <w:p>
            <w:pPr>
              <w:spacing w:line="288" w:lineRule="auto" w:before="40" w:after="40"/>
            </w:pPr>
            <w:r>
              <w:rPr>
                <w:rFonts w:ascii="Arial" w:hAnsi="Arial"/>
                <w:b w:val="0"/>
                <w:i w:val="0"/>
                <w:color w:val="111827"/>
                <w:sz w:val="21"/>
              </w:rPr>
              <w:t>- O item III é verdadeiro: o gerencialismo foca na avaliação a posteriori dos resultados e cumprimento de metas, flexibilizando os controles prévios processuais.</w:t>
            </w:r>
          </w:p>
          <w:p>
            <w:pPr>
              <w:spacing w:line="288" w:lineRule="auto" w:before="40" w:after="40"/>
            </w:pPr>
            <w:r>
              <w:rPr>
                <w:rFonts w:ascii="Arial" w:hAnsi="Arial"/>
                <w:b w:val="0"/>
                <w:i w:val="0"/>
                <w:color w:val="111827"/>
                <w:sz w:val="21"/>
              </w:rPr>
              <w:t>Portanto, estão corretos apenas os itens I e III.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item II é flagrantemente falso.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item II invalida a assertiva geral.</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2 (FCC – TCE-RS – Auditor de Controle Externo)</w:t>
      </w:r>
    </w:p>
    <w:p>
      <w:pPr>
        <w:spacing w:line="360" w:lineRule="auto" w:before="0" w:after="80"/>
        <w:jc w:val="both"/>
      </w:pPr>
      <w:r>
        <w:rPr>
          <w:rFonts w:ascii="Arial" w:hAnsi="Arial"/>
          <w:b w:val="0"/>
          <w:i w:val="0"/>
          <w:color w:val="111827"/>
          <w:sz w:val="24"/>
        </w:rPr>
        <w:t>Nos termos da Lei Federal nº 12.527/2011 (Lei de Acesso à Informação), a respeito dos prazos de resposta aos pedidos de acesso à informação formulados por cidadãos e da classificação de sigilo documental,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prazo para resposta ao pedido de informação não atendido de imediato é de 30 dias, vedada qualquer prorrogação.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Informações classificadas no grau reservado permanecem sob restrição de acesso público pelo prazo máximo de 5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acesso à informação pública subordina-se à demonstração de legítimo interesse jurídico e comprovação dos motivos determinantes da solicitação pelo requerente.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classificação de informação como ultrassecreta é atribuição passível de delegação a qualquer servidor ocupante de cargo comissionado de chefia.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transparência ativa refere-se exclusivamente às informações fornecidas pelo poder público em resposta a pedidos protocolados via ouvidoria geral.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prazo legal fixado pelo art. 11, §§ 1º e 2º da LAI é de até 20 dias, admitindo-se prorrogação justificada por mais 10 dias.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Conforme o art. 24, § 1º, III da Lei nº 12.527/2011, as informações no grau reservado ficam submetidas ao prazo de restrição máxima de até 5 (cinco) anos.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art. 10, § 3º da LAI proíbe expressamente qualquer exigência de justificação ou demonstração de interesse jurídico para pedidos de informação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classificação no grau ultrassecreto é ato privativo de altas autoridades de cúpula (Presidente, Ministros de Estado, Comandantes Militares), não podendo ser delegada a escalões intermediários.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atendimento a pedidos de cidadãos consubstancia transparência passiva; a transparência ativa é a publicação espontânea em portais públicos eletrônicos.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3 (FCC – TCE-GO – Analista de Controle Externo)</w:t>
      </w:r>
    </w:p>
    <w:p>
      <w:pPr>
        <w:spacing w:line="360" w:lineRule="auto" w:before="0" w:after="80"/>
        <w:jc w:val="both"/>
      </w:pPr>
      <w:r>
        <w:rPr>
          <w:rFonts w:ascii="Arial" w:hAnsi="Arial"/>
          <w:b w:val="0"/>
          <w:i w:val="0"/>
          <w:color w:val="111827"/>
          <w:sz w:val="24"/>
        </w:rPr>
        <w:t xml:space="preserve">A fiscalização da gestão governamental desempenhada pelo Tribunal de Contas do Estado sobre as contas dos Poderes Executivo, Legislativo e Judiciário materializa uma dimensão específica da </w:t>
      </w:r>
      <w:r>
        <w:rPr>
          <w:rFonts w:ascii="Arial" w:hAnsi="Arial"/>
          <w:b w:val="0"/>
          <w:i/>
          <w:color w:val="111827"/>
          <w:sz w:val="24"/>
        </w:rPr>
        <w:t>accountability</w:t>
      </w:r>
      <w:r>
        <w:rPr>
          <w:rFonts w:ascii="Arial" w:hAnsi="Arial"/>
          <w:b w:val="0"/>
          <w:i w:val="0"/>
          <w:color w:val="111827"/>
          <w:sz w:val="24"/>
        </w:rPr>
        <w:t xml:space="preserve">. Trata-se de um exemplo típico de </w:t>
      </w:r>
      <w:r>
        <w:rPr>
          <w:rFonts w:ascii="Arial" w:hAnsi="Arial"/>
          <w:b w:val="0"/>
          <w:i/>
          <w:color w:val="111827"/>
          <w:sz w:val="24"/>
        </w:rPr>
        <w:t>accountability</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Vertical, pois o Tribunal de Contas situa-se em escalão hierárquico superior aos órgãos do Poder Executivo estadual.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Social, uma vez que decorre unicamente de representações apresentadas por organizações não governamentais e pela imprensa.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Horizontal, por consistir em controle mútuo de legalidade e legitimidade exercido por um órgão estatal autônomo sobre outros órgãos estatais no mesmo nível institucional.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Comportamental, pois visa exclusivamente à apuração disciplinar de infrações éticas cometidas por servidores subalternos.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Primária, caracterizada pelo exercício direto do sufrágio universal e do voto popular nas urnas.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Não existe hierarquia entre o Tribunal de Contas e os Poderes; a relação é de equilíbrio e controle constitucional autônomo.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atuação de ONGs e imprensa caracteriza accountability social (societal).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A accountability horizontal (formulada teoricamente por Guillermo O'Donnell) traduz o controle mútuo exercido entre órgãos públicos independentes dotados de poderes constitucionais de fiscalização e freios e contrapesos (como os Tribunais de Contas, o Ministério Público e o Poder Judiciário) sobre as contas e atos de outros órgãos de Estado.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Conceito inexistente na tipologia clássica de accountability.</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voto do cidadão nas eleições consubstancia a manifestação da accountability vertical.</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4 (FCC – ARTESP – Especialista em Regulação de Transportes)</w:t>
      </w:r>
    </w:p>
    <w:p>
      <w:pPr>
        <w:spacing w:line="360" w:lineRule="auto" w:before="0" w:after="80"/>
        <w:jc w:val="both"/>
      </w:pPr>
      <w:r>
        <w:rPr>
          <w:rFonts w:ascii="Arial" w:hAnsi="Arial"/>
          <w:b w:val="0"/>
          <w:i w:val="0"/>
          <w:color w:val="111827"/>
          <w:sz w:val="24"/>
        </w:rPr>
        <w:t>O Plano Diretor da Reforma do Aparelho do Estado (PDRAE), editado em 1995, propôs a descentralização do Estado e a reorganização de suas atividades em quatro setores. A prestação de serviços de saúde básica em hospitais públicos e a realização de pesquisas científicas em universidades enquadram-se, segundo a tipologia do PDRAE, no setor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Atividades Exclusivas de Estado, a serem desempenhadas compulsoriamente por agências reguladoras.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Núcleo Estratégico, com manutenção de propriedade puramente estatal e cargos privativos de livre nomeação política.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Serviços Não Exclusivos do Estado, com orientação para o modelo de publicização mediante parcerias com Organizações Sociais (OS).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Produção de Bens e Serviços para o Mercado, orientados à privatização compulsória em bolsa de valores.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Controle Disciplinar Corporativo, com atuação exclusiva do sistema correcional e dos Tribunais de Contas.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Atividades exclusivas abrangem polícia, arrecadação, fiscalização e regulação.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Núcleo Estratégico é composto pela cúpula dos Poderes (Presidência, Ministérios, Cúpula dos Tribunais).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No modelo do PDRAE (1995), a saúde, educação, cultura e pesquisa científica são classificadas como Serviços Não Exclusivos do Estado, uma vez que o setor privado também atua livremente nessas áreas. A diretriz preconizada para esse setor foi a publicização, isto é, a descentralização de sua gestão para entidades do terceiro setor qualificadas como Organizações Sociais (OS), mediante contratos de gestão.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Produção de bens para o mercado corresponde a empresas estatais industriais e financeiras voltadas ao lucro.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Categoria desconexa do texto do PDRAE.</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5 (FCC – DPE-RS – Analista: Área Administrativa)</w:t>
      </w:r>
    </w:p>
    <w:p>
      <w:pPr>
        <w:spacing w:line="360" w:lineRule="auto" w:before="0" w:after="80"/>
        <w:jc w:val="both"/>
      </w:pPr>
      <w:r>
        <w:rPr>
          <w:rFonts w:ascii="Arial" w:hAnsi="Arial"/>
          <w:b w:val="0"/>
          <w:i w:val="0"/>
          <w:color w:val="111827"/>
          <w:sz w:val="24"/>
        </w:rPr>
        <w:t>Considere que determinado município gaúcho implementou um programa de alfabetização de adultos com orçamento de R$ 1.000.000,00. Ao final do projeto, constatou-se que:</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O custo por aluno atendido foi o menor registrado no Estado, sem desperdício de material pedagógico.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A meta quantitativa de matricular e formar 2.000 estudantes foi rigorosamente alcançada.</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Decorrido um ano da conclusão, levantamento censitário demonstrou que 95% dos formandos foram inseridos no mercado formal de trabalho e aumentaram sua renda familiar.</w:t>
      </w:r>
    </w:p>
    <w:p>
      <w:pPr>
        <w:spacing w:line="360" w:lineRule="auto" w:before="0" w:after="80"/>
        <w:jc w:val="both"/>
      </w:pPr>
      <w:r>
        <w:rPr>
          <w:rFonts w:ascii="Arial" w:hAnsi="Arial"/>
          <w:b w:val="0"/>
          <w:i w:val="0"/>
          <w:color w:val="111827"/>
          <w:sz w:val="24"/>
        </w:rPr>
        <w:t>As constatações 1, 2 e 3 correspondem, respectivamente, aos conceitos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Eficácia, Eficiência e Efetividade.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Eficiência, Eficácia e Efetividade.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Efetividade, Eficiência e Eficácia.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Economicidade, Efetividade e Eficiência.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Eficiência, Efetividade e Eficácia.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Inverte a ordem das duas primeiras dimensões.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w:t>
            </w:r>
          </w:p>
          <w:p>
            <w:pPr>
              <w:spacing w:line="288" w:lineRule="auto" w:before="40" w:after="40"/>
            </w:pPr>
            <w:r>
              <w:rPr>
                <w:rFonts w:ascii="Arial" w:hAnsi="Arial"/>
                <w:b w:val="0"/>
                <w:i w:val="0"/>
                <w:color w:val="111827"/>
                <w:sz w:val="21"/>
              </w:rPr>
              <w:t>- Constatação 1 (Eficiência): Atingir o menor custo por aluno sem desperdícios operacionais expressa a otimização da relação entre insumos e produtos (fazer certo as coisas), traduzindo a Eficiência;</w:t>
            </w:r>
          </w:p>
          <w:p>
            <w:pPr>
              <w:spacing w:line="288" w:lineRule="auto" w:before="40" w:after="40"/>
            </w:pPr>
            <w:r>
              <w:rPr>
                <w:rFonts w:ascii="Arial" w:hAnsi="Arial"/>
                <w:b w:val="0"/>
                <w:i w:val="0"/>
                <w:color w:val="111827"/>
                <w:sz w:val="21"/>
              </w:rPr>
              <w:t>- Constatação 2 (Eficácia): Cumprir integralmente a meta planejada de matricular e formar 2.000 pessoas expressa o atingimento das saídas quantitativas (fazer a coisa certa), traduzindo a Eficácia;</w:t>
            </w:r>
          </w:p>
          <w:p>
            <w:pPr>
              <w:spacing w:line="288" w:lineRule="auto" w:before="40" w:after="40"/>
            </w:pPr>
            <w:r>
              <w:rPr>
                <w:rFonts w:ascii="Arial" w:hAnsi="Arial"/>
                <w:b w:val="0"/>
                <w:i w:val="0"/>
                <w:color w:val="111827"/>
                <w:sz w:val="21"/>
              </w:rPr>
              <w:t>- Constatação 3 (Efetividade): Gerar inserção no mercado de trabalho formal e aumento real da renda familiar reflete o impacto social duradouro e a transformação da realidade coletiva, consubstanciando a Efetividade.</w:t>
            </w:r>
          </w:p>
          <w:p>
            <w:pPr>
              <w:spacing w:line="288" w:lineRule="auto" w:before="40" w:after="40"/>
            </w:pPr>
            <w:r>
              <w:rPr>
                <w:rFonts w:ascii="Arial" w:hAnsi="Arial"/>
                <w:b w:val="0"/>
                <w:i w:val="0"/>
                <w:color w:val="111827"/>
                <w:sz w:val="21"/>
              </w:rPr>
              <w:t>Logo, a ordem precisa é Eficiência, Eficácia e Efetividade.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Efetividade é a terceira constatação e não a primeira.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Mistura as categorias e inverte os conceitos de impacto social.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Inverte eficácia e efetividade no final.</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03 - Gestão da Qualidade, Decreto nº 9.094/2017, Gestão de Processos (BPM) e Projetos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Administração Pública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03_gestao_da_qualidade_processos_projetos_e_decreto_9094.md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Gestão da Qualidade e excelência nos serviços públicos: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Evolução dos conceitos da qualidade: inspeção, controle estatístico de processos (CEP), garantia da qualidade e Gestão da Qualidade Total (</w:t>
      </w:r>
      <w:r>
        <w:rPr>
          <w:rFonts w:ascii="Arial" w:hAnsi="Arial"/>
          <w:b w:val="0"/>
          <w:i/>
          <w:color w:val="111827"/>
          <w:sz w:val="22"/>
        </w:rPr>
        <w:t>Total Quality Management</w:t>
      </w:r>
      <w:r>
        <w:rPr>
          <w:rFonts w:ascii="Arial" w:hAnsi="Arial"/>
          <w:b w:val="0"/>
          <w:i w:val="0"/>
          <w:color w:val="111827"/>
          <w:sz w:val="22"/>
        </w:rPr>
        <w:t xml:space="preserve"> - TQM);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Mestres da qualidade e suas contribuições essenciais: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W. Edwards Deming: 14 princípios e o Ciclo PDCA (</w:t>
      </w:r>
      <w:r>
        <w:rPr>
          <w:rFonts w:ascii="Arial" w:hAnsi="Arial"/>
          <w:b w:val="0"/>
          <w:i/>
          <w:color w:val="111827"/>
          <w:sz w:val="22"/>
        </w:rPr>
        <w:t>Plan, Do, Check, Act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Joseph Juran: Trilogia da Qualidade (Planejamento, Controle e Aperfeiçoamento da Qualidade) e custos da qualidade;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Kaoru Ishikawa: Diagrama de Causa e Efeito (Espinha de Peixe / 6M), Círculos de Controle de Qualidade (CCQ) e as 7 ferramentas da qualidade;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Philip Crosby: Conceito de "Zero Defeito" e conformidade com requisitos;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Modelos de excelência em gestão pública: Modelo de Excelência em Gestão (MEG / Fundação Nacional da Qualidade - FNQ) e Programa GesPública;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Simplificação, racionalização e avaliação dos serviços prestados aos usuários: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Decreto Federal nº 9.094/2017</w:t>
      </w:r>
      <w:r>
        <w:rPr>
          <w:rFonts w:ascii="Arial" w:hAnsi="Arial"/>
          <w:b w:val="0"/>
          <w:i w:val="0"/>
          <w:color w:val="111827"/>
          <w:sz w:val="22"/>
        </w:rPr>
        <w:t xml:space="preserve"> e alterações (Decreto nº 9.723/2019 e Lei nº 13.726/2018 - Lei de Desburocratização):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Dispensa de reconhecimento de firma em cartório e de autenticação de cópias de documentos;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Proibição de exigência de certidões ou documentos emitidos pela própria administração pública ou presentes em bancos de dados oficiais;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Adoção do CPF como número suficiente e universal de identificação do cidadão nos serviços públicos;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Carta de Serviços ao Usuário:</w:t>
      </w:r>
      <w:r>
        <w:rPr>
          <w:rFonts w:ascii="Arial" w:hAnsi="Arial"/>
          <w:b w:val="0"/>
          <w:i w:val="0"/>
          <w:color w:val="111827"/>
          <w:sz w:val="22"/>
        </w:rPr>
        <w:t xml:space="preserve"> conteúdo compulsório, padrões de qualidade, prazos e atualização permanente;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Gestão de Processos de Negócio (</w:t>
      </w:r>
      <w:r>
        <w:rPr>
          <w:rFonts w:ascii="Arial" w:hAnsi="Arial"/>
          <w:b w:val="0"/>
          <w:i/>
          <w:color w:val="111827"/>
          <w:sz w:val="22"/>
        </w:rPr>
        <w:t>Business Process Management</w:t>
      </w:r>
      <w:r>
        <w:rPr>
          <w:rFonts w:ascii="Arial" w:hAnsi="Arial"/>
          <w:b w:val="0"/>
          <w:i w:val="0"/>
          <w:color w:val="111827"/>
          <w:sz w:val="22"/>
        </w:rPr>
        <w:t xml:space="preserve"> - BPM):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Conceito e hierarquia dos processos: Macroprocesso, Processo, Subprocesso, Atividade e Tarefa;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Tipos de processos organizacionais: Processos Finalísticos (Primários / Ponta a Ponta), de Suporte (Apoio / Secundários) e de Gerenciamento (Gestão);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Ciclo de vida do BPM: Diagnóstico da situação atual (</w:t>
      </w:r>
      <w:r>
        <w:rPr>
          <w:rFonts w:ascii="Arial" w:hAnsi="Arial"/>
          <w:b w:val="0"/>
          <w:i/>
          <w:color w:val="111827"/>
          <w:sz w:val="22"/>
        </w:rPr>
        <w:t>AS-IS</w:t>
      </w:r>
      <w:r>
        <w:rPr>
          <w:rFonts w:ascii="Arial" w:hAnsi="Arial"/>
          <w:b w:val="0"/>
          <w:i w:val="0"/>
          <w:color w:val="111827"/>
          <w:sz w:val="22"/>
        </w:rPr>
        <w:t>) versus Modelagem do estado futuro otimizado (</w:t>
      </w:r>
      <w:r>
        <w:rPr>
          <w:rFonts w:ascii="Arial" w:hAnsi="Arial"/>
          <w:b w:val="0"/>
          <w:i/>
          <w:color w:val="111827"/>
          <w:sz w:val="22"/>
        </w:rPr>
        <w:t>TO-BE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Noções de Gestão de Projetos: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Distinção conceitual entre Projeto (esforço temporário para criar um resultado exclusivo) e Processo (fluxo contínuo, padronizado e perene);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guia PMBOK (</w:t>
      </w:r>
      <w:r>
        <w:rPr>
          <w:rFonts w:ascii="Arial" w:hAnsi="Arial"/>
          <w:b w:val="0"/>
          <w:i/>
          <w:color w:val="111827"/>
          <w:sz w:val="22"/>
        </w:rPr>
        <w:t>Project Management Institute</w:t>
      </w:r>
      <w:r>
        <w:rPr>
          <w:rFonts w:ascii="Arial" w:hAnsi="Arial"/>
          <w:b w:val="0"/>
          <w:i w:val="0"/>
          <w:color w:val="111827"/>
          <w:sz w:val="22"/>
        </w:rPr>
        <w:t xml:space="preserve"> - PMI): os 5 grupos de processos (Iniciação, Planejamento, Execução, Monitoramento/Controle e Encerramento);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Termo de Abertura do Projeto (TAP / </w:t>
      </w:r>
      <w:r>
        <w:rPr>
          <w:rFonts w:ascii="Arial" w:hAnsi="Arial"/>
          <w:b w:val="0"/>
          <w:i/>
          <w:color w:val="111827"/>
          <w:sz w:val="22"/>
        </w:rPr>
        <w:t>Project Charter</w:t>
      </w:r>
      <w:r>
        <w:rPr>
          <w:rFonts w:ascii="Arial" w:hAnsi="Arial"/>
          <w:b w:val="0"/>
          <w:i w:val="0"/>
          <w:color w:val="111827"/>
          <w:sz w:val="22"/>
        </w:rPr>
        <w:t xml:space="preserve">) e Estrutura Analítica do Projeto (EAP / </w:t>
      </w:r>
      <w:r>
        <w:rPr>
          <w:rFonts w:ascii="Arial" w:hAnsi="Arial"/>
          <w:b w:val="0"/>
          <w:i/>
          <w:color w:val="111827"/>
          <w:sz w:val="22"/>
        </w:rPr>
        <w:t>WBS</w:t>
      </w:r>
      <w:r>
        <w:rPr>
          <w:rFonts w:ascii="Arial" w:hAnsi="Arial"/>
          <w:b w:val="0"/>
          <w:i w:val="0"/>
          <w:color w:val="111827"/>
          <w:sz w:val="22"/>
        </w:rPr>
        <w:t>).</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Gestão da Qualidade: Eras, Teóricos e Ferramentas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Evolução das Quatro Eras da Qualidade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Os Mestres da Qualidade e suas Contribuições (Deming, Juran, Ishikawa e Crosby)</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O Ciclo PDCA e as Sete Ferramentas da Qualidade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1.4 Modelos de Excelência: MEG / FNQ e o GesPública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Desburocratização e Atendimento ao Cidadão (Decreto nº 9.094/2017)</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Supressão de Custos Cartorários (Reconhecimento de Firma e Autenticação)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Proibição de Exigência Documental Redundante e Interoperabilidade</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2.3 O CPF como Chave Unificada de Identificação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2.4 A Carta de Serviços ao Usuário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Gestão de Processos de Negócio (BPM)</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Conceito e Hierarquia Estrutural dos Processos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Tipos de Processos: Finalísticos, de Suporte e de Gerenciamento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Redesenho de Processos: Diagnóstico AS-IS vs. Modelagem TO-BE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Gestão de Projetos segundo o Guia PMBOK (PMI)</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Distinção Conceitual: Projeto versus Processo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Os Cinco Grupos de Processos do PMBOK</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4.3 Instrumentos Primordiais: TAP e EAP (WBS)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4.4 A Restrição Tripla Clássica (Escopo, Custo e Tempo)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&amp;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Comentadas no Padrão FCC</w:t>
      </w:r>
    </w:p>
    <w:p>
      <w:pPr>
        <w:keepNext/>
        <w:spacing w:before="280" w:after="120"/>
      </w:pPr>
      <w:r>
        <w:rPr>
          <w:rFonts w:ascii="Arial" w:hAnsi="Arial"/>
          <w:b/>
          <w:i w:val="0"/>
          <w:color w:val="2C5282"/>
          <w:sz w:val="28"/>
        </w:rPr>
        <w:t>📖 Conteúdo Teórico Aprofundado</w:t>
      </w:r>
    </w:p>
    <w:p>
      <w:pPr>
        <w:keepNext/>
        <w:spacing w:before="200" w:after="80"/>
      </w:pPr>
      <w:r>
        <w:rPr>
          <w:rFonts w:ascii="Arial" w:hAnsi="Arial"/>
          <w:b/>
          <w:i w:val="0"/>
          <w:color w:val="2B6CB0"/>
          <w:sz w:val="24"/>
        </w:rPr>
        <w:t>1. Gestão da Qualidade: Eras, Teóricos e Ferramentas</w:t>
      </w:r>
    </w:p>
    <w:p>
      <w:pPr>
        <w:keepNext/>
        <w:spacing w:before="120" w:after="40"/>
      </w:pPr>
      <w:r>
        <w:rPr>
          <w:rFonts w:ascii="Arial" w:hAnsi="Arial"/>
          <w:b/>
          <w:i/>
          <w:color w:val="334155"/>
          <w:sz w:val="22"/>
        </w:rPr>
        <w:t>1.1 Evolução das Quatro Eras da Qualidade</w:t>
      </w:r>
    </w:p>
    <w:p>
      <w:pPr>
        <w:spacing w:line="360" w:lineRule="auto" w:before="0" w:after="80"/>
        <w:jc w:val="both"/>
      </w:pPr>
      <w:r>
        <w:rPr>
          <w:rFonts w:ascii="Arial" w:hAnsi="Arial"/>
          <w:b w:val="0"/>
          <w:i w:val="0"/>
          <w:color w:val="111827"/>
          <w:sz w:val="24"/>
        </w:rPr>
        <w:t>A gestão da qualidade nas organizações públicas e privadas evoluiu através de quatro grandes eras históricas: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Era da Inspeção:</w:t>
      </w:r>
      <w:r>
        <w:rPr>
          <w:rFonts w:ascii="Arial" w:hAnsi="Arial"/>
          <w:b w:val="0"/>
          <w:i w:val="0"/>
          <w:color w:val="111827"/>
          <w:sz w:val="22"/>
        </w:rPr>
        <w:t xml:space="preserve"> Foco estritamente reativo sobre o produto já fabricado. A qualidade resumia-se a separar as peças boas das peças defeituosas ao final da linha de produção;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Era do Controle Estatístico de Processos (CEP):</w:t>
      </w:r>
      <w:r>
        <w:rPr>
          <w:rFonts w:ascii="Arial" w:hAnsi="Arial"/>
          <w:b w:val="0"/>
          <w:i w:val="0"/>
          <w:color w:val="111827"/>
          <w:sz w:val="22"/>
        </w:rPr>
        <w:t xml:space="preserve"> Introduzida por Walter Shewhart na década de 1930. Utilização de técnicas estatísticas de amostragem durante o processo produtivo para identificar desvios antes da conclusão do lote;</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Era da Garantia da Qualidade:</w:t>
      </w:r>
      <w:r>
        <w:rPr>
          <w:rFonts w:ascii="Arial" w:hAnsi="Arial"/>
          <w:b w:val="0"/>
          <w:i w:val="0"/>
          <w:color w:val="111827"/>
          <w:sz w:val="22"/>
        </w:rPr>
        <w:t xml:space="preserve"> Foco sistêmico na </w:t>
      </w:r>
      <w:r>
        <w:rPr>
          <w:rFonts w:ascii="Arial" w:hAnsi="Arial"/>
          <w:b/>
          <w:i w:val="0"/>
          <w:color w:val="111827"/>
          <w:sz w:val="22"/>
        </w:rPr>
        <w:t>prevenção</w:t>
      </w:r>
      <w:r>
        <w:rPr>
          <w:rFonts w:ascii="Arial" w:hAnsi="Arial"/>
          <w:b w:val="0"/>
          <w:i w:val="0"/>
          <w:color w:val="111827"/>
          <w:sz w:val="22"/>
        </w:rPr>
        <w:t xml:space="preserve"> de defeitos. A qualidade é planejada em todas as etapas de projeto, suprimentos e fabricação, surgindo normas formais de certificação (família ISO 9000);</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**Era da Gestão da Qualidade Total (</w:t>
      </w:r>
      <w:r>
        <w:rPr>
          <w:rFonts w:ascii="Arial" w:hAnsi="Arial"/>
          <w:b w:val="0"/>
          <w:i/>
          <w:color w:val="111827"/>
          <w:sz w:val="22"/>
        </w:rPr>
        <w:t>Total Quality Management</w:t>
      </w:r>
      <w:r>
        <w:rPr>
          <w:rFonts w:ascii="Arial" w:hAnsi="Arial"/>
          <w:b w:val="0"/>
          <w:i w:val="0"/>
          <w:color w:val="111827"/>
          <w:sz w:val="22"/>
        </w:rPr>
        <w:t xml:space="preserve"> - TQM):** Envolvimento de todos os colaboradores e departamentos da organização, com foco prioritário na satisfação das necessidades do usuário-cidadão e na busca perene pela melhoria contínua (</w:t>
      </w:r>
      <w:r>
        <w:rPr>
          <w:rFonts w:ascii="Arial" w:hAnsi="Arial"/>
          <w:b w:val="0"/>
          <w:i/>
          <w:color w:val="111827"/>
          <w:sz w:val="22"/>
        </w:rPr>
        <w:t>Kaizen</w:t>
      </w:r>
      <w:r>
        <w:rPr>
          <w:rFonts w:ascii="Arial" w:hAnsi="Arial"/>
          <w:b w:val="0"/>
          <w:i w:val="0"/>
          <w:color w:val="111827"/>
          <w:sz w:val="22"/>
        </w:rPr>
        <w:t>).</w:t>
      </w:r>
    </w:p>
    <w:p>
      <w:pPr>
        <w:keepNext/>
        <w:spacing w:before="120" w:after="40"/>
      </w:pPr>
      <w:r>
        <w:rPr>
          <w:rFonts w:ascii="Arial" w:hAnsi="Arial"/>
          <w:b/>
          <w:i/>
          <w:color w:val="334155"/>
          <w:sz w:val="22"/>
        </w:rPr>
        <w:t>1.2 Os Mestres da Qualidade e suas Contribuições (Deming, Juran, Ishikawa e Crosby)</w:t>
      </w:r>
    </w:p>
    <w:p>
      <w:pPr>
        <w:spacing w:line="276" w:lineRule="auto" w:before="20" w:after="40"/>
        <w:ind w:left="425"/>
      </w:pPr>
      <w:r>
        <w:rPr>
          <w:rFonts w:ascii="Arial" w:hAnsi="Arial"/>
          <w:b/>
          <w:color w:val="2B6CB0"/>
          <w:sz w:val="22"/>
        </w:rPr>
        <w:t xml:space="preserve">• </w:t>
      </w:r>
      <w:r>
        <w:rPr>
          <w:rFonts w:ascii="Arial" w:hAnsi="Arial"/>
          <w:b/>
          <w:i w:val="0"/>
          <w:color w:val="111827"/>
          <w:sz w:val="22"/>
        </w:rPr>
        <w:t>W. Edwards Deming:</w:t>
      </w:r>
      <w:r>
        <w:rPr>
          <w:rFonts w:ascii="Arial" w:hAnsi="Arial"/>
          <w:b w:val="0"/>
          <w:i w:val="0"/>
          <w:color w:val="111827"/>
          <w:sz w:val="22"/>
        </w:rPr>
        <w:t xml:space="preserve"> Conhecido como o pai do gerenciamento moderno da qualidade. Defendeu que mais de 85% dos problemas de qualidade decorrem de falhas no sistema administrativo, e não dos trabalhadores. Formulou os 14 Princípios da Qualidade e disseminou globalmente o </w:t>
      </w:r>
      <w:r>
        <w:rPr>
          <w:rFonts w:ascii="Arial" w:hAnsi="Arial"/>
          <w:b/>
          <w:i w:val="0"/>
          <w:color w:val="111827"/>
          <w:sz w:val="22"/>
        </w:rPr>
        <w:t>Ciclo PDCA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Joseph Juran:</w:t>
      </w:r>
      <w:r>
        <w:rPr>
          <w:rFonts w:ascii="Arial" w:hAnsi="Arial"/>
          <w:b w:val="0"/>
          <w:i w:val="0"/>
          <w:color w:val="111827"/>
          <w:sz w:val="22"/>
        </w:rPr>
        <w:t xml:space="preserve"> Enfatizou que a qualidade deve ser gerenciada como uma função executiva de negócios. Concebeu a </w:t>
      </w:r>
      <w:r>
        <w:rPr>
          <w:rFonts w:ascii="Arial" w:hAnsi="Arial"/>
          <w:b/>
          <w:i w:val="0"/>
          <w:color w:val="111827"/>
          <w:sz w:val="22"/>
        </w:rPr>
        <w:t>Trilogia da Qualidade</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1. </w:t>
      </w:r>
      <w:r>
        <w:rPr>
          <w:rFonts w:ascii="Arial" w:hAnsi="Arial"/>
          <w:b w:val="0"/>
          <w:i/>
          <w:color w:val="111827"/>
          <w:sz w:val="22"/>
        </w:rPr>
        <w:t>Planejamento da Qualidade:</w:t>
      </w:r>
      <w:r>
        <w:rPr>
          <w:rFonts w:ascii="Arial" w:hAnsi="Arial"/>
          <w:b w:val="0"/>
          <w:i w:val="0"/>
          <w:color w:val="111827"/>
          <w:sz w:val="22"/>
        </w:rPr>
        <w:t xml:space="preserve"> Identificar quem são os clientes e desenvolver processos capazes de produzir as características exigidas;</w:t>
      </w:r>
    </w:p>
    <w:p>
      <w:pPr>
        <w:spacing w:line="276" w:lineRule="auto" w:before="20" w:after="40"/>
        <w:ind w:left="992"/>
      </w:pPr>
      <w:r>
        <w:rPr>
          <w:rFonts w:ascii="Arial" w:hAnsi="Arial"/>
          <w:b/>
          <w:color w:val="1B365D"/>
          <w:sz w:val="22"/>
        </w:rPr>
        <w:t xml:space="preserve">2. </w:t>
      </w:r>
      <w:r>
        <w:rPr>
          <w:rFonts w:ascii="Arial" w:hAnsi="Arial"/>
          <w:b w:val="0"/>
          <w:i/>
          <w:color w:val="111827"/>
          <w:sz w:val="22"/>
        </w:rPr>
        <w:t>Controle da Qualidade:</w:t>
      </w:r>
      <w:r>
        <w:rPr>
          <w:rFonts w:ascii="Arial" w:hAnsi="Arial"/>
          <w:b w:val="0"/>
          <w:i w:val="0"/>
          <w:color w:val="111827"/>
          <w:sz w:val="22"/>
        </w:rPr>
        <w:t xml:space="preserve"> Monitorar o desempenho real e agir quando houver desvios;</w:t>
      </w:r>
    </w:p>
    <w:p>
      <w:pPr>
        <w:spacing w:line="276" w:lineRule="auto" w:before="20" w:after="40"/>
        <w:ind w:left="992"/>
      </w:pPr>
      <w:r>
        <w:rPr>
          <w:rFonts w:ascii="Arial" w:hAnsi="Arial"/>
          <w:b/>
          <w:color w:val="1B365D"/>
          <w:sz w:val="22"/>
        </w:rPr>
        <w:t xml:space="preserve">3. </w:t>
      </w:r>
      <w:r>
        <w:rPr>
          <w:rFonts w:ascii="Arial" w:hAnsi="Arial"/>
          <w:b w:val="0"/>
          <w:i/>
          <w:color w:val="111827"/>
          <w:sz w:val="22"/>
        </w:rPr>
        <w:t>Melhoria da Qualidade:</w:t>
      </w:r>
      <w:r>
        <w:rPr>
          <w:rFonts w:ascii="Arial" w:hAnsi="Arial"/>
          <w:b w:val="0"/>
          <w:i w:val="0"/>
          <w:color w:val="111827"/>
          <w:sz w:val="22"/>
        </w:rPr>
        <w:t xml:space="preserve"> Conduzir projetos contínuos de aprimoramento estrutural de processos;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Kaoru Ishikawa:</w:t>
      </w:r>
      <w:r>
        <w:rPr>
          <w:rFonts w:ascii="Arial" w:hAnsi="Arial"/>
          <w:b w:val="0"/>
          <w:i w:val="0"/>
          <w:color w:val="111827"/>
          <w:sz w:val="22"/>
        </w:rPr>
        <w:t xml:space="preserve"> Pai dos </w:t>
      </w:r>
      <w:r>
        <w:rPr>
          <w:rFonts w:ascii="Arial" w:hAnsi="Arial"/>
          <w:b/>
          <w:i w:val="0"/>
          <w:color w:val="111827"/>
          <w:sz w:val="22"/>
        </w:rPr>
        <w:t>Círculos de Controle de Qualidade (CCQ)</w:t>
      </w:r>
      <w:r>
        <w:rPr>
          <w:rFonts w:ascii="Arial" w:hAnsi="Arial"/>
          <w:b w:val="0"/>
          <w:i w:val="0"/>
          <w:color w:val="111827"/>
          <w:sz w:val="22"/>
        </w:rPr>
        <w:t xml:space="preserve"> (grupos voluntários de funcionários que se reúnem regularmente para debater e resolver falhas de rotina). Criou o célebre </w:t>
      </w:r>
      <w:r>
        <w:rPr>
          <w:rFonts w:ascii="Arial" w:hAnsi="Arial"/>
          <w:b/>
          <w:i w:val="0"/>
          <w:color w:val="111827"/>
          <w:sz w:val="22"/>
        </w:rPr>
        <w:t>Diagrama de Causa e Efeito (Diagrama Espinha de Peixe / Diagrama de Ishikawa)</w:t>
      </w:r>
      <w:r>
        <w:rPr>
          <w:rFonts w:ascii="Arial" w:hAnsi="Arial"/>
          <w:b w:val="0"/>
          <w:i w:val="0"/>
          <w:color w:val="111827"/>
          <w:sz w:val="22"/>
        </w:rPr>
        <w:t xml:space="preserve">, que organiza as causas de um problema nos tradicionais </w:t>
      </w:r>
      <w:r>
        <w:rPr>
          <w:rFonts w:ascii="Arial" w:hAnsi="Arial"/>
          <w:b/>
          <w:i w:val="0"/>
          <w:color w:val="111827"/>
          <w:sz w:val="22"/>
        </w:rPr>
        <w:t>6Ms</w:t>
      </w:r>
      <w:r>
        <w:rPr>
          <w:rFonts w:ascii="Arial" w:hAnsi="Arial"/>
          <w:b w:val="0"/>
          <w:i w:val="0"/>
          <w:color w:val="111827"/>
          <w:sz w:val="22"/>
        </w:rPr>
        <w:t>: Método, Matéria-prima, Mão de obra, Máquinas/Tecnologia, Medição e Meio ambiente;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Philip Crosby:</w:t>
      </w:r>
      <w:r>
        <w:rPr>
          <w:rFonts w:ascii="Arial" w:hAnsi="Arial"/>
          <w:b w:val="0"/>
          <w:i w:val="0"/>
          <w:color w:val="111827"/>
          <w:sz w:val="22"/>
        </w:rPr>
        <w:t xml:space="preserve"> Criador do conceito de </w:t>
      </w:r>
      <w:r>
        <w:rPr>
          <w:rFonts w:ascii="Arial" w:hAnsi="Arial"/>
          <w:b/>
          <w:i w:val="0"/>
          <w:color w:val="111827"/>
          <w:sz w:val="22"/>
        </w:rPr>
        <w:t>"Zero Defeito"</w:t>
      </w:r>
      <w:r>
        <w:rPr>
          <w:rFonts w:ascii="Arial" w:hAnsi="Arial"/>
          <w:b w:val="0"/>
          <w:i w:val="0"/>
          <w:color w:val="111827"/>
          <w:sz w:val="22"/>
        </w:rPr>
        <w:t xml:space="preserve"> (</w:t>
      </w:r>
      <w:r>
        <w:rPr>
          <w:rFonts w:ascii="Arial" w:hAnsi="Arial"/>
          <w:b w:val="0"/>
          <w:i/>
          <w:color w:val="111827"/>
          <w:sz w:val="22"/>
        </w:rPr>
        <w:t>Zero Defects</w:t>
      </w:r>
      <w:r>
        <w:rPr>
          <w:rFonts w:ascii="Arial" w:hAnsi="Arial"/>
          <w:b w:val="0"/>
          <w:i w:val="0"/>
          <w:color w:val="111827"/>
          <w:sz w:val="22"/>
        </w:rPr>
        <w:t>). Defendeu que a qualidade significa estrita "conformidade com os requisitos", afirmando que "a qualidade é de graça" (</w:t>
      </w:r>
      <w:r>
        <w:rPr>
          <w:rFonts w:ascii="Arial" w:hAnsi="Arial"/>
          <w:b w:val="0"/>
          <w:i/>
          <w:color w:val="111827"/>
          <w:sz w:val="22"/>
        </w:rPr>
        <w:t>Quality is Free</w:t>
      </w:r>
      <w:r>
        <w:rPr>
          <w:rFonts w:ascii="Arial" w:hAnsi="Arial"/>
          <w:b w:val="0"/>
          <w:i w:val="0"/>
          <w:color w:val="111827"/>
          <w:sz w:val="22"/>
        </w:rPr>
        <w:t>), pois os custos de fazer certo da primeira vez são infinitamente menores do que os custos do retrabalho e do desperdício.</w:t>
      </w:r>
    </w:p>
    <w:p>
      <w:pPr>
        <w:keepNext/>
        <w:spacing w:before="120" w:after="40"/>
      </w:pPr>
      <w:r>
        <w:rPr>
          <w:rFonts w:ascii="Arial" w:hAnsi="Arial"/>
          <w:b/>
          <w:i/>
          <w:color w:val="334155"/>
          <w:sz w:val="22"/>
        </w:rPr>
        <w:t>1.3 O Ciclo PDCA e as Sete Ferramentas da Qualidade</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Ciclo PDCA (Deming/Shewhart)</w:t>
      </w:r>
      <w:r>
        <w:rPr>
          <w:rFonts w:ascii="Arial" w:hAnsi="Arial"/>
          <w:b w:val="0"/>
          <w:i w:val="0"/>
          <w:color w:val="111827"/>
          <w:sz w:val="24"/>
        </w:rPr>
        <w:t xml:space="preserve"> é um método iterativo de gestão de quatro passos utilizado para o controle e melhoria contínua de processos: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As Sete Ferramentas Clássicas da Qualidade:</w:t>
      </w:r>
    </w:p>
    <w:p>
      <w:pPr>
        <w:spacing w:line="276" w:lineRule="auto" w:before="20" w:after="40"/>
        <w:ind w:left="992"/>
      </w:pPr>
      <w:r>
        <w:rPr>
          <w:rFonts w:ascii="Arial" w:hAnsi="Arial"/>
          <w:b/>
          <w:color w:val="1B365D"/>
          <w:sz w:val="22"/>
        </w:rPr>
        <w:t xml:space="preserve">1. </w:t>
      </w:r>
      <w:r>
        <w:rPr>
          <w:rFonts w:ascii="Arial" w:hAnsi="Arial"/>
          <w:b w:val="0"/>
          <w:i/>
          <w:color w:val="111827"/>
          <w:sz w:val="22"/>
        </w:rPr>
        <w:t>Fluxograma:</w:t>
      </w:r>
      <w:r>
        <w:rPr>
          <w:rFonts w:ascii="Arial" w:hAnsi="Arial"/>
          <w:b w:val="0"/>
          <w:i w:val="0"/>
          <w:color w:val="111827"/>
          <w:sz w:val="22"/>
        </w:rPr>
        <w:t xml:space="preserve"> Representação gráfica sequencial do fluxo de etapas de um processo;</w:t>
      </w:r>
    </w:p>
    <w:p>
      <w:pPr>
        <w:spacing w:line="276" w:lineRule="auto" w:before="20" w:after="40"/>
        <w:ind w:left="992"/>
      </w:pPr>
      <w:r>
        <w:rPr>
          <w:rFonts w:ascii="Arial" w:hAnsi="Arial"/>
          <w:b/>
          <w:color w:val="1B365D"/>
          <w:sz w:val="22"/>
        </w:rPr>
        <w:t xml:space="preserve">2. </w:t>
      </w:r>
      <w:r>
        <w:rPr>
          <w:rFonts w:ascii="Arial" w:hAnsi="Arial"/>
          <w:b w:val="0"/>
          <w:i/>
          <w:color w:val="111827"/>
          <w:sz w:val="22"/>
        </w:rPr>
        <w:t>Diagrama de Ishikawa:</w:t>
      </w:r>
      <w:r>
        <w:rPr>
          <w:rFonts w:ascii="Arial" w:hAnsi="Arial"/>
          <w:b w:val="0"/>
          <w:i w:val="0"/>
          <w:color w:val="111827"/>
          <w:sz w:val="22"/>
        </w:rPr>
        <w:t xml:space="preserve"> Identificação visual e estruturada das causas raízes de um defeito;</w:t>
      </w:r>
    </w:p>
    <w:p>
      <w:pPr>
        <w:spacing w:line="276" w:lineRule="auto" w:before="20" w:after="40"/>
        <w:ind w:left="992"/>
      </w:pPr>
      <w:r>
        <w:rPr>
          <w:rFonts w:ascii="Arial" w:hAnsi="Arial"/>
          <w:b/>
          <w:color w:val="1B365D"/>
          <w:sz w:val="22"/>
        </w:rPr>
        <w:t xml:space="preserve">3. </w:t>
      </w:r>
      <w:r>
        <w:rPr>
          <w:rFonts w:ascii="Arial" w:hAnsi="Arial"/>
          <w:b w:val="0"/>
          <w:i/>
          <w:color w:val="111827"/>
          <w:sz w:val="22"/>
        </w:rPr>
        <w:t>Folha de Verificação:</w:t>
      </w:r>
      <w:r>
        <w:rPr>
          <w:rFonts w:ascii="Arial" w:hAnsi="Arial"/>
          <w:b w:val="0"/>
          <w:i w:val="0"/>
          <w:color w:val="111827"/>
          <w:sz w:val="22"/>
        </w:rPr>
        <w:t xml:space="preserve"> Formulário padronizado para coleta metódica de dados operacionais;</w:t>
      </w:r>
    </w:p>
    <w:p>
      <w:pPr>
        <w:spacing w:line="276" w:lineRule="auto" w:before="20" w:after="40"/>
        <w:ind w:left="992"/>
      </w:pPr>
      <w:r>
        <w:rPr>
          <w:rFonts w:ascii="Arial" w:hAnsi="Arial"/>
          <w:b/>
          <w:color w:val="1B365D"/>
          <w:sz w:val="22"/>
        </w:rPr>
        <w:t xml:space="preserve">4. </w:t>
      </w:r>
      <w:r>
        <w:rPr>
          <w:rFonts w:ascii="Arial" w:hAnsi="Arial"/>
          <w:b w:val="0"/>
          <w:i/>
          <w:color w:val="111827"/>
          <w:sz w:val="22"/>
        </w:rPr>
        <w:t>Diagrama de Pareto:</w:t>
      </w:r>
      <w:r>
        <w:rPr>
          <w:rFonts w:ascii="Arial" w:hAnsi="Arial"/>
          <w:b w:val="0"/>
          <w:i w:val="0"/>
          <w:color w:val="111827"/>
          <w:sz w:val="22"/>
        </w:rPr>
        <w:t xml:space="preserve"> Gráfico de barras ordenado decrescente associado a uma curva cumulativa baseado no </w:t>
      </w:r>
      <w:r>
        <w:rPr>
          <w:rFonts w:ascii="Arial" w:hAnsi="Arial"/>
          <w:b/>
          <w:i w:val="0"/>
          <w:color w:val="111827"/>
          <w:sz w:val="22"/>
        </w:rPr>
        <w:t>Princípio 80/20</w:t>
      </w:r>
      <w:r>
        <w:rPr>
          <w:rFonts w:ascii="Arial" w:hAnsi="Arial"/>
          <w:b w:val="0"/>
          <w:i w:val="0"/>
          <w:color w:val="111827"/>
          <w:sz w:val="22"/>
        </w:rPr>
        <w:t xml:space="preserve"> ("80% dos problemas decorrem de 20% das causas vitais");</w:t>
      </w:r>
    </w:p>
    <w:p>
      <w:pPr>
        <w:spacing w:line="276" w:lineRule="auto" w:before="20" w:after="40"/>
        <w:ind w:left="992"/>
      </w:pPr>
      <w:r>
        <w:rPr>
          <w:rFonts w:ascii="Arial" w:hAnsi="Arial"/>
          <w:b/>
          <w:color w:val="1B365D"/>
          <w:sz w:val="22"/>
        </w:rPr>
        <w:t xml:space="preserve">5. </w:t>
      </w:r>
      <w:r>
        <w:rPr>
          <w:rFonts w:ascii="Arial" w:hAnsi="Arial"/>
          <w:b w:val="0"/>
          <w:i/>
          <w:color w:val="111827"/>
          <w:sz w:val="22"/>
        </w:rPr>
        <w:t>Histograma:</w:t>
      </w:r>
      <w:r>
        <w:rPr>
          <w:rFonts w:ascii="Arial" w:hAnsi="Arial"/>
          <w:b w:val="0"/>
          <w:i w:val="0"/>
          <w:color w:val="111827"/>
          <w:sz w:val="22"/>
        </w:rPr>
        <w:t xml:space="preserve"> Gráfico de barras que ilustra a distribuição de frequência de dados quantitativos;</w:t>
      </w:r>
    </w:p>
    <w:p>
      <w:pPr>
        <w:spacing w:line="276" w:lineRule="auto" w:before="20" w:after="40"/>
        <w:ind w:left="992"/>
      </w:pPr>
      <w:r>
        <w:rPr>
          <w:rFonts w:ascii="Arial" w:hAnsi="Arial"/>
          <w:b/>
          <w:color w:val="1B365D"/>
          <w:sz w:val="22"/>
        </w:rPr>
        <w:t xml:space="preserve">6. </w:t>
      </w:r>
      <w:r>
        <w:rPr>
          <w:rFonts w:ascii="Arial" w:hAnsi="Arial"/>
          <w:b w:val="0"/>
          <w:i/>
          <w:color w:val="111827"/>
          <w:sz w:val="22"/>
        </w:rPr>
        <w:t>Gráfico de Dispersão:</w:t>
      </w:r>
      <w:r>
        <w:rPr>
          <w:rFonts w:ascii="Arial" w:hAnsi="Arial"/>
          <w:b w:val="0"/>
          <w:i w:val="0"/>
          <w:color w:val="111827"/>
          <w:sz w:val="22"/>
        </w:rPr>
        <w:t xml:space="preserve"> Avaliação gráfica da correlação estatística entre duas variáveis;</w:t>
      </w:r>
    </w:p>
    <w:p>
      <w:pPr>
        <w:spacing w:line="276" w:lineRule="auto" w:before="20" w:after="40"/>
        <w:ind w:left="992"/>
      </w:pPr>
      <w:r>
        <w:rPr>
          <w:rFonts w:ascii="Arial" w:hAnsi="Arial"/>
          <w:b/>
          <w:color w:val="1B365D"/>
          <w:sz w:val="22"/>
        </w:rPr>
        <w:t xml:space="preserve">7. </w:t>
      </w:r>
      <w:r>
        <w:rPr>
          <w:rFonts w:ascii="Arial" w:hAnsi="Arial"/>
          <w:b w:val="0"/>
          <w:i/>
          <w:color w:val="111827"/>
          <w:sz w:val="22"/>
        </w:rPr>
        <w:t>Cartas de Controle:</w:t>
      </w:r>
      <w:r>
        <w:rPr>
          <w:rFonts w:ascii="Arial" w:hAnsi="Arial"/>
          <w:b w:val="0"/>
          <w:i w:val="0"/>
          <w:color w:val="111827"/>
          <w:sz w:val="22"/>
        </w:rPr>
        <w:t xml:space="preserve"> Gráficos temporais com limites superior e inferior de controle para verificar a estabilidade do processo.</w:t>
      </w:r>
    </w:p>
    <w:p>
      <w:pPr>
        <w:keepNext/>
        <w:spacing w:before="120" w:after="40"/>
      </w:pPr>
      <w:r>
        <w:rPr>
          <w:rFonts w:ascii="Arial" w:hAnsi="Arial"/>
          <w:b/>
          <w:i/>
          <w:color w:val="334155"/>
          <w:sz w:val="22"/>
        </w:rPr>
        <w:t>1.4 Modelos de Excelência: MEG / FNQ e o GesPública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Modelo de Excelência da Gestão (MEG / Fundação Nacional da Qualidade):</w:t>
      </w:r>
      <w:r>
        <w:rPr>
          <w:rFonts w:ascii="Arial" w:hAnsi="Arial"/>
          <w:b w:val="0"/>
          <w:i w:val="0"/>
          <w:color w:val="111827"/>
          <w:sz w:val="22"/>
        </w:rPr>
        <w:t xml:space="preserve"> Baseado na visão sistêmica e em fundamentos de gestão contemporâneos (liderança transformadora, foco no cidadão, orientação para resultados, governança e responsabilidade socioambiental);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Programa Nacional de Gestão Pública e Desburocratização (GesPública):</w:t>
      </w:r>
      <w:r>
        <w:rPr>
          <w:rFonts w:ascii="Arial" w:hAnsi="Arial"/>
          <w:b w:val="0"/>
          <w:i w:val="0"/>
          <w:color w:val="111827"/>
          <w:sz w:val="22"/>
        </w:rPr>
        <w:t xml:space="preserve"> Instituído pelo Decreto Federal nº 5.378/2005 para disseminar no setor público brasileiro a autoavaliação continuada e a busca por excelência nos serviços públicos prestados ao cidadão.</w:t>
      </w:r>
    </w:p>
    <w:p>
      <w:pPr>
        <w:keepNext/>
        <w:spacing w:before="200" w:after="80"/>
      </w:pPr>
      <w:r>
        <w:rPr>
          <w:rFonts w:ascii="Arial" w:hAnsi="Arial"/>
          <w:b/>
          <w:i w:val="0"/>
          <w:color w:val="2B6CB0"/>
          <w:sz w:val="24"/>
        </w:rPr>
        <w:t>2. Desburocratização e Atendimento ao Cidadão (Decreto nº 9.094/2017)</w:t>
      </w:r>
    </w:p>
    <w:p>
      <w:pPr>
        <w:spacing w:line="360" w:lineRule="auto" w:before="0" w:after="80"/>
        <w:jc w:val="both"/>
      </w:pPr>
      <w:r>
        <w:rPr>
          <w:rFonts w:ascii="Arial" w:hAnsi="Arial"/>
          <w:b w:val="0"/>
          <w:i w:val="0"/>
          <w:color w:val="111827"/>
          <w:sz w:val="24"/>
        </w:rPr>
        <w:t xml:space="preserve">O </w:t>
      </w:r>
      <w:r>
        <w:rPr>
          <w:rFonts w:ascii="Arial" w:hAnsi="Arial"/>
          <w:b/>
          <w:i w:val="0"/>
          <w:color w:val="111827"/>
          <w:sz w:val="24"/>
        </w:rPr>
        <w:t>Decreto Federal nº 9.094/2017</w:t>
      </w:r>
      <w:r>
        <w:rPr>
          <w:rFonts w:ascii="Arial" w:hAnsi="Arial"/>
          <w:b w:val="0"/>
          <w:i w:val="0"/>
          <w:color w:val="111827"/>
          <w:sz w:val="24"/>
        </w:rPr>
        <w:t xml:space="preserve"> (regulamentado e reforçado pela Lei Federal nº 13.726/2018 - Lei de Desburocratização) estabeleceu diretrizes expressas de simplificação administrativa e presunção de boa-fé nas relações entre a administração pública e a sociedade:</w:t>
      </w:r>
    </w:p>
    <w:p>
      <w:pPr>
        <w:spacing w:after="120"/>
      </w:pPr>
    </w:p>
    <w:p>
      <w:pPr>
        <w:keepNext/>
        <w:spacing w:before="120" w:after="40"/>
      </w:pPr>
      <w:r>
        <w:rPr>
          <w:rFonts w:ascii="Arial" w:hAnsi="Arial"/>
          <w:b/>
          <w:i/>
          <w:color w:val="334155"/>
          <w:sz w:val="22"/>
        </w:rPr>
        <w:t>2.1 Supressão de Custos Cartorários (Reconhecimento de Firma e Autenticação)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Reconhecimento de Firma:</w:t>
      </w:r>
      <w:r>
        <w:rPr>
          <w:rFonts w:ascii="Arial" w:hAnsi="Arial"/>
          <w:b w:val="0"/>
          <w:i w:val="0"/>
          <w:color w:val="111827"/>
          <w:sz w:val="22"/>
        </w:rPr>
        <w:t xml:space="preserve"> Fica </w:t>
      </w:r>
      <w:r>
        <w:rPr>
          <w:rFonts w:ascii="Arial" w:hAnsi="Arial"/>
          <w:b/>
          <w:i w:val="0"/>
          <w:color w:val="111827"/>
          <w:sz w:val="22"/>
        </w:rPr>
        <w:t>vedada a exigência de reconhecimento de firma em cartório</w:t>
      </w:r>
      <w:r>
        <w:rPr>
          <w:rFonts w:ascii="Arial" w:hAnsi="Arial"/>
          <w:b w:val="0"/>
          <w:i w:val="0"/>
          <w:color w:val="111827"/>
          <w:sz w:val="22"/>
        </w:rPr>
        <w:t xml:space="preserve"> para a prática de atos perante os órgãos e entidades públicas, salvo se houver dúvida fundada de autenticidade ou previsão legal expressa em lei ordinária formal. O servidor público que receber o documento deve comparar a assinatura com a constante no documento de identidade ou colher a assinatura presencial do administrado;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Cópias Autenticadas:</w:t>
      </w:r>
      <w:r>
        <w:rPr>
          <w:rFonts w:ascii="Arial" w:hAnsi="Arial"/>
          <w:b w:val="0"/>
          <w:i w:val="0"/>
          <w:color w:val="111827"/>
          <w:sz w:val="22"/>
        </w:rPr>
        <w:t xml:space="preserve"> Fica </w:t>
      </w:r>
      <w:r>
        <w:rPr>
          <w:rFonts w:ascii="Arial" w:hAnsi="Arial"/>
          <w:b/>
          <w:i w:val="0"/>
          <w:color w:val="111827"/>
          <w:sz w:val="22"/>
        </w:rPr>
        <w:t>proibida a exigência de cópia autenticada em cartório</w:t>
      </w:r>
      <w:r>
        <w:rPr>
          <w:rFonts w:ascii="Arial" w:hAnsi="Arial"/>
          <w:b w:val="0"/>
          <w:i w:val="0"/>
          <w:color w:val="111827"/>
          <w:sz w:val="22"/>
        </w:rPr>
        <w:t>. O servidor público confrontará a cópia simples com o documento original apresentado e atestará sua veracidade ("confere com o original"), sob sua fé pública funcional.</w:t>
      </w:r>
    </w:p>
    <w:p>
      <w:pPr>
        <w:keepNext/>
        <w:spacing w:before="120" w:after="40"/>
      </w:pPr>
      <w:r>
        <w:rPr>
          <w:rFonts w:ascii="Arial" w:hAnsi="Arial"/>
          <w:b/>
          <w:i/>
          <w:color w:val="334155"/>
          <w:sz w:val="22"/>
        </w:rPr>
        <w:t>2.2 Proibição de Exigência Documental Redundante e Interoperabilidade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É expressamente </w:t>
      </w:r>
      <w:r>
        <w:rPr>
          <w:rFonts w:ascii="Arial" w:hAnsi="Arial"/>
          <w:b/>
          <w:i w:val="0"/>
          <w:color w:val="111827"/>
          <w:sz w:val="22"/>
        </w:rPr>
        <w:t>vedado ao órgão público exigir do requerente</w:t>
      </w:r>
      <w:r>
        <w:rPr>
          <w:rFonts w:ascii="Arial" w:hAnsi="Arial"/>
          <w:b w:val="0"/>
          <w:i w:val="0"/>
          <w:color w:val="111827"/>
          <w:sz w:val="22"/>
        </w:rPr>
        <w:t xml:space="preserve"> a apresentação de certidões, certidões negativas de débito ou documentos comprobatórios emitidos pelo próprio órgão ou que constem em bancos de dados oficiais da administração pública;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Os órgãos devem integrar seus sistemas e proceder à busca de informações e documentos diretamente nas bases públicas compartilhadas.</w:t>
      </w:r>
    </w:p>
    <w:p>
      <w:pPr>
        <w:keepNext/>
        <w:spacing w:before="120" w:after="40"/>
      </w:pPr>
      <w:r>
        <w:rPr>
          <w:rFonts w:ascii="Arial" w:hAnsi="Arial"/>
          <w:b/>
          <w:i/>
          <w:color w:val="334155"/>
          <w:sz w:val="22"/>
        </w:rPr>
        <w:t>2.3 O CPF como Chave Unificada de Identificação</w:t>
      </w:r>
    </w:p>
    <w:p>
      <w:pPr>
        <w:spacing w:line="360" w:lineRule="auto" w:before="0" w:after="80"/>
        <w:jc w:val="both"/>
      </w:pPr>
      <w:r>
        <w:rPr>
          <w:rFonts w:ascii="Arial" w:hAnsi="Arial"/>
          <w:b w:val="0"/>
          <w:i w:val="0"/>
          <w:color w:val="111827"/>
          <w:sz w:val="24"/>
        </w:rPr>
        <w:t>Conforme as alterações trazidas pelo Decreto nº 9.723/2019 e Lei nº 14.534/2023, o número de inscrição no Cadastro de Pessoas Físicas (</w:t>
      </w:r>
      <w:r>
        <w:rPr>
          <w:rFonts w:ascii="Arial" w:hAnsi="Arial"/>
          <w:b/>
          <w:i w:val="0"/>
          <w:color w:val="111827"/>
          <w:sz w:val="24"/>
        </w:rPr>
        <w:t>CPF</w:t>
      </w:r>
      <w:r>
        <w:rPr>
          <w:rFonts w:ascii="Arial" w:hAnsi="Arial"/>
          <w:b w:val="0"/>
          <w:i w:val="0"/>
          <w:color w:val="111827"/>
          <w:sz w:val="24"/>
        </w:rPr>
        <w:t>) é o dado suficiente e universal para a identificação do cidadão nos bancos de dados de serviços públicos federais, estaduais e municipais, sendo dispensada a exigência de múltiplos números de cadastro (como PIS, Pasep, carteira de trabalho ou RG estadual).</w:t>
      </w:r>
    </w:p>
    <w:p>
      <w:pPr>
        <w:keepNext/>
        <w:spacing w:before="120" w:after="40"/>
      </w:pPr>
      <w:r>
        <w:rPr>
          <w:rFonts w:ascii="Arial" w:hAnsi="Arial"/>
          <w:b/>
          <w:i/>
          <w:color w:val="334155"/>
          <w:sz w:val="22"/>
        </w:rPr>
        <w:t>2.4 A Carta de Serviços ao Usuário</w:t>
      </w:r>
    </w:p>
    <w:p>
      <w:pPr>
        <w:spacing w:line="360" w:lineRule="auto" w:before="0" w:after="80"/>
        <w:jc w:val="both"/>
      </w:pPr>
      <w:r>
        <w:rPr>
          <w:rFonts w:ascii="Arial" w:hAnsi="Arial"/>
          <w:b w:val="0"/>
          <w:i w:val="0"/>
          <w:color w:val="111827"/>
          <w:sz w:val="24"/>
        </w:rPr>
        <w:t>A Carta de Serviços ao Usuário é um instrumento de governança e transparência de publicação compulsória nos portais oficiais na internet e em local visível nas repartições públicas. Deve detalhar: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Os serviços públicos oferecidos pelo órgão e as formas de acesso;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Requisitos, documentos e informações necessários para cada serviço;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Prazos máximos para a conclusão e entrega de cada etapa;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Mecanismos de comunicação e procedimentos para registro de reclamações e sugestões na ouvidoria pública.</w:t>
      </w:r>
    </w:p>
    <w:p>
      <w:pPr>
        <w:keepNext/>
        <w:spacing w:before="200" w:after="80"/>
      </w:pPr>
      <w:r>
        <w:rPr>
          <w:rFonts w:ascii="Arial" w:hAnsi="Arial"/>
          <w:b/>
          <w:i w:val="0"/>
          <w:color w:val="2B6CB0"/>
          <w:sz w:val="24"/>
        </w:rPr>
        <w:t>3. Gestão de Processos de Negócio (BPM)</w:t>
      </w:r>
    </w:p>
    <w:p>
      <w:pPr>
        <w:spacing w:line="360" w:lineRule="auto" w:before="0" w:after="80"/>
        <w:jc w:val="both"/>
      </w:pPr>
      <w:r>
        <w:rPr>
          <w:rFonts w:ascii="Arial" w:hAnsi="Arial"/>
          <w:b w:val="0"/>
          <w:i w:val="0"/>
          <w:color w:val="111827"/>
          <w:sz w:val="24"/>
        </w:rPr>
        <w:t xml:space="preserve">O </w:t>
      </w:r>
      <w:r>
        <w:rPr>
          <w:rFonts w:ascii="Arial" w:hAnsi="Arial"/>
          <w:b w:val="0"/>
          <w:i/>
          <w:color w:val="111827"/>
          <w:sz w:val="24"/>
        </w:rPr>
        <w:t>Business Process Management</w:t>
      </w:r>
      <w:r>
        <w:rPr>
          <w:rFonts w:ascii="Arial" w:hAnsi="Arial"/>
          <w:b w:val="0"/>
          <w:i w:val="0"/>
          <w:color w:val="111827"/>
          <w:sz w:val="24"/>
        </w:rPr>
        <w:t xml:space="preserve"> (BPM) é uma abordagem disciplinada para identificar, desenhar, executar, documentar, medir, monitorar e controlar processos de trabalho para alcançar resultados alinhados aos objetivos da organização.</w:t>
      </w:r>
    </w:p>
    <w:p>
      <w:pPr>
        <w:keepNext/>
        <w:spacing w:before="120" w:after="40"/>
      </w:pPr>
      <w:r>
        <w:rPr>
          <w:rFonts w:ascii="Arial" w:hAnsi="Arial"/>
          <w:b/>
          <w:i/>
          <w:color w:val="334155"/>
          <w:sz w:val="22"/>
        </w:rPr>
        <w:t>3.1 Conceito e Hierarquia Estrutural dos Processos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Processo:</w:t>
      </w:r>
      <w:r>
        <w:rPr>
          <w:rFonts w:ascii="Arial" w:hAnsi="Arial"/>
          <w:b w:val="0"/>
          <w:i w:val="0"/>
          <w:color w:val="111827"/>
          <w:sz w:val="22"/>
        </w:rPr>
        <w:t xml:space="preserve"> Conjunto estruturado de atividades logicamente encadeadas que transformam entradas (</w:t>
      </w:r>
      <w:r>
        <w:rPr>
          <w:rFonts w:ascii="Arial" w:hAnsi="Arial"/>
          <w:b w:val="0"/>
          <w:i/>
          <w:color w:val="111827"/>
          <w:sz w:val="22"/>
        </w:rPr>
        <w:t>inputs</w:t>
      </w:r>
      <w:r>
        <w:rPr>
          <w:rFonts w:ascii="Arial" w:hAnsi="Arial"/>
          <w:b w:val="0"/>
          <w:i w:val="0"/>
          <w:color w:val="111827"/>
          <w:sz w:val="22"/>
        </w:rPr>
        <w:t>) em saídas (</w:t>
      </w:r>
      <w:r>
        <w:rPr>
          <w:rFonts w:ascii="Arial" w:hAnsi="Arial"/>
          <w:b w:val="0"/>
          <w:i/>
          <w:color w:val="111827"/>
          <w:sz w:val="22"/>
        </w:rPr>
        <w:t>outputs</w:t>
      </w:r>
      <w:r>
        <w:rPr>
          <w:rFonts w:ascii="Arial" w:hAnsi="Arial"/>
          <w:b w:val="0"/>
          <w:i w:val="0"/>
          <w:color w:val="111827"/>
          <w:sz w:val="22"/>
        </w:rPr>
        <w:t>) que agregam valor perceptível a um cliente ou cidadão-usuário;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Hierarquia Estrutural:</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\text{Macroprocesso} \longrightarrow \text{Processo} \longrightarrow \text{Subprocesso} \longrightarrow \text{Atividade} \longrightarrow \text{Tarefa}</w:t>
      </w:r>
      <w:r>
        <w:rPr>
          <w:rFonts w:ascii="Arial" w:hAnsi="Arial"/>
          <w:b w:val="0"/>
          <w:i w:val="0"/>
          <w:color w:val="111827"/>
          <w:sz w:val="24"/>
        </w:rPr>
        <w:t>$</w:t>
      </w:r>
    </w:p>
    <w:p>
      <w:pPr>
        <w:spacing w:after="120"/>
      </w:pPr>
    </w:p>
    <w:p>
      <w:pPr>
        <w:keepNext/>
        <w:spacing w:before="120" w:after="40"/>
      </w:pPr>
      <w:r>
        <w:rPr>
          <w:rFonts w:ascii="Arial" w:hAnsi="Arial"/>
          <w:b/>
          <w:i/>
          <w:color w:val="334155"/>
          <w:sz w:val="22"/>
        </w:rPr>
        <w:t>3.2 Tipos de Processos: Finalísticos, de Suporte e de Gerenciamento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Processos Finalísticos (Primários ou de Ponta a Ponta):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Diretamente relacionados ao cumprimento da </w:t>
      </w:r>
      <w:r>
        <w:rPr>
          <w:rFonts w:ascii="Arial" w:hAnsi="Arial"/>
          <w:b/>
          <w:i w:val="0"/>
          <w:color w:val="111827"/>
          <w:sz w:val="22"/>
        </w:rPr>
        <w:t>missão essencial</w:t>
      </w:r>
      <w:r>
        <w:rPr>
          <w:rFonts w:ascii="Arial" w:hAnsi="Arial"/>
          <w:b w:val="0"/>
          <w:i w:val="0"/>
          <w:color w:val="111827"/>
          <w:sz w:val="22"/>
        </w:rPr>
        <w:t xml:space="preserve"> do órgão e à entrega direta de valor público ao cidadão ou usuário externo;</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Exemplos:</w:t>
      </w:r>
      <w:r>
        <w:rPr>
          <w:rFonts w:ascii="Arial" w:hAnsi="Arial"/>
          <w:b w:val="0"/>
          <w:i w:val="0"/>
          <w:color w:val="111827"/>
          <w:sz w:val="22"/>
        </w:rPr>
        <w:t xml:space="preserve"> Emissão de certidões, realização de cirurgias no SUS, fiscalização de contas de prefeituras pelo TCE-GO;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Processos de Suporte (Secundários ou de Apoio):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Garantem a infraestrutura material, tecnológica e humana indispensável para que os processos finalísticos ocorram com sucesso, atendendo a clientes internos;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Exemplos:</w:t>
      </w:r>
      <w:r>
        <w:rPr>
          <w:rFonts w:ascii="Arial" w:hAnsi="Arial"/>
          <w:b w:val="0"/>
          <w:i w:val="0"/>
          <w:color w:val="111827"/>
          <w:sz w:val="22"/>
        </w:rPr>
        <w:t xml:space="preserve"> Gestão da folha de pagamento, contratação de serviços de vigilância e limpeza, suporte de TI e manutenção de viaturas;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Processos de Gerenciamento (Gestão):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Asseguram a governança corporativa, o direcionamento estratégico, a medição contínua e a gestão de riscos e integridade da instituição;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Exemplos:</w:t>
      </w:r>
      <w:r>
        <w:rPr>
          <w:rFonts w:ascii="Arial" w:hAnsi="Arial"/>
          <w:b w:val="0"/>
          <w:i w:val="0"/>
          <w:color w:val="111827"/>
          <w:sz w:val="22"/>
        </w:rPr>
        <w:t xml:space="preserve"> Formulação do plano estratégico institucional, auditoria interna de controle, comitês de governança.</w:t>
      </w:r>
    </w:p>
    <w:p>
      <w:pPr>
        <w:keepNext/>
        <w:spacing w:before="120" w:after="40"/>
      </w:pPr>
      <w:r>
        <w:rPr>
          <w:rFonts w:ascii="Arial" w:hAnsi="Arial"/>
          <w:b/>
          <w:i/>
          <w:color w:val="334155"/>
          <w:sz w:val="22"/>
        </w:rPr>
        <w:t>3.3 Redesenho de Processos: Diagnóstico AS-IS vs. Modelagem TO-BE</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AS-IS ("Como É"):</w:t>
      </w:r>
      <w:r>
        <w:rPr>
          <w:rFonts w:ascii="Arial" w:hAnsi="Arial"/>
          <w:b w:val="0"/>
          <w:i w:val="0"/>
          <w:color w:val="111827"/>
          <w:sz w:val="22"/>
        </w:rPr>
        <w:t xml:space="preserve"> Diagnóstico da situação atual do processo, identificando falhas, sobreposições de competências, estrangulamentos (</w:t>
      </w:r>
      <w:r>
        <w:rPr>
          <w:rFonts w:ascii="Arial" w:hAnsi="Arial"/>
          <w:b w:val="0"/>
          <w:i/>
          <w:color w:val="111827"/>
          <w:sz w:val="22"/>
        </w:rPr>
        <w:t>bottlenecks</w:t>
      </w:r>
      <w:r>
        <w:rPr>
          <w:rFonts w:ascii="Arial" w:hAnsi="Arial"/>
          <w:b w:val="0"/>
          <w:i w:val="0"/>
          <w:color w:val="111827"/>
          <w:sz w:val="22"/>
        </w:rPr>
        <w:t>) e burocracias inúteis;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TO-BE ("Como Deve Ser"):</w:t>
      </w:r>
      <w:r>
        <w:rPr>
          <w:rFonts w:ascii="Arial" w:hAnsi="Arial"/>
          <w:b w:val="0"/>
          <w:i w:val="0"/>
          <w:color w:val="111827"/>
          <w:sz w:val="22"/>
        </w:rPr>
        <w:t xml:space="preserve"> Proposta e modelagem do fluxo futuro ideal e otimizado, incorporando ferramentas digitais, eliminando etapas que não agregam valor e encurtando o tempo de ciclo.</w:t>
      </w:r>
    </w:p>
    <w:p>
      <w:pPr>
        <w:keepNext/>
        <w:spacing w:before="200" w:after="80"/>
      </w:pPr>
      <w:r>
        <w:rPr>
          <w:rFonts w:ascii="Arial" w:hAnsi="Arial"/>
          <w:b/>
          <w:i w:val="0"/>
          <w:color w:val="2B6CB0"/>
          <w:sz w:val="24"/>
        </w:rPr>
        <w:t>4. Gestão de Projetos segundo o Guia PMBOK (PMI)</w:t>
      </w:r>
    </w:p>
    <w:p>
      <w:pPr>
        <w:keepNext/>
        <w:spacing w:before="120" w:after="40"/>
      </w:pPr>
      <w:r>
        <w:rPr>
          <w:rFonts w:ascii="Arial" w:hAnsi="Arial"/>
          <w:b/>
          <w:i/>
          <w:color w:val="334155"/>
          <w:sz w:val="22"/>
        </w:rPr>
        <w:t>4.1 Distinção Conceitual: Projeto versus Processo</w:t>
      </w:r>
    </w:p>
    <w:p>
      <w:pPr>
        <w:spacing w:line="360" w:lineRule="auto" w:before="0" w:after="80"/>
        <w:jc w:val="both"/>
      </w:pPr>
      <w:r>
        <w:rPr>
          <w:rFonts w:ascii="Arial" w:hAnsi="Arial"/>
          <w:b w:val="0"/>
          <w:i w:val="0"/>
          <w:color w:val="111827"/>
          <w:sz w:val="24"/>
        </w:rPr>
        <w:t>A doutrina da administração e a jurisprudência da FCC cobram com rigor a distinção ontológica entre projeto e processo:</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Análise</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Projeto (Gestão de Projetos / PMBOK)</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Processo (BPM / Rotina Organizacional)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Temporalidade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Temporário:</w:t>
            </w:r>
            <w:r>
              <w:rPr>
                <w:rFonts w:ascii="Arial" w:hAnsi="Arial"/>
                <w:b w:val="0"/>
                <w:i w:val="0"/>
                <w:color w:val="111827"/>
                <w:sz w:val="19"/>
              </w:rPr>
              <w:t xml:space="preserve"> Possui data de início e término prefixadas no tempo.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Permanente e Contínuo:</w:t>
            </w:r>
            <w:r>
              <w:rPr>
                <w:rFonts w:ascii="Arial" w:hAnsi="Arial"/>
                <w:b w:val="0"/>
                <w:i w:val="0"/>
                <w:color w:val="111827"/>
                <w:sz w:val="19"/>
              </w:rPr>
              <w:t xml:space="preserve"> Repete-se rotineiramente sem data de encerramento.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Resultado Produzido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Gera um produto, serviço ou resultado </w:t>
            </w:r>
            <w:r>
              <w:rPr>
                <w:rFonts w:ascii="Arial" w:hAnsi="Arial"/>
                <w:b/>
                <w:i w:val="0"/>
                <w:color w:val="111827"/>
                <w:sz w:val="19"/>
              </w:rPr>
              <w:t>único, exclusivo e inédito</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Gera produtos ou serviços </w:t>
            </w:r>
            <w:r>
              <w:rPr>
                <w:rFonts w:ascii="Arial" w:hAnsi="Arial"/>
                <w:b/>
                <w:i w:val="0"/>
                <w:color w:val="111827"/>
                <w:sz w:val="19"/>
              </w:rPr>
              <w:t>padronizados, uniformes e repetitivos</w:t>
            </w:r>
            <w:r>
              <w:rPr>
                <w:rFonts w:ascii="Arial" w:hAnsi="Arial"/>
                <w:b w:val="0"/>
                <w:i w:val="0"/>
                <w:color w:val="111827"/>
                <w:sz w:val="19"/>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Finalidade Estratégica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Conduzir mudanças, inovações ou implantar novas capacidades.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Manter a regularidade operacional e o funcionamento estável da entidade.</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Grau de Incerteza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Elevado, devido ao ineditismo das entregas e variáveis externas.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Baixo, pois é regido por procedimentos estáveis e fluxos consolidados.</w:t>
            </w:r>
          </w:p>
        </w:tc>
      </w:tr>
    </w:tbl>
    <w:p>
      <w:pPr>
        <w:spacing w:after="120"/>
      </w:pPr>
    </w:p>
    <w:p>
      <w:pPr>
        <w:keepNext/>
        <w:spacing w:before="120" w:after="40"/>
      </w:pPr>
      <w:r>
        <w:rPr>
          <w:rFonts w:ascii="Arial" w:hAnsi="Arial"/>
          <w:b/>
          <w:i/>
          <w:color w:val="334155"/>
          <w:sz w:val="22"/>
        </w:rPr>
        <w:t>4.2 Os Cinco Grupos de Processos do PMBOK</w:t>
      </w:r>
    </w:p>
    <w:p>
      <w:pPr>
        <w:spacing w:line="360" w:lineRule="auto" w:before="0" w:after="80"/>
        <w:jc w:val="both"/>
      </w:pPr>
      <w:r>
        <w:rPr>
          <w:rFonts w:ascii="Arial" w:hAnsi="Arial"/>
          <w:b w:val="0"/>
          <w:i w:val="0"/>
          <w:color w:val="111827"/>
          <w:sz w:val="24"/>
        </w:rPr>
        <w:t>O ciclo de vida do gerenciamento de projetos organiza-se em cinco grupos fundamentais de processos:</w:t>
      </w:r>
    </w:p>
    <w:p>
      <w:pPr>
        <w:spacing w:after="120"/>
      </w:pPr>
    </w:p>
    <w:p>
      <w:pPr>
        <w:keepNext/>
        <w:spacing w:before="120" w:after="40"/>
      </w:pPr>
      <w:r>
        <w:rPr>
          <w:rFonts w:ascii="Arial" w:hAnsi="Arial"/>
          <w:b/>
          <w:i/>
          <w:color w:val="334155"/>
          <w:sz w:val="22"/>
        </w:rPr>
        <w:t>4.3 Instrumentos Primordiais: TAP e EAP (WBS)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**Termo de Abertura do Projeto (TAP / </w:t>
      </w:r>
      <w:r>
        <w:rPr>
          <w:rFonts w:ascii="Arial" w:hAnsi="Arial"/>
          <w:b w:val="0"/>
          <w:i/>
          <w:color w:val="111827"/>
          <w:sz w:val="22"/>
        </w:rPr>
        <w:t>Project Charter</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Documento formal emitido pelo patrocinador (</w:t>
      </w:r>
      <w:r>
        <w:rPr>
          <w:rFonts w:ascii="Arial" w:hAnsi="Arial"/>
          <w:b w:val="0"/>
          <w:i/>
          <w:color w:val="111827"/>
          <w:sz w:val="24"/>
        </w:rPr>
        <w:t>sponsor</w:t>
      </w:r>
      <w:r>
        <w:rPr>
          <w:rFonts w:ascii="Arial" w:hAnsi="Arial"/>
          <w:b w:val="0"/>
          <w:i w:val="0"/>
          <w:color w:val="111827"/>
          <w:sz w:val="24"/>
        </w:rPr>
        <w:t>) que autoriza oficialmente a existência do projeto e concede ao gerente do projeto a autoridade para aplicar recursos da instituição nas atividades do projeto;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**Estrutura Analítica do Projeto (EAP / </w:t>
      </w:r>
      <w:r>
        <w:rPr>
          <w:rFonts w:ascii="Arial" w:hAnsi="Arial"/>
          <w:b w:val="0"/>
          <w:i/>
          <w:color w:val="111827"/>
          <w:sz w:val="22"/>
        </w:rPr>
        <w:t>WBS - Work Breakdown Structure</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Decomposição hierárquica e visual do escopo total de trabalho do projeto em partes menores e gerenciáveis chamadas de </w:t>
      </w:r>
      <w:r>
        <w:rPr>
          <w:rFonts w:ascii="Arial" w:hAnsi="Arial"/>
          <w:b/>
          <w:i w:val="0"/>
          <w:color w:val="111827"/>
          <w:sz w:val="24"/>
        </w:rPr>
        <w:t>pacotes de trabalho</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EAP </w:t>
            </w:r>
            <w:r>
              <w:rPr>
                <w:rFonts w:ascii="Arial" w:hAnsi="Arial"/>
                <w:b/>
                <w:i w:val="0"/>
                <w:color w:val="111827"/>
                <w:sz w:val="21"/>
              </w:rPr>
              <w:t>NÃO é um cronograma de atividades</w:t>
            </w:r>
            <w:r>
              <w:rPr>
                <w:rFonts w:ascii="Arial" w:hAnsi="Arial"/>
                <w:b w:val="0"/>
                <w:i w:val="0"/>
                <w:color w:val="111827"/>
                <w:sz w:val="21"/>
              </w:rPr>
              <w:t xml:space="preserve">! A EAP é orientada exclusivamente a </w:t>
            </w:r>
            <w:r>
              <w:rPr>
                <w:rFonts w:ascii="Arial" w:hAnsi="Arial"/>
                <w:b/>
                <w:i w:val="0"/>
                <w:color w:val="111827"/>
                <w:sz w:val="21"/>
              </w:rPr>
              <w:t>entregas (produtos e subprodutos)</w:t>
            </w:r>
            <w:r>
              <w:rPr>
                <w:rFonts w:ascii="Arial" w:hAnsi="Arial"/>
                <w:b w:val="0"/>
                <w:i w:val="0"/>
                <w:color w:val="111827"/>
                <w:sz w:val="21"/>
              </w:rPr>
              <w:t>. Ela não contém datas de início/fim nem lista de tarefas diárias. O documento que contém datas e dependências temporais é o Cronograma do Projeto (Diagrama de Rede ou Gráfico de Gantt).</w:t>
            </w:r>
          </w:p>
        </w:tc>
      </w:tr>
    </w:tbl>
    <w:p>
      <w:pPr>
        <w:spacing w:before="0" w:after="120"/>
      </w:pPr>
    </w:p>
    <w:p>
      <w:pPr>
        <w:keepNext/>
        <w:spacing w:before="120" w:after="40"/>
      </w:pPr>
      <w:r>
        <w:rPr>
          <w:rFonts w:ascii="Arial" w:hAnsi="Arial"/>
          <w:b/>
          <w:i/>
          <w:color w:val="334155"/>
          <w:sz w:val="22"/>
        </w:rPr>
        <w:t>4.4 A Restrição Tripla Clássica (Escopo, Custo e Tempo)</w:t>
      </w:r>
    </w:p>
    <w:p>
      <w:pPr>
        <w:spacing w:line="360" w:lineRule="auto" w:before="0" w:after="80"/>
        <w:jc w:val="both"/>
      </w:pPr>
      <w:r>
        <w:rPr>
          <w:rFonts w:ascii="Arial" w:hAnsi="Arial"/>
          <w:b w:val="0"/>
          <w:i w:val="0"/>
          <w:color w:val="111827"/>
          <w:sz w:val="24"/>
        </w:rPr>
        <w:t xml:space="preserve">O sucesso de um projeto decorre do equilíbrio dinâmico entre três variáveis interdependentes, balizadas pelo padrão de </w:t>
      </w:r>
      <w:r>
        <w:rPr>
          <w:rFonts w:ascii="Arial" w:hAnsi="Arial"/>
          <w:b/>
          <w:i w:val="0"/>
          <w:color w:val="111827"/>
          <w:sz w:val="24"/>
        </w:rPr>
        <w:t>Qualidade</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\text{Escopo} \iff \text{Tempo / Cronograma} \iff \text{Custo / Orçamento}</w:t>
      </w:r>
      <w:r>
        <w:rPr>
          <w:rFonts w:ascii="Arial" w:hAnsi="Arial"/>
          <w:b w:val="0"/>
          <w:i w:val="0"/>
          <w:color w:val="111827"/>
          <w:sz w:val="24"/>
        </w:rPr>
        <w:t>$</w:t>
      </w:r>
    </w:p>
    <w:p>
      <w:pPr>
        <w:spacing w:line="360" w:lineRule="auto" w:before="0" w:after="80"/>
        <w:jc w:val="both"/>
      </w:pPr>
      <w:r>
        <w:rPr>
          <w:rFonts w:ascii="Arial" w:hAnsi="Arial"/>
          <w:b w:val="0"/>
          <w:i w:val="0"/>
          <w:color w:val="111827"/>
          <w:sz w:val="24"/>
        </w:rPr>
        <w:t>A alteração em qualquer um desses vértices impacta compulsoriamente os outros dois (ex.: antecipar o prazo de conclusão exige aumento de custos com horas extras ou redução do escopo entregue).</w:t>
      </w:r>
    </w:p>
    <w:p>
      <w:pPr>
        <w:keepNext/>
        <w:spacing w:before="280" w:after="120"/>
      </w:pPr>
      <w:r>
        <w:rPr>
          <w:rFonts w:ascii="Arial" w:hAnsi="Arial"/>
          <w:b/>
          <w:i w:val="0"/>
          <w:color w:val="2C5282"/>
          <w:sz w:val="28"/>
        </w:rPr>
        <w:t>🌐 Fontes Oficiais &amp;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Decreto Federal nº 9.094/2017</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Simplificação do atendimento público, dispensa de ritos notariais e Carta de Serviços ao Usuário.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Federal nº 13.726/2018 (Lei da Desburocratização)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Racionalização de atos administrativos e eliminação de formalidades desnecessárias.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Associação dos Profissionais de BPM (ABPMP) - Guia para o Gerenciamento de Processos de Negócio (BPM CBOK v4.0)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Ciclo de vida de processos, modelagem AS-IS/TO-BE e hierarquia processual.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Project Management Institute (PMI) - Guia PMBOK (7ª Edição)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Padrões globais de gerenciamento de projetos, Termo de Abertura e EAP.</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Fundação Nacional da Qualidade (FNQ) - Cadernos MEG (Modelo de Excelência da Gestão)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Conceitos de qualidade total, liderança transformadora e melhoria contínua.</w:t>
      </w:r>
    </w:p>
    <w:p>
      <w:pPr>
        <w:keepNext/>
        <w:spacing w:before="280" w:after="120"/>
      </w:pPr>
      <w:r>
        <w:rPr>
          <w:rFonts w:ascii="Arial" w:hAnsi="Arial"/>
          <w:b/>
          <w:i w:val="0"/>
          <w:color w:val="2C5282"/>
          <w:sz w:val="28"/>
        </w:rPr>
        <w:t>📝 Questões Comentadas no Padrão FCC</w:t>
      </w:r>
    </w:p>
    <w:p>
      <w:pPr>
        <w:keepNext/>
        <w:spacing w:before="200" w:after="80"/>
      </w:pPr>
      <w:r>
        <w:rPr>
          <w:rFonts w:ascii="Arial" w:hAnsi="Arial"/>
          <w:b/>
          <w:i w:val="0"/>
          <w:color w:val="2B6CB0"/>
          <w:sz w:val="24"/>
        </w:rPr>
        <w:t>Questão 1 (FCC – TCE-PI – Auditor de Controle Externo)</w:t>
      </w:r>
    </w:p>
    <w:p>
      <w:pPr>
        <w:spacing w:line="360" w:lineRule="auto" w:before="0" w:after="80"/>
        <w:jc w:val="both"/>
      </w:pPr>
      <w:r>
        <w:rPr>
          <w:rFonts w:ascii="Arial" w:hAnsi="Arial"/>
          <w:b w:val="0"/>
          <w:i w:val="0"/>
          <w:color w:val="111827"/>
          <w:sz w:val="24"/>
        </w:rPr>
        <w:t>Cidadão compareceu ao setor de protocolo de uma secretaria de Estado para requerer certidão de regularidade funcional, apresentando cópia simples de sua cédula de identidade acompanhada do documento original. O atendente público recusou o recebimento da documentação, exigindo que o requerente providenciasse prévia autenticação da cópia e reconhecimento de firma em cartório de notas. Considerando o disposto no Decreto Federal nº 9.094/2017 e na legislação correlata sobre simplificação de serviços públicos: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conduta do atendente foi correta, pois a fé pública de documentos apresentados ao Estado depende de reconhecimento notarial.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conduta do atendente foi indevida, pois é vedada a exigência de reconhecimento de firma e de cópia autenticada, cabendo ao próprio servidor público atestar a autenticidade mediante cotejo da cópia com o original apresentado.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atendente agiu com respaldo legal, desde que o prazo de validade da cédula de identidade apresentada pelo cidadão tenha expirado há mais de cinco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atendimento só poderia ser recusado se o cidadão não comprovasse residência fixa no Estado por meio de certidão cartorária.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dispensa de autenticação cartorária somente se aplica a pessoas jurídicas sem fins lucrativos qualificadas como organizações sociais.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Decreto nº 9.094/2017 e a Lei Federal nº 13.726/2018 proíbem a transferência de custos e formalidades cartorárias ao cidadão quando o documento original é exibido ao agente público.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De acordo com o art. 9º do Decreto Federal nº 9.094/2017 e a Lei nº 13.726/2018, é vedada a exigência de reconhecimento de firma e de autenticação notarial de cópias, cabendo ao próprio servidor público, sob sua fé pública funcional, confrontar a cópia simples com o documento original e atestar a sua conformidade no processo administrativo.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lei não admite exceção temporal para documentos oficiais de identificação válidos que individualizem o cidadão.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comprovação de endereço pode ser feita mediante simples declaração assinada pelo interessado.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simplificação administrativa beneficia indistintamente qualquer cidadão ou pessoa jurídica no trato com o serviço público.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2 (FCC – TCE-RS – Auditor de Controle Externo)</w:t>
      </w:r>
    </w:p>
    <w:p>
      <w:pPr>
        <w:spacing w:line="360" w:lineRule="auto" w:before="0" w:after="80"/>
        <w:jc w:val="both"/>
      </w:pPr>
      <w:r>
        <w:rPr>
          <w:rFonts w:ascii="Arial" w:hAnsi="Arial"/>
          <w:b w:val="0"/>
          <w:i w:val="0"/>
          <w:color w:val="111827"/>
          <w:sz w:val="24"/>
        </w:rPr>
        <w:t>No âmbito da gestão estratégica e da teoria das organizações, a respeito das distinções essenciais entre a gestão de processos de negócio e a gestão de projetos: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Os projetos caracterizam-se por sua natureza contínua e repetitiva, destinando-se a manter estabilizadas as operações de rotina da organização.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modelagem de processos denominada AS-IS refere-se ao desenho ideal do fluxo futuro após a eliminação de redundâncias e automação tecnológica.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projeto é um esforço temporário empreendido para criar um produto, serviço ou resultado exclusivo, enquanto os processos representam fluxos de trabalho permanentes e padronizados.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Estrutura Analítica do Projeto (EAP) consiste em um gráfico de barras cronológico destinado a mensurar os custos diários incorridos pela equipe.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Os processos primários ou finalísticos de um órgão público são aqueles voltados exclusivamente para dar suporte administrativo às áreas de informática e compras.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perenidade, continuidade e repetitividade são traços definidores dos processos de rotina operacional, e não dos projetos.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modelagem AS-IS retrata o processo atual como ele funciona hoje (com suas falhas e gargalos); o desenho otimizado futuro é o TO-BE.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É a clássica definição do PMI/PMBOK: projeto é um esforço temporário com início e fim delimitados destinado a gerar um produto, serviço ou resultado exclusivo; ao passo que processos de negócio são contínuos, permanentes e padronizados para manter as operações regulares.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EAP é a decomposição hierárquica do escopo em entregas gerenciáveis; o gráfico de barras temporal com cronograma é o Gráfico de Gantt.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Informática e compras internas configuram processos de suporte (secundários); processos finalísticos entregam valor público direto à sociedade e à missão essencial do órgão.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3 (FCC – DPE-RS – Analista: Área Administrativa)</w:t>
      </w:r>
    </w:p>
    <w:p>
      <w:pPr>
        <w:spacing w:line="360" w:lineRule="auto" w:before="0" w:after="80"/>
        <w:jc w:val="both"/>
      </w:pPr>
      <w:r>
        <w:rPr>
          <w:rFonts w:ascii="Arial" w:hAnsi="Arial"/>
          <w:b w:val="0"/>
          <w:i w:val="0"/>
          <w:color w:val="111827"/>
          <w:sz w:val="24"/>
        </w:rPr>
        <w:t>Determinada equipe de modernização administrativa do Tribunal de Contas recebeu a incumbência de identificar as causas fundamentais dos atrasos reiterados na instrução processual de tomadas de contas especiais. Para estruturar a análise, os analistas utilizaram uma ferramenta visual que categoriza as causas potenciais em fatores como procedimentos e rotinas (Método), capacitação dos auditores (Mão de obra), sistemas informatizados utilizados (Máquinas/Tecnologia) e insumos documentais recebidos dos jurisdicionados (Matéria-prima). A ferramenta descrita é 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Diagrama de Ishikawa (Espinha de Peixe).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Gráfico de Pareto baseado na regra 80/20.</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Ciclo PDCA na etapa de Checagem.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Histograma de frequências acumuladas.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Gráfico de dispersão linear de Pearson.</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Correta. O Diagrama de Causa e Efeito (Diagrama de Ishikawa ou Espinha de Peixe) é o instrumento clássico da qualidade estruturado para rastrear e categorizar as causas raízes de um problema operacional, dividindo-as tradicionalmente nos 6Ms (Método, Mão de obra, Máquina, Matéria-prima, Medição e Meio ambiente).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O Diagrama de Pareto organiza causas por frequência decrescente para priorizar os 20% de causas que respondem por 80% dos problemas.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PDCA é um ciclo metodológico de gestão em quatro etapas contínuas, não o gráfico de causas em espinha.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histograma é um gráfico de distribuição de frequência estatística.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O gráfico de dispersão avalia a relação de causa estatística entre duas variáveis contínuas.</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4 (FCC – ARTESP – Especialista em Regulação de Transportes)</w:t>
      </w:r>
    </w:p>
    <w:p>
      <w:pPr>
        <w:spacing w:line="360" w:lineRule="auto" w:before="0" w:after="80"/>
        <w:jc w:val="both"/>
      </w:pPr>
      <w:r>
        <w:rPr>
          <w:rFonts w:ascii="Arial" w:hAnsi="Arial"/>
          <w:b w:val="0"/>
          <w:i w:val="0"/>
          <w:color w:val="111827"/>
          <w:sz w:val="24"/>
        </w:rPr>
        <w:t>Em relação ao gerenciamento de projetos estruturado segundo as boas práticas do guia PMBOK (Project Management Institute),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Termo de Abertura do Projeto (TAP) é emitido após o término da execução física para consolidar as lições aprendidas pela equipe.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Estrutura Analítica do Projeto (EAP) tem por objetivo decompor hierarquicamente o trabalho total do projeto em partes menores e gerenciáveis orientadas a entregas.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grupo de processos de encerramento do projeto dispensa a aceitação formal das entregas pelo cliente quando o cronograma for cumprido no prazo previsto.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restrição tripla do gerenciamento de projetos é composta exclusivamente por variáveis comportamentais: motivação, liderança e clima institucional.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gerente de projeto adquire autoridade formal para aplicar recursos da organização apenas no momento em que a equipe conclui a fase de encerramento contratual.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Termo de Abertura do Projeto (TAP) é emitido no grupo de Iniciação, inaugurando formalmente o projeto.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Correta. A EAP (Work Breakdown Structure - WBS) é a ferramenta de decomposição hierárquica e visual do escopo total de trabalho do projeto em partes menores e gerenciáveis (pacotes de trabalho) orientadas exclusivamente a entregas.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O encerramento do projeto exige impreterivelmente o aceite formal das entregas finais pelo cliente ou patrocinador, além da documentação das lições aprendidas.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restrição tripla clássica do gerenciamento de projetos é formada por: Escopo, Tempo e Custo (integrados pelo padrão de Qualidade).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autorização formal para mobilizar servidores e recursos organizacionais é conferida ao gerente logo no início, através da assinatura do TAP.</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5 (FCC – SEFAZ-SC – Auditor Fiscal da Receita Estadual)</w:t>
      </w:r>
    </w:p>
    <w:p>
      <w:pPr>
        <w:spacing w:line="360" w:lineRule="auto" w:before="0" w:after="80"/>
        <w:jc w:val="both"/>
      </w:pPr>
      <w:r>
        <w:rPr>
          <w:rFonts w:ascii="Arial" w:hAnsi="Arial"/>
          <w:b w:val="0"/>
          <w:i w:val="0"/>
          <w:color w:val="111827"/>
          <w:sz w:val="24"/>
        </w:rPr>
        <w:t>No âmbito da modelagem e do gerenciamento de processos de negócio (BPM - Business Process Management), os processos organizacionais são classificados em finalísticos, de suporte e de gerenciamento. Assinale a alternativa que apresenta um exemplo legítimo de processo de suporte (secundário) em uma organização pública: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Realização de fiscalização tributária e lançamento de ofício do crédito tributário estadual.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Concessão de aposentadorias e pensões aos servidores vinculados ao regime próprio de previdência.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Gestão de compras e contratação de serviços de vigilância e limpeza para as dependências do prédio sede.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Julgamento de autos de infração fiscal pelo Tribunal Administrativo Tributário.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Auditoria de regularidade das despesas públicas municipais efetuada pelo Tribunal de Contas.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fiscalização e o lançamento de tributos constituem a atividade-fim essencial da Secretaria da Fazenda, qualificando-se como processo finalístico (primário).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No âmbito de um instituto de previdência pública, conceder benefícios é sua atividade-fim direta (processo primário).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Correta. Processos de suporte (secundários ou de apoio) são aqueles que viabilizam o funcionamento interno da instituição e dos processos finalísticos, fornecendo recursos, logística e infraestrutura para clientes internos. A contratação de vigilância, limpeza predial, almoxarifado e suporte técnico de TI são exemplos clássicos de processos de suporte.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julgamento contencioso tributário é atividade finalística essencial de arrecadação e justiça fiscal.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fiscalização e auditoria das contas públicas jurisdicionadas é o processo finalístico precípuo do Tribunal de Contas.</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04 - Planejamento Estratégico, Indicadores, BSC, Gestão por Competências e Decisão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Noções de Administração Pública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04_planejamento_estrategico_indicadores_e_gestao_por_competencias.md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Níveis do planejamento organizacional: Estratégico (institucional e longo prazo), Tático (departamental e médio prazo) e Operacional (tarefas, rotinas e curto prazo);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Ferramentas de análise e diagnóstico para a gestão: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Balanced Scorecard (BSC - Kaplan &amp; Norton):</w:t>
      </w:r>
      <w:r>
        <w:rPr>
          <w:rFonts w:ascii="Arial" w:hAnsi="Arial"/>
          <w:b w:val="0"/>
          <w:i w:val="0"/>
          <w:color w:val="111827"/>
          <w:sz w:val="22"/>
        </w:rPr>
        <w:t xml:space="preserve"> mapa estratégico, relações de causa e efeito, e as quatro perspectivas adaptadas ao setor público (Cidadão/Sociedade, Orçamentária/Financeira, Processos Internos e Aprendizado/Crescimento);</w:t>
      </w:r>
    </w:p>
    <w:p>
      <w:pPr>
        <w:spacing w:line="276" w:lineRule="auto" w:before="20" w:after="40"/>
        <w:ind w:left="992"/>
      </w:pPr>
      <w:r>
        <w:rPr>
          <w:rFonts w:ascii="Arial" w:hAnsi="Arial"/>
          <w:b/>
          <w:color w:val="2B6CB0"/>
          <w:sz w:val="22"/>
        </w:rPr>
        <w:t xml:space="preserve">• </w:t>
      </w:r>
      <w:r>
        <w:rPr>
          <w:rFonts w:ascii="Arial" w:hAnsi="Arial"/>
          <w:b/>
          <w:i w:val="0"/>
          <w:color w:val="111827"/>
          <w:sz w:val="22"/>
        </w:rPr>
        <w:t>Matriz SWOT (FOFA):</w:t>
      </w:r>
      <w:r>
        <w:rPr>
          <w:rFonts w:ascii="Arial" w:hAnsi="Arial"/>
          <w:b w:val="0"/>
          <w:i w:val="0"/>
          <w:color w:val="111827"/>
          <w:sz w:val="22"/>
        </w:rPr>
        <w:t xml:space="preserve"> forças e fraquezas (ambiente interno controlável) versus oportunidades e ameaças (ambiente externo incontrolável);</w:t>
      </w:r>
    </w:p>
    <w:p>
      <w:pPr>
        <w:spacing w:line="276" w:lineRule="auto" w:before="20" w:after="40"/>
        <w:ind w:left="992"/>
      </w:pPr>
      <w:r>
        <w:rPr>
          <w:rFonts w:ascii="Arial" w:hAnsi="Arial"/>
          <w:b/>
          <w:color w:val="2B6CB0"/>
          <w:sz w:val="22"/>
        </w:rPr>
        <w:t xml:space="preserve">• </w:t>
      </w:r>
      <w:r>
        <w:rPr>
          <w:rFonts w:ascii="Arial" w:hAnsi="Arial"/>
          <w:b/>
          <w:i w:val="0"/>
          <w:color w:val="111827"/>
          <w:sz w:val="22"/>
        </w:rPr>
        <w:t>Matriz GUT:</w:t>
      </w:r>
      <w:r>
        <w:rPr>
          <w:rFonts w:ascii="Arial" w:hAnsi="Arial"/>
          <w:b w:val="0"/>
          <w:i w:val="0"/>
          <w:color w:val="111827"/>
          <w:sz w:val="22"/>
        </w:rPr>
        <w:t xml:space="preserve"> priorização matemática de problemas por Gravidade, Urgência e Tendência;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Metodologia 5W2H de planos de ação operacional;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Indicadores de gestão pública e desempenho organizacional: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Os 6 Es do desempenho público: Economicidade, Eficiência, Eficácia, Efetividade, Execução e Excelência;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Propriedades e requisitos dos indicadores: representatividade, simplicidade, rastreabilidade, sensibilidade e economicidade;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Metodologias de avaliação de desempenho funcional: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Avaliação individual e institucional; métodos tradicionais e modernos;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Avaliação 360 graus (múltiplas fontes), autoavaliação e avaliação participativa por objetivos;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Gestão por Competências na administração pública (Decreto Federal nº 9.991/2019):</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tríade </w:t>
      </w:r>
      <w:r>
        <w:rPr>
          <w:rFonts w:ascii="Arial" w:hAnsi="Arial"/>
          <w:b/>
          <w:i w:val="0"/>
          <w:color w:val="111827"/>
          <w:sz w:val="22"/>
        </w:rPr>
        <w:t>CHA</w:t>
      </w:r>
      <w:r>
        <w:rPr>
          <w:rFonts w:ascii="Arial" w:hAnsi="Arial"/>
          <w:b w:val="0"/>
          <w:i w:val="0"/>
          <w:color w:val="111827"/>
          <w:sz w:val="22"/>
        </w:rPr>
        <w:t xml:space="preserve"> (Conhecimentos, Habilidades e Atitudes);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Mapeamento de competências, diagnóstico de lacunas (</w:t>
      </w:r>
      <w:r>
        <w:rPr>
          <w:rFonts w:ascii="Arial" w:hAnsi="Arial"/>
          <w:b w:val="0"/>
          <w:i/>
          <w:color w:val="111827"/>
          <w:sz w:val="22"/>
        </w:rPr>
        <w:t>gap analysis</w:t>
      </w:r>
      <w:r>
        <w:rPr>
          <w:rFonts w:ascii="Arial" w:hAnsi="Arial"/>
          <w:b w:val="0"/>
          <w:i w:val="0"/>
          <w:color w:val="111827"/>
          <w:sz w:val="22"/>
        </w:rPr>
        <w:t>) e elaboração do Plano de Desenvolvimento de Pessoas (PDP);</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Processo decisório e teoria da decisão: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Modelo Racional Absoluto (</w:t>
      </w:r>
      <w:r>
        <w:rPr>
          <w:rFonts w:ascii="Arial" w:hAnsi="Arial"/>
          <w:b w:val="0"/>
          <w:i/>
          <w:color w:val="111827"/>
          <w:sz w:val="22"/>
        </w:rPr>
        <w:t>Homem Econômico</w:t>
      </w:r>
      <w:r>
        <w:rPr>
          <w:rFonts w:ascii="Arial" w:hAnsi="Arial"/>
          <w:b w:val="0"/>
          <w:i w:val="0"/>
          <w:color w:val="111827"/>
          <w:sz w:val="22"/>
        </w:rPr>
        <w:t>) versus Teoria da Racionalidade Limitada de Herbert Simon (</w:t>
      </w:r>
      <w:r>
        <w:rPr>
          <w:rFonts w:ascii="Arial" w:hAnsi="Arial"/>
          <w:b w:val="0"/>
          <w:i/>
          <w:color w:val="111827"/>
          <w:sz w:val="22"/>
        </w:rPr>
        <w:t>Homem Administrativo</w:t>
      </w:r>
      <w:r>
        <w:rPr>
          <w:rFonts w:ascii="Arial" w:hAnsi="Arial"/>
          <w:b w:val="0"/>
          <w:i w:val="0"/>
          <w:color w:val="111827"/>
          <w:sz w:val="22"/>
        </w:rPr>
        <w:t xml:space="preserve"> e decisões satisfatórias);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Decisões programadas versus decisões não programadas;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Gestão de conflitos organizacionais: conflitos funcionais e disfuncionais; estilos de tratamento de conflitos (Kenneth Thomas e Ralph Kilmann).</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Níveis do Planejamento Organizacional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 Balanced Scorecard (BSC) no Setor Público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Matrizes SWOT (FOFA), GUT e Plano de Ação 5W2H</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Indicadores de Desempenho e Métodos de Avaliação Funcional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Gestão por Competências no Setor Público (Decreto 9.991/2019)</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Processo Decisório e Teoria da Decisão (Herbert Simon)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Gestão de Conflitos Organizacionais (Thomas-Kilmann)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8.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9. Questões de Concurso FCC Comentadas</w:t>
      </w:r>
    </w:p>
    <w:p>
      <w:pPr>
        <w:keepNext/>
        <w:spacing w:before="280" w:after="120"/>
      </w:pPr>
      <w:r>
        <w:rPr>
          <w:rFonts w:ascii="Arial" w:hAnsi="Arial"/>
          <w:b/>
          <w:i w:val="0"/>
          <w:color w:val="2C5282"/>
          <w:sz w:val="28"/>
        </w:rPr>
        <w:t>📖 Resumo Teórico Aprofundado &amp; Esquematizado</w:t>
      </w:r>
    </w:p>
    <w:p>
      <w:pPr>
        <w:keepNext/>
        <w:spacing w:before="200" w:after="80"/>
      </w:pPr>
      <w:r>
        <w:rPr>
          <w:rFonts w:ascii="Arial" w:hAnsi="Arial"/>
          <w:b/>
          <w:i w:val="0"/>
          <w:color w:val="2B6CB0"/>
          <w:sz w:val="24"/>
        </w:rPr>
        <w:t>1. Níveis do Planejamento Organizacional</w:t>
      </w:r>
    </w:p>
    <w:p>
      <w:pPr>
        <w:spacing w:line="360" w:lineRule="auto" w:before="0" w:after="80"/>
        <w:jc w:val="both"/>
      </w:pPr>
      <w:r>
        <w:rPr>
          <w:rFonts w:ascii="Arial" w:hAnsi="Arial"/>
          <w:b w:val="0"/>
          <w:i w:val="0"/>
          <w:color w:val="111827"/>
          <w:sz w:val="24"/>
        </w:rPr>
        <w:t>O planejamento administrativo constitui a função basilar da administração que estabelece objetivos futuros e detalha os meios necessários para atingi-los. Estrutura-se em três níveis hierárquicos e temporais complementares: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Planejamento Estratégico:</w:t>
      </w:r>
    </w:p>
    <w:p>
      <w:pPr>
        <w:spacing w:line="276" w:lineRule="auto" w:before="20" w:after="40"/>
        <w:ind w:left="992"/>
      </w:pPr>
      <w:r>
        <w:rPr>
          <w:rFonts w:ascii="Arial" w:hAnsi="Arial"/>
          <w:b/>
          <w:color w:val="2B6CB0"/>
          <w:sz w:val="22"/>
        </w:rPr>
        <w:t xml:space="preserve">• </w:t>
      </w:r>
      <w:r>
        <w:rPr>
          <w:rFonts w:ascii="Arial" w:hAnsi="Arial"/>
          <w:b/>
          <w:i w:val="0"/>
          <w:color w:val="111827"/>
          <w:sz w:val="22"/>
        </w:rPr>
        <w:t>Horizonte Temporal:</w:t>
      </w:r>
      <w:r>
        <w:rPr>
          <w:rFonts w:ascii="Arial" w:hAnsi="Arial"/>
          <w:b w:val="0"/>
          <w:i w:val="0"/>
          <w:color w:val="111827"/>
          <w:sz w:val="22"/>
        </w:rPr>
        <w:t xml:space="preserve"> Longo prazo.</w:t>
      </w:r>
    </w:p>
    <w:p>
      <w:pPr>
        <w:spacing w:line="276" w:lineRule="auto" w:before="20" w:after="40"/>
        <w:ind w:left="992"/>
      </w:pPr>
      <w:r>
        <w:rPr>
          <w:rFonts w:ascii="Arial" w:hAnsi="Arial"/>
          <w:b/>
          <w:color w:val="2B6CB0"/>
          <w:sz w:val="22"/>
        </w:rPr>
        <w:t xml:space="preserve">• </w:t>
      </w:r>
      <w:r>
        <w:rPr>
          <w:rFonts w:ascii="Arial" w:hAnsi="Arial"/>
          <w:b/>
          <w:i w:val="0"/>
          <w:color w:val="111827"/>
          <w:sz w:val="22"/>
        </w:rPr>
        <w:t>Nível Hierárquico:</w:t>
      </w:r>
      <w:r>
        <w:rPr>
          <w:rFonts w:ascii="Arial" w:hAnsi="Arial"/>
          <w:b w:val="0"/>
          <w:i w:val="0"/>
          <w:color w:val="111827"/>
          <w:sz w:val="22"/>
        </w:rPr>
        <w:t xml:space="preserve"> Institucional (Diretoria, Tribunal Pleno, Secretários de Estado).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Escopo e Foco:</w:t>
      </w:r>
      <w:r>
        <w:rPr>
          <w:rFonts w:ascii="Arial" w:hAnsi="Arial"/>
          <w:b w:val="0"/>
          <w:i w:val="0"/>
          <w:color w:val="111827"/>
          <w:sz w:val="22"/>
        </w:rPr>
        <w:t xml:space="preserve"> Envolve a totalidade da organização, com ênfase nas variáveis do ambiente externo e na consecução da Missão (razão de existir), Visão (estado futuro desejado) e Valores organizacionais. Caracteriza-se por elevado grau de incerteza e orientação para a eficácia e efetividade institucional.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Planejamento Tático:</w:t>
      </w:r>
    </w:p>
    <w:p>
      <w:pPr>
        <w:spacing w:line="276" w:lineRule="auto" w:before="20" w:after="40"/>
        <w:ind w:left="992"/>
      </w:pPr>
      <w:r>
        <w:rPr>
          <w:rFonts w:ascii="Arial" w:hAnsi="Arial"/>
          <w:b/>
          <w:color w:val="2B6CB0"/>
          <w:sz w:val="22"/>
        </w:rPr>
        <w:t xml:space="preserve">• </w:t>
      </w:r>
      <w:r>
        <w:rPr>
          <w:rFonts w:ascii="Arial" w:hAnsi="Arial"/>
          <w:b/>
          <w:i w:val="0"/>
          <w:color w:val="111827"/>
          <w:sz w:val="22"/>
        </w:rPr>
        <w:t>Horizonte Temporal:</w:t>
      </w:r>
      <w:r>
        <w:rPr>
          <w:rFonts w:ascii="Arial" w:hAnsi="Arial"/>
          <w:b w:val="0"/>
          <w:i w:val="0"/>
          <w:color w:val="111827"/>
          <w:sz w:val="22"/>
        </w:rPr>
        <w:t xml:space="preserve"> Médio prazo.</w:t>
      </w:r>
    </w:p>
    <w:p>
      <w:pPr>
        <w:spacing w:line="276" w:lineRule="auto" w:before="20" w:after="40"/>
        <w:ind w:left="992"/>
      </w:pPr>
      <w:r>
        <w:rPr>
          <w:rFonts w:ascii="Arial" w:hAnsi="Arial"/>
          <w:b/>
          <w:color w:val="2B6CB0"/>
          <w:sz w:val="22"/>
        </w:rPr>
        <w:t xml:space="preserve">• </w:t>
      </w:r>
      <w:r>
        <w:rPr>
          <w:rFonts w:ascii="Arial" w:hAnsi="Arial"/>
          <w:b/>
          <w:i w:val="0"/>
          <w:color w:val="111827"/>
          <w:sz w:val="22"/>
        </w:rPr>
        <w:t>Nível Hierárquico:</w:t>
      </w:r>
      <w:r>
        <w:rPr>
          <w:rFonts w:ascii="Arial" w:hAnsi="Arial"/>
          <w:b w:val="0"/>
          <w:i w:val="0"/>
          <w:color w:val="111827"/>
          <w:sz w:val="22"/>
        </w:rPr>
        <w:t xml:space="preserve"> Intermediário / Gerencial (chefias de departamentos, diretorias setoriais).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Escopo e Foco:</w:t>
      </w:r>
      <w:r>
        <w:rPr>
          <w:rFonts w:ascii="Arial" w:hAnsi="Arial"/>
          <w:b w:val="0"/>
          <w:i w:val="0"/>
          <w:color w:val="111827"/>
          <w:sz w:val="22"/>
        </w:rPr>
        <w:t xml:space="preserve"> Traduz e fragmenta as macroestratégias corporativas em planos táticos departamentais funcionais (Plano de Contratações de TI, Plano Anual de Capacitação, Planejamento Orçamentário Setorial). Foca na coordenação e integração de recursos.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Planejamento Operacional: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Horizonte Temporal:</w:t>
      </w:r>
      <w:r>
        <w:rPr>
          <w:rFonts w:ascii="Arial" w:hAnsi="Arial"/>
          <w:b w:val="0"/>
          <w:i w:val="0"/>
          <w:color w:val="111827"/>
          <w:sz w:val="22"/>
        </w:rPr>
        <w:t xml:space="preserve"> Curto prazo (execução cotidiana).</w:t>
      </w:r>
    </w:p>
    <w:p>
      <w:pPr>
        <w:spacing w:line="276" w:lineRule="auto" w:before="20" w:after="40"/>
        <w:ind w:left="992"/>
      </w:pPr>
      <w:r>
        <w:rPr>
          <w:rFonts w:ascii="Arial" w:hAnsi="Arial"/>
          <w:b/>
          <w:color w:val="2B6CB0"/>
          <w:sz w:val="22"/>
        </w:rPr>
        <w:t xml:space="preserve">• </w:t>
      </w:r>
      <w:r>
        <w:rPr>
          <w:rFonts w:ascii="Arial" w:hAnsi="Arial"/>
          <w:b/>
          <w:i w:val="0"/>
          <w:color w:val="111827"/>
          <w:sz w:val="22"/>
        </w:rPr>
        <w:t>Nível Hierárquico:</w:t>
      </w:r>
      <w:r>
        <w:rPr>
          <w:rFonts w:ascii="Arial" w:hAnsi="Arial"/>
          <w:b w:val="0"/>
          <w:i w:val="0"/>
          <w:color w:val="111827"/>
          <w:sz w:val="22"/>
        </w:rPr>
        <w:t xml:space="preserve"> Operacional (supervisores, servidores de execução técnica e analítica).</w:t>
      </w:r>
    </w:p>
    <w:p>
      <w:pPr>
        <w:spacing w:line="276" w:lineRule="auto" w:before="20" w:after="40"/>
        <w:ind w:left="992"/>
      </w:pPr>
      <w:r>
        <w:rPr>
          <w:rFonts w:ascii="Arial" w:hAnsi="Arial"/>
          <w:b/>
          <w:color w:val="2B6CB0"/>
          <w:sz w:val="22"/>
        </w:rPr>
        <w:t xml:space="preserve">• </w:t>
      </w:r>
      <w:r>
        <w:rPr>
          <w:rFonts w:ascii="Arial" w:hAnsi="Arial"/>
          <w:b/>
          <w:i w:val="0"/>
          <w:color w:val="111827"/>
          <w:sz w:val="22"/>
        </w:rPr>
        <w:t>Escopo e Foco:</w:t>
      </w:r>
      <w:r>
        <w:rPr>
          <w:rFonts w:ascii="Arial" w:hAnsi="Arial"/>
          <w:b w:val="0"/>
          <w:i w:val="0"/>
          <w:color w:val="111827"/>
          <w:sz w:val="22"/>
        </w:rPr>
        <w:t xml:space="preserve"> Atividades, tarefas e rotinas individualizadas. Utiliza ferramentas como Procedimentos Operacionais Padrão (POP), ordens de serviço, cronogramas de fiscalização e orçamentos operacionais. Focado na eficiência produtiva e no estrito cumprimento de prazos imediatos.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(NÍVEIS DE PLANEJAMENTO):</w:t>
            </w:r>
          </w:p>
          <w:p>
            <w:pPr>
              <w:spacing w:line="288" w:lineRule="auto" w:before="40" w:after="40"/>
            </w:pPr>
            <w:r>
              <w:rPr>
                <w:rFonts w:ascii="Arial" w:hAnsi="Arial"/>
                <w:b w:val="0"/>
                <w:i w:val="0"/>
                <w:color w:val="111827"/>
                <w:sz w:val="21"/>
              </w:rPr>
              <w:t>A FCC frequentemente tenta inverter os horizontes temporais e escopos, afirmando que o planejamento tático cuida de tarefas operacionais diárias ou que o planejamento operacional traça a visão de longo prazo do órgão. Lembre-se: Estratégico = Longo Prazo / Toda a Organização; Tático = Médio Prazo / Unidades e Departamentos; Operacional = Curto Prazo / Tarefas, Procedimentos e Rotinas.</w:t>
            </w:r>
          </w:p>
        </w:tc>
      </w:tr>
    </w:tbl>
    <w:p>
      <w:pPr>
        <w:spacing w:before="0" w:after="120"/>
      </w:pPr>
    </w:p>
    <w:p>
      <w:pPr>
        <w:keepNext/>
        <w:spacing w:before="200" w:after="80"/>
      </w:pPr>
      <w:r>
        <w:rPr>
          <w:rFonts w:ascii="Arial" w:hAnsi="Arial"/>
          <w:b/>
          <w:i w:val="0"/>
          <w:color w:val="2B6CB0"/>
          <w:sz w:val="24"/>
        </w:rPr>
        <w:t>2. O Balanced Scorecard (BSC) no Setor Público</w:t>
      </w:r>
    </w:p>
    <w:p>
      <w:pPr>
        <w:spacing w:line="360" w:lineRule="auto" w:before="0" w:after="80"/>
        <w:jc w:val="both"/>
      </w:pPr>
      <w:r>
        <w:rPr>
          <w:rFonts w:ascii="Arial" w:hAnsi="Arial"/>
          <w:b w:val="0"/>
          <w:i w:val="0"/>
          <w:color w:val="111827"/>
          <w:sz w:val="24"/>
        </w:rPr>
        <w:t xml:space="preserve">Criado pelos professores de Harvard Robert Kaplan e David Norton no início da década de 1990, o </w:t>
      </w:r>
      <w:r>
        <w:rPr>
          <w:rFonts w:ascii="Arial" w:hAnsi="Arial"/>
          <w:b/>
          <w:i w:val="0"/>
          <w:color w:val="111827"/>
          <w:sz w:val="24"/>
        </w:rPr>
        <w:t>Balanced Scorecard (BSC)</w:t>
      </w:r>
      <w:r>
        <w:rPr>
          <w:rFonts w:ascii="Arial" w:hAnsi="Arial"/>
          <w:b w:val="0"/>
          <w:i w:val="0"/>
          <w:color w:val="111827"/>
          <w:sz w:val="24"/>
        </w:rPr>
        <w:t xml:space="preserve"> surgiu para suprir as deficiências dos sistemas tradicionais de medição, focados unicamente em indicadores contábeis e financeiros históricos. O BSC integra medidas financeiras com direcionadores de desempenho futuros organizados em quatro perspectivas interligadas por hipóteses de </w:t>
      </w:r>
      <w:r>
        <w:rPr>
          <w:rFonts w:ascii="Arial" w:hAnsi="Arial"/>
          <w:b/>
          <w:i w:val="0"/>
          <w:color w:val="111827"/>
          <w:sz w:val="24"/>
        </w:rPr>
        <w:t>causa e efeito</w:t>
      </w:r>
      <w:r>
        <w:rPr>
          <w:rFonts w:ascii="Arial" w:hAnsi="Arial"/>
          <w:b w:val="0"/>
          <w:i w:val="0"/>
          <w:color w:val="111827"/>
          <w:sz w:val="24"/>
        </w:rPr>
        <w:t>.</w:t>
      </w:r>
    </w:p>
    <w:p>
      <w:pPr>
        <w:spacing w:after="120"/>
      </w:pPr>
    </w:p>
    <w:p>
      <w:pPr>
        <w:keepNext/>
        <w:spacing w:before="120" w:after="40"/>
      </w:pPr>
      <w:r>
        <w:rPr>
          <w:rFonts w:ascii="Arial" w:hAnsi="Arial"/>
          <w:b/>
          <w:i/>
          <w:color w:val="334155"/>
          <w:sz w:val="22"/>
        </w:rPr>
        <w:t>As Quatro Perspectivas Clássicas e a Adaptação para o Setor Público: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Perspectiva do Cidadão / Sociedade (Topo no Setor Público):</w:t>
      </w:r>
    </w:p>
    <w:p>
      <w:pPr>
        <w:spacing w:line="276" w:lineRule="auto" w:before="20" w:after="40"/>
        <w:ind w:left="992"/>
      </w:pPr>
      <w:r>
        <w:rPr>
          <w:rFonts w:ascii="Arial" w:hAnsi="Arial"/>
          <w:b/>
          <w:color w:val="2B6CB0"/>
          <w:sz w:val="22"/>
        </w:rPr>
        <w:t xml:space="preserve">• </w:t>
      </w:r>
      <w:r>
        <w:rPr>
          <w:rFonts w:ascii="Arial" w:hAnsi="Arial"/>
          <w:b w:val="0"/>
          <w:i/>
          <w:color w:val="111827"/>
          <w:sz w:val="22"/>
        </w:rPr>
        <w:t>Na iniciativa privada:</w:t>
      </w:r>
      <w:r>
        <w:rPr>
          <w:rFonts w:ascii="Arial" w:hAnsi="Arial"/>
          <w:b w:val="0"/>
          <w:i w:val="0"/>
          <w:color w:val="111827"/>
          <w:sz w:val="22"/>
        </w:rPr>
        <w:t xml:space="preserve"> O topo do mapa estratégico é a </w:t>
      </w:r>
      <w:r>
        <w:rPr>
          <w:rFonts w:ascii="Arial" w:hAnsi="Arial"/>
          <w:b/>
          <w:i w:val="0"/>
          <w:color w:val="111827"/>
          <w:sz w:val="22"/>
        </w:rPr>
        <w:t>Perspectiva Financeira</w:t>
      </w:r>
      <w:r>
        <w:rPr>
          <w:rFonts w:ascii="Arial" w:hAnsi="Arial"/>
          <w:b w:val="0"/>
          <w:i w:val="0"/>
          <w:color w:val="111827"/>
          <w:sz w:val="22"/>
        </w:rPr>
        <w:t>, orientada para a geração de lucros, dividendos e retorno sobre o patrimônio dos acionistas (</w:t>
      </w:r>
      <w:r>
        <w:rPr>
          <w:rFonts w:ascii="Arial" w:hAnsi="Arial"/>
          <w:b w:val="0"/>
          <w:i/>
          <w:color w:val="111827"/>
          <w:sz w:val="22"/>
        </w:rPr>
        <w:t>shareholders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No setor público:</w:t>
      </w:r>
      <w:r>
        <w:rPr>
          <w:rFonts w:ascii="Arial" w:hAnsi="Arial"/>
          <w:b w:val="0"/>
          <w:i w:val="0"/>
          <w:color w:val="111827"/>
          <w:sz w:val="22"/>
        </w:rPr>
        <w:t xml:space="preserve"> O topo do mapa estratégico é </w:t>
      </w:r>
      <w:r>
        <w:rPr>
          <w:rFonts w:ascii="Arial" w:hAnsi="Arial"/>
          <w:b/>
          <w:i w:val="0"/>
          <w:color w:val="111827"/>
          <w:sz w:val="22"/>
        </w:rPr>
        <w:t>obrigatoriamente a Perspectiva do Cidadão e da Sociedade</w:t>
      </w:r>
      <w:r>
        <w:rPr>
          <w:rFonts w:ascii="Arial" w:hAnsi="Arial"/>
          <w:b w:val="0"/>
          <w:i w:val="0"/>
          <w:color w:val="111827"/>
          <w:sz w:val="22"/>
        </w:rPr>
        <w:t>. O órgão público não visa ao lucro comercial, mas sim à geração de valor público, garantia de direitos fundamentais e satisfação dos cidadãos-usuários.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Perspectiva Financeira / Orçamentária: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No setor público, os recursos orçamentários não são um fim em si mesmos, mas atuam como </w:t>
      </w:r>
      <w:r>
        <w:rPr>
          <w:rFonts w:ascii="Arial" w:hAnsi="Arial"/>
          <w:b/>
          <w:i w:val="0"/>
          <w:color w:val="111827"/>
          <w:sz w:val="22"/>
        </w:rPr>
        <w:t>fatores restritores e viabilizadores</w:t>
      </w:r>
      <w:r>
        <w:rPr>
          <w:rFonts w:ascii="Arial" w:hAnsi="Arial"/>
          <w:b w:val="0"/>
          <w:i w:val="0"/>
          <w:color w:val="111827"/>
          <w:sz w:val="22"/>
        </w:rPr>
        <w:t xml:space="preserve"> da estratégia. Foca na economicidade, sustentabilidade orçamentária, equilíbrio fiscal (LRF) e conformidade na aplicação das verbas.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Perspectiva dos Processos Internos: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Mapeia os processos de trabalho críticos nos quais a instituição deve atingir excelência. Compreende processos de inovação, fiscalização tempestiva, controle preventivo, modernização de sistemas e celeridade procedimental.</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Perspectiva de Aprendizado e Crescimento (Base de Sustentação):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Representa os alicerces estruturais e o capital intangível que suporta todos os processos superiores: capital humano (competências e capacitação), capital informacional (infraestrutura tecnológica, banco de dados) e capital organizacional (cultura institucional, liderança, alinhamento e trabalho em equipe).</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(O TOPO DO BSC PÚBLICO):</w:t>
            </w:r>
          </w:p>
          <w:p>
            <w:pPr>
              <w:spacing w:line="288" w:lineRule="auto" w:before="40" w:after="40"/>
            </w:pPr>
            <w:r>
              <w:rPr>
                <w:rFonts w:ascii="Arial" w:hAnsi="Arial"/>
                <w:b w:val="0"/>
                <w:i w:val="0"/>
                <w:color w:val="111827"/>
                <w:sz w:val="21"/>
              </w:rPr>
              <w:t xml:space="preserve">A FCC adora afirmar que a perspectiva financeira figura no topo do Balanced Scorecard no setor público. Isso é </w:t>
            </w:r>
            <w:r>
              <w:rPr>
                <w:rFonts w:ascii="Arial" w:hAnsi="Arial"/>
                <w:b/>
                <w:i w:val="0"/>
                <w:color w:val="111827"/>
                <w:sz w:val="21"/>
              </w:rPr>
              <w:t>FALSO</w:t>
            </w:r>
            <w:r>
              <w:rPr>
                <w:rFonts w:ascii="Arial" w:hAnsi="Arial"/>
                <w:b w:val="0"/>
                <w:i w:val="0"/>
                <w:color w:val="111827"/>
                <w:sz w:val="21"/>
              </w:rPr>
              <w:t xml:space="preserve">! No setor público, quem ocupa o topo do mapa estratégico é a </w:t>
            </w:r>
            <w:r>
              <w:rPr>
                <w:rFonts w:ascii="Arial" w:hAnsi="Arial"/>
                <w:b/>
                <w:i w:val="0"/>
                <w:color w:val="111827"/>
                <w:sz w:val="21"/>
              </w:rPr>
              <w:t>Perspectiva do Cidadão / Sociedade</w:t>
            </w:r>
            <w:r>
              <w:rPr>
                <w:rFonts w:ascii="Arial" w:hAnsi="Arial"/>
                <w:b w:val="0"/>
                <w:i w:val="0"/>
                <w:color w:val="111827"/>
                <w:sz w:val="21"/>
              </w:rPr>
              <w:t>, pois o órgão estatal não busca lucro comercial, mas sim gerar valor social e cumprir sua missão pública!</w:t>
            </w:r>
          </w:p>
        </w:tc>
      </w:tr>
    </w:tbl>
    <w:p>
      <w:pPr>
        <w:spacing w:before="0" w:after="120"/>
      </w:pPr>
    </w:p>
    <w:p>
      <w:pPr>
        <w:keepNext/>
        <w:spacing w:before="200" w:after="80"/>
      </w:pPr>
      <w:r>
        <w:rPr>
          <w:rFonts w:ascii="Arial" w:hAnsi="Arial"/>
          <w:b/>
          <w:i w:val="0"/>
          <w:color w:val="2B6CB0"/>
          <w:sz w:val="24"/>
        </w:rPr>
        <w:t>3. Matrizes SWOT (FOFA), GUT e Plano de Ação 5W2H</w:t>
      </w:r>
    </w:p>
    <w:p>
      <w:pPr>
        <w:keepNext/>
        <w:spacing w:before="120" w:after="40"/>
      </w:pPr>
      <w:r>
        <w:rPr>
          <w:rFonts w:ascii="Arial" w:hAnsi="Arial"/>
          <w:b/>
          <w:i/>
          <w:color w:val="334155"/>
          <w:sz w:val="22"/>
        </w:rPr>
        <w:t>A) Matriz SWOT (FOFA)</w:t>
      </w:r>
    </w:p>
    <w:p>
      <w:pPr>
        <w:spacing w:line="360" w:lineRule="auto" w:before="0" w:after="80"/>
        <w:jc w:val="both"/>
      </w:pPr>
      <w:r>
        <w:rPr>
          <w:rFonts w:ascii="Arial" w:hAnsi="Arial"/>
          <w:b w:val="0"/>
          <w:i w:val="0"/>
          <w:color w:val="111827"/>
          <w:sz w:val="24"/>
        </w:rPr>
        <w:t>A análise SWOT (</w:t>
      </w:r>
      <w:r>
        <w:rPr>
          <w:rFonts w:ascii="Arial" w:hAnsi="Arial"/>
          <w:b w:val="0"/>
          <w:i/>
          <w:color w:val="111827"/>
          <w:sz w:val="24"/>
        </w:rPr>
        <w:t>Strengths, Weaknesses, Opportunities, Threats</w:t>
      </w:r>
      <w:r>
        <w:rPr>
          <w:rFonts w:ascii="Arial" w:hAnsi="Arial"/>
          <w:b w:val="0"/>
          <w:i w:val="0"/>
          <w:color w:val="111827"/>
          <w:sz w:val="24"/>
        </w:rPr>
        <w:t xml:space="preserve"> / Forças, Oportunidades, Fraquezas e Ameaças) é um clássico modelo de diagnóstico situacional estratégico que correlaciona o diagnóstico interno e externo da organização:</w:t>
      </w:r>
    </w:p>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(SWOT: AMBIENTE INTERNO VS. EXTERNO):</w:t>
            </w:r>
          </w:p>
          <w:p>
            <w:pPr>
              <w:spacing w:line="288" w:lineRule="auto" w:before="40" w:after="40"/>
            </w:pPr>
            <w:r>
              <w:rPr>
                <w:rFonts w:ascii="Arial" w:hAnsi="Arial"/>
                <w:b w:val="0"/>
                <w:i w:val="0"/>
                <w:color w:val="111827"/>
                <w:sz w:val="21"/>
              </w:rPr>
              <w:t>Grave os limites de controle: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Ambiente Interno (Sob controle do órgão):</w:t>
            </w:r>
            <w:r>
              <w:rPr>
                <w:rFonts w:ascii="Arial" w:hAnsi="Arial"/>
                <w:b w:val="0"/>
                <w:i w:val="0"/>
                <w:color w:val="111827"/>
                <w:sz w:val="21"/>
              </w:rPr>
              <w:t xml:space="preserve"> Forças (</w:t>
            </w:r>
            <w:r>
              <w:rPr>
                <w:rFonts w:ascii="Arial" w:hAnsi="Arial"/>
                <w:b w:val="0"/>
                <w:i/>
                <w:color w:val="111827"/>
                <w:sz w:val="21"/>
              </w:rPr>
              <w:t>Strengths</w:t>
            </w:r>
            <w:r>
              <w:rPr>
                <w:rFonts w:ascii="Arial" w:hAnsi="Arial"/>
                <w:b w:val="0"/>
                <w:i w:val="0"/>
                <w:color w:val="111827"/>
                <w:sz w:val="21"/>
              </w:rPr>
              <w:t>) e Fraquezas (</w:t>
            </w:r>
            <w:r>
              <w:rPr>
                <w:rFonts w:ascii="Arial" w:hAnsi="Arial"/>
                <w:b w:val="0"/>
                <w:i/>
                <w:color w:val="111827"/>
                <w:sz w:val="21"/>
              </w:rPr>
              <w:t>Weaknesses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Ambiente Externo (Fora do controle do órgão):</w:t>
            </w:r>
            <w:r>
              <w:rPr>
                <w:rFonts w:ascii="Arial" w:hAnsi="Arial"/>
                <w:b w:val="0"/>
                <w:i w:val="0"/>
                <w:color w:val="111827"/>
                <w:sz w:val="21"/>
              </w:rPr>
              <w:t xml:space="preserve"> Oportunidades (</w:t>
            </w:r>
            <w:r>
              <w:rPr>
                <w:rFonts w:ascii="Arial" w:hAnsi="Arial"/>
                <w:b w:val="0"/>
                <w:i/>
                <w:color w:val="111827"/>
                <w:sz w:val="21"/>
              </w:rPr>
              <w:t>Opportunities</w:t>
            </w:r>
            <w:r>
              <w:rPr>
                <w:rFonts w:ascii="Arial" w:hAnsi="Arial"/>
                <w:b w:val="0"/>
                <w:i w:val="0"/>
                <w:color w:val="111827"/>
                <w:sz w:val="21"/>
              </w:rPr>
              <w:t>) e Ameaças (</w:t>
            </w:r>
            <w:r>
              <w:rPr>
                <w:rFonts w:ascii="Arial" w:hAnsi="Arial"/>
                <w:b w:val="0"/>
                <w:i/>
                <w:color w:val="111827"/>
                <w:sz w:val="21"/>
              </w:rPr>
              <w:t>Threats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Se a questão citar uma crise econômica, uma mudança climática ou uma alteração da lei, isso é </w:t>
            </w:r>
            <w:r>
              <w:rPr>
                <w:rFonts w:ascii="Arial" w:hAnsi="Arial"/>
                <w:b/>
                <w:i w:val="0"/>
                <w:color w:val="111827"/>
                <w:sz w:val="21"/>
              </w:rPr>
              <w:t>incontrolável</w:t>
            </w:r>
            <w:r>
              <w:rPr>
                <w:rFonts w:ascii="Arial" w:hAnsi="Arial"/>
                <w:b w:val="0"/>
                <w:i w:val="0"/>
                <w:color w:val="111827"/>
                <w:sz w:val="21"/>
              </w:rPr>
              <w:t>, portanto pertence ao ambiente externo (Ameaça ou Oportunidade)!</w:t>
            </w:r>
          </w:p>
        </w:tc>
      </w:tr>
    </w:tbl>
    <w:p>
      <w:pPr>
        <w:spacing w:before="0" w:after="120"/>
      </w:pPr>
    </w:p>
    <w:p>
      <w:pPr>
        <w:keepNext/>
        <w:spacing w:before="120" w:after="40"/>
      </w:pPr>
      <w:r>
        <w:rPr>
          <w:rFonts w:ascii="Arial" w:hAnsi="Arial"/>
          <w:b/>
          <w:i/>
          <w:color w:val="334155"/>
          <w:sz w:val="22"/>
        </w:rPr>
        <w:t>B) Matriz GUT (Gravidade, Urgência e Tendência)</w:t>
      </w:r>
    </w:p>
    <w:p>
      <w:pPr>
        <w:spacing w:line="360" w:lineRule="auto" w:before="0" w:after="80"/>
        <w:jc w:val="both"/>
      </w:pPr>
      <w:r>
        <w:rPr>
          <w:rFonts w:ascii="Arial" w:hAnsi="Arial"/>
          <w:b w:val="0"/>
          <w:i w:val="0"/>
          <w:color w:val="111827"/>
          <w:sz w:val="24"/>
        </w:rPr>
        <w:t>Instrumento matemático prioritário para ranquear problemas, projetos ou demandas operacionais que concorrem por recursos escassos. Cada variável recebe uma nota de 1 a 5:</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\mathbf{\text{Pontuação de Prioridade} = \text{Gravidade (G)} \times \text{Urgência (U)} \times \text{Tendência (T)}}</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G - Gravidade:</w:t>
      </w:r>
      <w:r>
        <w:rPr>
          <w:rFonts w:ascii="Arial" w:hAnsi="Arial"/>
          <w:b w:val="0"/>
          <w:i w:val="0"/>
          <w:color w:val="111827"/>
          <w:sz w:val="22"/>
        </w:rPr>
        <w:t xml:space="preserve"> Mensura a extensão do dano, prejuízo material ou impacto institucional caso nada seja feito (1 = sem gravidade; 5 = gravíssimo / danos irreparáveis).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U - Urgência:</w:t>
      </w:r>
      <w:r>
        <w:rPr>
          <w:rFonts w:ascii="Arial" w:hAnsi="Arial"/>
          <w:b w:val="0"/>
          <w:i w:val="0"/>
          <w:color w:val="111827"/>
          <w:sz w:val="22"/>
        </w:rPr>
        <w:t xml:space="preserve"> Avalia o tempo remanescente para intervir antes que consequências danosas ocorram (1 = pode esperar sem prejuízo; 5 = exige intervenção imediata / perda iminente).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T - Tendência:</w:t>
      </w:r>
      <w:r>
        <w:rPr>
          <w:rFonts w:ascii="Arial" w:hAnsi="Arial"/>
          <w:b w:val="0"/>
          <w:i w:val="0"/>
          <w:color w:val="111827"/>
          <w:sz w:val="22"/>
        </w:rPr>
        <w:t xml:space="preserve"> Projeta o padrão evolutivo e a probabilidade de agravamento do problema no tempo (1 = vai desaparecer ou estagnar; 5 = vai piorar rápida e drasticamente).</w:t>
      </w:r>
    </w:p>
    <w:p>
      <w:pPr>
        <w:keepNext/>
        <w:spacing w:before="120" w:after="40"/>
      </w:pPr>
      <w:r>
        <w:rPr>
          <w:rFonts w:ascii="Arial" w:hAnsi="Arial"/>
          <w:b/>
          <w:i/>
          <w:color w:val="334155"/>
          <w:sz w:val="22"/>
        </w:rPr>
        <w:t>C) Plano de Ação 5W2H</w:t>
      </w:r>
    </w:p>
    <w:p>
      <w:pPr>
        <w:spacing w:line="360" w:lineRule="auto" w:before="0" w:after="80"/>
        <w:jc w:val="both"/>
      </w:pPr>
      <w:r>
        <w:rPr>
          <w:rFonts w:ascii="Arial" w:hAnsi="Arial"/>
          <w:b w:val="0"/>
          <w:i w:val="0"/>
          <w:color w:val="111827"/>
          <w:sz w:val="24"/>
        </w:rPr>
        <w:t>Metodologia operacional consagrada para estruturação e acompanhamento da execução prática de projetos e deliberações administrativas: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What? (O quê?):</w:t>
      </w:r>
      <w:r>
        <w:rPr>
          <w:rFonts w:ascii="Arial" w:hAnsi="Arial"/>
          <w:b w:val="0"/>
          <w:i w:val="0"/>
          <w:color w:val="111827"/>
          <w:sz w:val="22"/>
        </w:rPr>
        <w:t xml:space="preserve"> Descrição da meta, ação ou entrega a realizar.</w:t>
      </w:r>
    </w:p>
    <w:p>
      <w:pPr>
        <w:spacing w:line="276" w:lineRule="auto" w:before="20" w:after="40"/>
        <w:ind w:left="425"/>
      </w:pPr>
      <w:r>
        <w:rPr>
          <w:rFonts w:ascii="Arial" w:hAnsi="Arial"/>
          <w:b/>
          <w:color w:val="1B365D"/>
          <w:sz w:val="22"/>
        </w:rPr>
        <w:t xml:space="preserve">2. </w:t>
      </w:r>
      <w:r>
        <w:rPr>
          <w:rFonts w:ascii="Arial" w:hAnsi="Arial"/>
          <w:b/>
          <w:i w:val="0"/>
          <w:color w:val="111827"/>
          <w:sz w:val="22"/>
        </w:rPr>
        <w:t>Why? (Por quê?):</w:t>
      </w:r>
      <w:r>
        <w:rPr>
          <w:rFonts w:ascii="Arial" w:hAnsi="Arial"/>
          <w:b w:val="0"/>
          <w:i w:val="0"/>
          <w:color w:val="111827"/>
          <w:sz w:val="22"/>
        </w:rPr>
        <w:t xml:space="preserve"> Justificativa, benefício e razão de ser da iniciativa.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Where? (Onde?):</w:t>
      </w:r>
      <w:r>
        <w:rPr>
          <w:rFonts w:ascii="Arial" w:hAnsi="Arial"/>
          <w:b w:val="0"/>
          <w:i w:val="0"/>
          <w:color w:val="111827"/>
          <w:sz w:val="22"/>
        </w:rPr>
        <w:t xml:space="preserve"> Local físico ou sistema institucional onde ocorrerá.</w:t>
      </w:r>
    </w:p>
    <w:p>
      <w:pPr>
        <w:spacing w:line="276" w:lineRule="auto" w:before="20" w:after="40"/>
        <w:ind w:left="425"/>
      </w:pPr>
      <w:r>
        <w:rPr>
          <w:rFonts w:ascii="Arial" w:hAnsi="Arial"/>
          <w:b/>
          <w:color w:val="1B365D"/>
          <w:sz w:val="22"/>
        </w:rPr>
        <w:t xml:space="preserve">4. </w:t>
      </w:r>
      <w:r>
        <w:rPr>
          <w:rFonts w:ascii="Arial" w:hAnsi="Arial"/>
          <w:b/>
          <w:i w:val="0"/>
          <w:color w:val="111827"/>
          <w:sz w:val="22"/>
        </w:rPr>
        <w:t>When? (Quando?):</w:t>
      </w:r>
      <w:r>
        <w:rPr>
          <w:rFonts w:ascii="Arial" w:hAnsi="Arial"/>
          <w:b w:val="0"/>
          <w:i w:val="0"/>
          <w:color w:val="111827"/>
          <w:sz w:val="22"/>
        </w:rPr>
        <w:t xml:space="preserve"> Cronograma de execução (início, marcos e término).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Who? (Quem?):</w:t>
      </w:r>
      <w:r>
        <w:rPr>
          <w:rFonts w:ascii="Arial" w:hAnsi="Arial"/>
          <w:b w:val="0"/>
          <w:i w:val="0"/>
          <w:color w:val="111827"/>
          <w:sz w:val="22"/>
        </w:rPr>
        <w:t xml:space="preserve"> Responsável formal designado pela liderança da ação.</w:t>
      </w:r>
    </w:p>
    <w:p>
      <w:pPr>
        <w:spacing w:line="276" w:lineRule="auto" w:before="20" w:after="40"/>
        <w:ind w:left="425"/>
      </w:pPr>
      <w:r>
        <w:rPr>
          <w:rFonts w:ascii="Arial" w:hAnsi="Arial"/>
          <w:b/>
          <w:color w:val="1B365D"/>
          <w:sz w:val="22"/>
        </w:rPr>
        <w:t xml:space="preserve">6. </w:t>
      </w:r>
      <w:r>
        <w:rPr>
          <w:rFonts w:ascii="Arial" w:hAnsi="Arial"/>
          <w:b/>
          <w:i w:val="0"/>
          <w:color w:val="111827"/>
          <w:sz w:val="22"/>
        </w:rPr>
        <w:t>How? (Como?):</w:t>
      </w:r>
      <w:r>
        <w:rPr>
          <w:rFonts w:ascii="Arial" w:hAnsi="Arial"/>
          <w:b w:val="0"/>
          <w:i w:val="0"/>
          <w:color w:val="111827"/>
          <w:sz w:val="22"/>
        </w:rPr>
        <w:t xml:space="preserve"> Procedimentos operacionais, método de trabalho ou etapas técnicas.</w:t>
      </w:r>
    </w:p>
    <w:p>
      <w:pPr>
        <w:spacing w:line="276" w:lineRule="auto" w:before="20" w:after="40"/>
        <w:ind w:left="425"/>
      </w:pPr>
      <w:r>
        <w:rPr>
          <w:rFonts w:ascii="Arial" w:hAnsi="Arial"/>
          <w:b/>
          <w:color w:val="1B365D"/>
          <w:sz w:val="22"/>
        </w:rPr>
        <w:t xml:space="preserve">7. </w:t>
      </w:r>
      <w:r>
        <w:rPr>
          <w:rFonts w:ascii="Arial" w:hAnsi="Arial"/>
          <w:b/>
          <w:i w:val="0"/>
          <w:color w:val="111827"/>
          <w:sz w:val="22"/>
        </w:rPr>
        <w:t>How Much? (Quanto custa?):</w:t>
      </w:r>
      <w:r>
        <w:rPr>
          <w:rFonts w:ascii="Arial" w:hAnsi="Arial"/>
          <w:b w:val="0"/>
          <w:i w:val="0"/>
          <w:color w:val="111827"/>
          <w:sz w:val="22"/>
        </w:rPr>
        <w:t xml:space="preserve"> Orçamento estimado e custos alocados.</w:t>
      </w:r>
    </w:p>
    <w:p>
      <w:pPr>
        <w:keepNext/>
        <w:spacing w:before="200" w:after="80"/>
      </w:pPr>
      <w:r>
        <w:rPr>
          <w:rFonts w:ascii="Arial" w:hAnsi="Arial"/>
          <w:b/>
          <w:i w:val="0"/>
          <w:color w:val="2B6CB0"/>
          <w:sz w:val="24"/>
        </w:rPr>
        <w:t>4. Indicadores de Desempenho e Métodos de Avaliação Funcional</w:t>
      </w:r>
    </w:p>
    <w:p>
      <w:pPr>
        <w:keepNext/>
        <w:spacing w:before="120" w:after="40"/>
      </w:pPr>
      <w:r>
        <w:rPr>
          <w:rFonts w:ascii="Arial" w:hAnsi="Arial"/>
          <w:b/>
          <w:i/>
          <w:color w:val="334155"/>
          <w:sz w:val="22"/>
        </w:rPr>
        <w:t>A) As Dimensões do Desempenho Público (Os 6 Es)</w:t>
      </w:r>
    </w:p>
    <w:p>
      <w:pPr>
        <w:spacing w:line="360" w:lineRule="auto" w:before="0" w:after="80"/>
        <w:jc w:val="both"/>
      </w:pPr>
      <w:r>
        <w:rPr>
          <w:rFonts w:ascii="Arial" w:hAnsi="Arial"/>
          <w:b w:val="0"/>
          <w:i w:val="0"/>
          <w:color w:val="111827"/>
          <w:sz w:val="24"/>
        </w:rPr>
        <w:t>A gestão pública moderna avalia políticas públicas e entidades governamentais por meio da cadeia de agregação de valor público conhecida como os 6 Es:</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Indicador (E)</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Conceito Central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Relação Analítica / Foco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Economicidade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Minimização dos custos na aquisição de insumos sem perda de qualidade.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\frac{\text{Custo Real}}{\text{Custo Padrão/Mercado}}</w:t>
            </w:r>
            <w:r>
              <w:rPr>
                <w:rFonts w:ascii="Arial" w:hAnsi="Arial"/>
                <w:b w:val="0"/>
                <w:i w:val="0"/>
                <w:color w:val="111827"/>
                <w:sz w:val="19"/>
              </w:rPr>
              <w:t xml:space="preserve"> (Insumo)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Eficiência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Relação técnica entre os insumos empregados e os produtos gerados ("fazer mais com menos").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\frac{\text{Produtos Gerados}}{\text{Insumos Utilizados}}</w:t>
            </w:r>
            <w:r>
              <w:rPr>
                <w:rFonts w:ascii="Arial" w:hAnsi="Arial"/>
                <w:b w:val="0"/>
                <w:i w:val="0"/>
                <w:color w:val="111827"/>
                <w:sz w:val="19"/>
              </w:rPr>
              <w:t xml:space="preserve"> (Insumo </w:t>
            </w:r>
            <w:r>
              <w:rPr>
                <w:rFonts w:ascii="Cambria Math" w:hAnsi="Cambria Math"/>
                <w:i/>
                <w:color w:val="1B365D"/>
                <w:sz w:val="19"/>
              </w:rPr>
              <w:t>\rightarrow</w:t>
            </w:r>
            <w:r>
              <w:rPr>
                <w:rFonts w:ascii="Arial" w:hAnsi="Arial"/>
                <w:b w:val="0"/>
                <w:i w:val="0"/>
                <w:color w:val="111827"/>
                <w:sz w:val="19"/>
              </w:rPr>
              <w:t xml:space="preserve"> Produto)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Eficácia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Grau de atingimento das metas e objetivos formais planejados.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\frac{\text{Resultado Alcançado}}{\text{Meta Planejada}} \times 100</w:t>
            </w:r>
            <w:r>
              <w:rPr>
                <w:rFonts w:ascii="Arial" w:hAnsi="Arial"/>
                <w:b w:val="0"/>
                <w:i w:val="0"/>
                <w:color w:val="111827"/>
                <w:sz w:val="19"/>
              </w:rPr>
              <w:t xml:space="preserve"> (Metas)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Efetividade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Impacto real, duradouro e transformador na sociedade e no bem-estar coletivo.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Impacto social / Transformação da realidade</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Execução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Cumprimento tempestivo dos contratos, etapas, cronogramas e prazos legais fixados.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Cambria Math" w:hAnsi="Cambria Math"/>
                <w:i/>
                <w:color w:val="1B365D"/>
                <w:sz w:val="19"/>
              </w:rPr>
              <w:t>\frac{\text{Etapas Executadas}}{\text{Etapas Programadas}}</w:t>
            </w:r>
            <w:r>
              <w:rPr>
                <w:rFonts w:ascii="Arial" w:hAnsi="Arial"/>
                <w:b w:val="0"/>
                <w:i w:val="0"/>
                <w:color w:val="111827"/>
                <w:sz w:val="19"/>
              </w:rPr>
              <w:t xml:space="preserve"> (Conformidade temporal)</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Excelência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Padrões de qualidade do serviço e conformidade aos anseios dos cidadãos-usuários.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Satisfação do usuário / Conformidade às normas ISO/GesPública</w:t>
            </w:r>
          </w:p>
        </w:tc>
      </w:tr>
    </w:tbl>
    <w:p>
      <w:pPr>
        <w:spacing w:after="120"/>
      </w:pPr>
    </w:p>
    <w:p>
      <w:pPr>
        <w:keepNext/>
        <w:spacing w:before="120" w:after="40"/>
      </w:pPr>
      <w:r>
        <w:rPr>
          <w:rFonts w:ascii="Arial" w:hAnsi="Arial"/>
          <w:b/>
          <w:i/>
          <w:color w:val="334155"/>
          <w:sz w:val="22"/>
        </w:rPr>
        <w:t>B) Propriedades Técnicas dos Indicadores</w:t>
      </w:r>
    </w:p>
    <w:p>
      <w:pPr>
        <w:spacing w:line="360" w:lineRule="auto" w:before="0" w:after="80"/>
        <w:jc w:val="both"/>
      </w:pPr>
      <w:r>
        <w:rPr>
          <w:rFonts w:ascii="Arial" w:hAnsi="Arial"/>
          <w:b w:val="0"/>
          <w:i w:val="0"/>
          <w:color w:val="111827"/>
          <w:sz w:val="24"/>
        </w:rPr>
        <w:t>Para assegurar a utilidade e fidedignidade dos relatórios de governança, os indicadores devem preencher: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Validade:</w:t>
      </w:r>
      <w:r>
        <w:rPr>
          <w:rFonts w:ascii="Arial" w:hAnsi="Arial"/>
          <w:b w:val="0"/>
          <w:i w:val="0"/>
          <w:color w:val="111827"/>
          <w:sz w:val="22"/>
        </w:rPr>
        <w:t xml:space="preserve"> Capacidade de representar com exatidão o fenômeno que se pretende medir.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Confiabilidade:</w:t>
      </w:r>
      <w:r>
        <w:rPr>
          <w:rFonts w:ascii="Arial" w:hAnsi="Arial"/>
          <w:b w:val="0"/>
          <w:i w:val="0"/>
          <w:color w:val="111827"/>
          <w:sz w:val="22"/>
        </w:rPr>
        <w:t xml:space="preserve"> Obtenção de resultados consistentes e idênticos independentemente de quem execute a coleta.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Simplicidade:</w:t>
      </w:r>
      <w:r>
        <w:rPr>
          <w:rFonts w:ascii="Arial" w:hAnsi="Arial"/>
          <w:b w:val="0"/>
          <w:i w:val="0"/>
          <w:color w:val="111827"/>
          <w:sz w:val="22"/>
        </w:rPr>
        <w:t xml:space="preserve"> Facilidade de compreensão, cálculo e comunicação aos gestores e cidadãos.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Sensibilidade:</w:t>
      </w:r>
      <w:r>
        <w:rPr>
          <w:rFonts w:ascii="Arial" w:hAnsi="Arial"/>
          <w:b w:val="0"/>
          <w:i w:val="0"/>
          <w:color w:val="111827"/>
          <w:sz w:val="22"/>
        </w:rPr>
        <w:t xml:space="preserve"> Capacidade de detectar e registrar prontamente pequenas variações no fenômeno medido.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Economicidade:</w:t>
      </w:r>
      <w:r>
        <w:rPr>
          <w:rFonts w:ascii="Arial" w:hAnsi="Arial"/>
          <w:b w:val="0"/>
          <w:i w:val="0"/>
          <w:color w:val="111827"/>
          <w:sz w:val="22"/>
        </w:rPr>
        <w:t xml:space="preserve"> O custo da coleta e do monitoramento das informações deve ser significativamente inferior ao benefício gerado pela medição.</w:t>
      </w:r>
    </w:p>
    <w:p>
      <w:pPr>
        <w:keepNext/>
        <w:spacing w:before="120" w:after="40"/>
      </w:pPr>
      <w:r>
        <w:rPr>
          <w:rFonts w:ascii="Arial" w:hAnsi="Arial"/>
          <w:b/>
          <w:i/>
          <w:color w:val="334155"/>
          <w:sz w:val="22"/>
        </w:rPr>
        <w:t>C) Metodologias de Avaliação de Desempenho Funcional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Avaliação 90° (Tradicional):</w:t>
      </w:r>
      <w:r>
        <w:rPr>
          <w:rFonts w:ascii="Arial" w:hAnsi="Arial"/>
          <w:b w:val="0"/>
          <w:i w:val="0"/>
          <w:color w:val="111827"/>
          <w:sz w:val="22"/>
        </w:rPr>
        <w:t xml:space="preserve"> O servidor é avaliado exclusivamente pelo seu superior hierárquico imediato. Apresenta risco de viés de autoridade e subjetividade.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Avaliação 180° (Mútua / Conjunta):</w:t>
      </w:r>
      <w:r>
        <w:rPr>
          <w:rFonts w:ascii="Arial" w:hAnsi="Arial"/>
          <w:b w:val="0"/>
          <w:i w:val="0"/>
          <w:color w:val="111827"/>
          <w:sz w:val="22"/>
        </w:rPr>
        <w:t xml:space="preserve"> O gestor avalia o colaborador e este realiza sua autoavaliação, procedendo-se a uma sessão estruturada de </w:t>
      </w:r>
      <w:r>
        <w:rPr>
          <w:rFonts w:ascii="Arial" w:hAnsi="Arial"/>
          <w:b w:val="0"/>
          <w:i/>
          <w:color w:val="111827"/>
          <w:sz w:val="22"/>
        </w:rPr>
        <w:t>feedback</w:t>
      </w:r>
      <w:r>
        <w:rPr>
          <w:rFonts w:ascii="Arial" w:hAnsi="Arial"/>
          <w:b w:val="0"/>
          <w:i w:val="0"/>
          <w:color w:val="111827"/>
          <w:sz w:val="22"/>
        </w:rPr>
        <w:t xml:space="preserve"> e consenso.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Avaliação 360° (Circular / Múltiplas Fontes):</w:t>
      </w:r>
      <w:r>
        <w:rPr>
          <w:rFonts w:ascii="Arial" w:hAnsi="Arial"/>
          <w:b w:val="0"/>
          <w:i w:val="0"/>
          <w:color w:val="111827"/>
          <w:sz w:val="22"/>
        </w:rPr>
        <w:t xml:space="preserve"> O colaborador é avaliado de forma abrangente por todos que interagem com sua rotina de trabalho: superior imediato, pares/colegas do mesmo nível, liderados/subordinados diretos, clientes internos/externos (cidadãos) e autoavaliação. Fornece uma visão holística e reduz vieses individuais.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Avaliação Participativa por Objetivos (APPO):</w:t>
      </w:r>
      <w:r>
        <w:rPr>
          <w:rFonts w:ascii="Arial" w:hAnsi="Arial"/>
          <w:b w:val="0"/>
          <w:i w:val="0"/>
          <w:color w:val="111827"/>
          <w:sz w:val="22"/>
        </w:rPr>
        <w:t xml:space="preserve"> Método moderno em que superior e colaborador negociam e pactuam conjuntamente os objetivos, metas e planos de capacitação para o ciclo seguinte.</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(AVALIAÇÃO 360 GRAUS):</w:t>
            </w:r>
          </w:p>
          <w:p>
            <w:pPr>
              <w:spacing w:line="288" w:lineRule="auto" w:before="40" w:after="40"/>
            </w:pPr>
            <w:r>
              <w:rPr>
                <w:rFonts w:ascii="Arial" w:hAnsi="Arial"/>
                <w:b w:val="0"/>
                <w:i w:val="0"/>
                <w:color w:val="111827"/>
                <w:sz w:val="21"/>
              </w:rPr>
              <w:t>A avaliação de desempenho 360 graus (circular) é aquela em que o servidor público é avaliado simultaneamente por todas as pessoas com quem se relaciona profissionalmente: sua chefia imediata, seus colegas de trabalho (pares), seus subordinados diretos, os usuários/cidadãos atendidos e por si mesmo (autoavaliação).</w:t>
            </w:r>
          </w:p>
        </w:tc>
      </w:tr>
    </w:tbl>
    <w:p>
      <w:pPr>
        <w:spacing w:before="0" w:after="120"/>
      </w:pPr>
    </w:p>
    <w:p>
      <w:pPr>
        <w:keepNext/>
        <w:spacing w:before="200" w:after="80"/>
      </w:pPr>
      <w:r>
        <w:rPr>
          <w:rFonts w:ascii="Arial" w:hAnsi="Arial"/>
          <w:b/>
          <w:i w:val="0"/>
          <w:color w:val="2B6CB0"/>
          <w:sz w:val="24"/>
        </w:rPr>
        <w:t>5. Gestão por Competências no Setor Público (Decreto 9.991/2019)</w:t>
      </w:r>
    </w:p>
    <w:p>
      <w:pPr>
        <w:spacing w:line="360" w:lineRule="auto" w:before="0" w:after="80"/>
        <w:jc w:val="both"/>
      </w:pPr>
      <w:r>
        <w:rPr>
          <w:rFonts w:ascii="Arial" w:hAnsi="Arial"/>
          <w:b w:val="0"/>
          <w:i w:val="0"/>
          <w:color w:val="111827"/>
          <w:sz w:val="24"/>
        </w:rPr>
        <w:t>A Gestão por Competências consiste no alinhamento contínuo entre os talentos dos servidores e as competências essenciais necessárias para o cumprimento da estratégia institucional.</w:t>
      </w:r>
    </w:p>
    <w:p>
      <w:pPr>
        <w:keepNext/>
        <w:spacing w:before="120" w:after="40"/>
      </w:pPr>
      <w:r>
        <w:rPr>
          <w:rFonts w:ascii="Arial" w:hAnsi="Arial"/>
          <w:b/>
          <w:i/>
          <w:color w:val="334155"/>
          <w:sz w:val="22"/>
        </w:rPr>
        <w:t>A) A Tríade CHA</w:t>
      </w:r>
    </w:p>
    <w:p>
      <w:pPr>
        <w:spacing w:line="360" w:lineRule="auto" w:before="0" w:after="80"/>
        <w:jc w:val="both"/>
      </w:pPr>
      <w:r>
        <w:rPr>
          <w:rFonts w:ascii="Arial" w:hAnsi="Arial"/>
          <w:b w:val="0"/>
          <w:i w:val="0"/>
          <w:color w:val="111827"/>
          <w:sz w:val="24"/>
        </w:rPr>
        <w:t>A competência profissional é concebida como um construto tridimensional integrativo:</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Conhecimento (Saber):</w:t>
      </w:r>
      <w:r>
        <w:rPr>
          <w:rFonts w:ascii="Arial" w:hAnsi="Arial"/>
          <w:b w:val="0"/>
          <w:i w:val="0"/>
          <w:color w:val="111827"/>
          <w:sz w:val="22"/>
        </w:rPr>
        <w:t xml:space="preserve"> Domínio conceitual, técnico e normativo adquirido por meio da formação acadêmica, estudos e leitura técnica (ex.: conhecer os artigos da Lei nº 14.133/2021).</w:t>
      </w:r>
    </w:p>
    <w:p>
      <w:pPr>
        <w:spacing w:line="276" w:lineRule="auto" w:before="20" w:after="40"/>
        <w:ind w:left="425"/>
      </w:pPr>
      <w:r>
        <w:rPr>
          <w:rFonts w:ascii="Arial" w:hAnsi="Arial"/>
          <w:b/>
          <w:color w:val="1B365D"/>
          <w:sz w:val="22"/>
        </w:rPr>
        <w:t xml:space="preserve">2. </w:t>
      </w:r>
      <w:r>
        <w:rPr>
          <w:rFonts w:ascii="Arial" w:hAnsi="Arial"/>
          <w:b/>
          <w:i w:val="0"/>
          <w:color w:val="111827"/>
          <w:sz w:val="22"/>
        </w:rPr>
        <w:t>Habilidade (Saber Fazer):</w:t>
      </w:r>
      <w:r>
        <w:rPr>
          <w:rFonts w:ascii="Arial" w:hAnsi="Arial"/>
          <w:b w:val="0"/>
          <w:i w:val="0"/>
          <w:color w:val="111827"/>
          <w:sz w:val="22"/>
        </w:rPr>
        <w:t xml:space="preserve"> Domínio prático e aptidão técnica para operar ferramentas, executar rotinas operacionais e manusear sistemas informatizados (ex.: operacionalizar um pregão eletrônico no sistema de compras públicas).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Atitude (Querer Fazer):</w:t>
      </w:r>
      <w:r>
        <w:rPr>
          <w:rFonts w:ascii="Arial" w:hAnsi="Arial"/>
          <w:b w:val="0"/>
          <w:i w:val="0"/>
          <w:color w:val="111827"/>
          <w:sz w:val="22"/>
        </w:rPr>
        <w:t xml:space="preserve"> Dimensão afetiva e comportamental caracterizada pela iniciativa, proatividade, compromisso ético e disposição para resolver impasses de interesse público.</w:t>
      </w:r>
    </w:p>
    <w:p>
      <w:pPr>
        <w:keepNext/>
        <w:spacing w:before="120" w:after="40"/>
      </w:pPr>
      <w:r>
        <w:rPr>
          <w:rFonts w:ascii="Arial" w:hAnsi="Arial"/>
          <w:b/>
          <w:i/>
          <w:color w:val="334155"/>
          <w:sz w:val="22"/>
        </w:rPr>
        <w:t>B) Diagnóstico de Lacunas (</w:t>
      </w:r>
      <w:r>
        <w:rPr>
          <w:rFonts w:ascii="Arial" w:hAnsi="Arial"/>
          <w:b/>
          <w:i/>
          <w:color w:val="334155"/>
          <w:sz w:val="22"/>
        </w:rPr>
        <w:t>Gap Analysis</w:t>
      </w:r>
      <w:r>
        <w:rPr>
          <w:rFonts w:ascii="Arial" w:hAnsi="Arial"/>
          <w:b/>
          <w:i/>
          <w:color w:val="334155"/>
          <w:sz w:val="22"/>
        </w:rPr>
        <w:t>) e Plano de Desenvolvimento de Pessoas (PDP)</w:t>
      </w:r>
    </w:p>
    <w:p>
      <w:pPr>
        <w:spacing w:line="360" w:lineRule="auto" w:before="0" w:after="80"/>
        <w:jc w:val="both"/>
      </w:pPr>
      <w:r>
        <w:rPr>
          <w:rFonts w:ascii="Arial" w:hAnsi="Arial"/>
          <w:b w:val="0"/>
          <w:i w:val="0"/>
          <w:color w:val="111827"/>
          <w:sz w:val="24"/>
        </w:rPr>
        <w:t>A gestão por competências opera por meio do confronto analítico entre o perfil exigido pelo órgão e o perfil demonstrado pelo servidor:</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\mathbf{\text{GAP de Competência} = \text{Competência Requerida pelo Cargo/Função} - \text{Competência Apresentada pelo Servidor}}</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Havendo lacuna (</w:t>
      </w:r>
      <w:r>
        <w:rPr>
          <w:rFonts w:ascii="Arial" w:hAnsi="Arial"/>
          <w:b w:val="0"/>
          <w:i/>
          <w:color w:val="111827"/>
          <w:sz w:val="22"/>
        </w:rPr>
        <w:t>gap</w:t>
      </w:r>
      <w:r>
        <w:rPr>
          <w:rFonts w:ascii="Arial" w:hAnsi="Arial"/>
          <w:b w:val="0"/>
          <w:i w:val="0"/>
          <w:color w:val="111827"/>
          <w:sz w:val="22"/>
        </w:rPr>
        <w:t xml:space="preserve"> positivo), o órgão direciona as necessidades de treinamento ao </w:t>
      </w:r>
      <w:r>
        <w:rPr>
          <w:rFonts w:ascii="Arial" w:hAnsi="Arial"/>
          <w:b/>
          <w:i w:val="0"/>
          <w:color w:val="111827"/>
          <w:sz w:val="22"/>
        </w:rPr>
        <w:t>Plano de Desenvolvimento de Pessoas (PDP)</w:t>
      </w:r>
      <w:r>
        <w:rPr>
          <w:rFonts w:ascii="Arial" w:hAnsi="Arial"/>
          <w:b w:val="0"/>
          <w:i w:val="0"/>
          <w:color w:val="111827"/>
          <w:sz w:val="22"/>
        </w:rPr>
        <w:t>, instituído pelo Decreto nº 9.991/2019, assegurando que o orçamento público de capacitação supra carências reais e priorizadas em vez de cursos genéricos desconectados da estratégia.</w:t>
      </w:r>
    </w:p>
    <w:p>
      <w:pPr>
        <w:keepNext/>
        <w:spacing w:before="200" w:after="80"/>
      </w:pPr>
      <w:r>
        <w:rPr>
          <w:rFonts w:ascii="Arial" w:hAnsi="Arial"/>
          <w:b/>
          <w:i w:val="0"/>
          <w:color w:val="2B6CB0"/>
          <w:sz w:val="24"/>
        </w:rPr>
        <w:t>6. Processo Decisório e Teoria da Decisão (Herbert Simon)</w:t>
      </w:r>
    </w:p>
    <w:p>
      <w:pPr>
        <w:spacing w:line="360" w:lineRule="auto" w:before="0" w:after="80"/>
        <w:jc w:val="both"/>
      </w:pPr>
      <w:r>
        <w:rPr>
          <w:rFonts w:ascii="Arial" w:hAnsi="Arial"/>
          <w:b w:val="0"/>
          <w:i w:val="0"/>
          <w:color w:val="111827"/>
          <w:sz w:val="24"/>
        </w:rPr>
        <w:t>O estudo da tomada de decisão nas organizações ganhou rigor científico com as contribuições seminais de Herbert Simon (Prêmio Nobel de Economia de 1978), que refutou as premissas da teoria microeconômica clássica da escolha racional.</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Modelo do Homem Econômico (Racionalidade Absoluta):</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Postula que o decisor é um agente onisciente que conhece todas as alternativas de ação possíveis, calcula com exatidão matemática suas consequências futuras e seleciona sempre a alternativa de </w:t>
      </w:r>
      <w:r>
        <w:rPr>
          <w:rFonts w:ascii="Arial" w:hAnsi="Arial"/>
          <w:b/>
          <w:i w:val="0"/>
          <w:color w:val="111827"/>
          <w:sz w:val="24"/>
        </w:rPr>
        <w:t>utilidade máxima (ótima)</w:t>
      </w:r>
      <w:r>
        <w:rPr>
          <w:rFonts w:ascii="Arial" w:hAnsi="Arial"/>
          <w:b w:val="0"/>
          <w:i w:val="0"/>
          <w:color w:val="111827"/>
          <w:sz w:val="24"/>
        </w:rPr>
        <w:t>. Trata-se de uma abstração teórica irrealizável na prática gerencial.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Modelo do Homem Administrativo (Racionalidade Limitada):</w:t>
      </w:r>
      <w:r>
        <w:rPr>
          <w:rFonts w:ascii="Arial" w:hAnsi="Arial"/>
          <w:b w:val="0"/>
          <w:i w:val="0"/>
          <w:color w:val="111827"/>
          <w:sz w:val="22"/>
        </w:rPr>
        <w:t xml:space="preserve">  </w:t>
      </w:r>
    </w:p>
    <w:p>
      <w:pPr>
        <w:spacing w:line="360" w:lineRule="auto" w:before="0" w:after="80"/>
        <w:jc w:val="both"/>
      </w:pPr>
      <w:r>
        <w:rPr>
          <w:rFonts w:ascii="Arial" w:hAnsi="Arial"/>
          <w:b w:val="0"/>
          <w:i w:val="0"/>
          <w:color w:val="111827"/>
          <w:sz w:val="24"/>
        </w:rPr>
        <w:t xml:space="preserve">Reconhece que na administração real o gestor opera sob severas restrições: imperfeição das informações disponíveis, custos de transação, limites de processamento mental da mente humana e escassez temporal. Diante dessas limitações, o decisor não busca a alternativa ótima absoluta, mas sim a alternativa </w:t>
      </w:r>
      <w:r>
        <w:rPr>
          <w:rFonts w:ascii="Arial" w:hAnsi="Arial"/>
          <w:b/>
          <w:i w:val="0"/>
          <w:color w:val="111827"/>
          <w:sz w:val="24"/>
        </w:rPr>
        <w:t>satisfatória</w:t>
      </w:r>
      <w:r>
        <w:rPr>
          <w:rFonts w:ascii="Arial" w:hAnsi="Arial"/>
          <w:b w:val="0"/>
          <w:i w:val="0"/>
          <w:color w:val="111827"/>
          <w:sz w:val="24"/>
        </w:rPr>
        <w:t xml:space="preserve"> (</w:t>
      </w:r>
      <w:r>
        <w:rPr>
          <w:rFonts w:ascii="Arial" w:hAnsi="Arial"/>
          <w:b w:val="0"/>
          <w:i/>
          <w:color w:val="111827"/>
          <w:sz w:val="24"/>
        </w:rPr>
        <w:t>satisficing</w:t>
      </w:r>
      <w:r>
        <w:rPr>
          <w:rFonts w:ascii="Arial" w:hAnsi="Arial"/>
          <w:b w:val="0"/>
          <w:i w:val="0"/>
          <w:color w:val="111827"/>
          <w:sz w:val="24"/>
        </w:rPr>
        <w:t>), isto é, a primeira opção que atende aos padrões mínimos aceitáveis fixados para a resolução do problema.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Tipologia das Decisões Administrativas: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Decisões Programadas:</w:t>
      </w:r>
      <w:r>
        <w:rPr>
          <w:rFonts w:ascii="Arial" w:hAnsi="Arial"/>
          <w:b w:val="0"/>
          <w:i w:val="0"/>
          <w:color w:val="111827"/>
          <w:sz w:val="22"/>
        </w:rPr>
        <w:t xml:space="preserve"> Tomadas em situações rotineiras, repetitivas e padronizadas, orientadas por normas prévias, procedimentos operacionais e algoritmos formais (ex.: concessão de férias regulamentares com base no tempo de serviço).</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Decisões Não Programadas:</w:t>
      </w:r>
      <w:r>
        <w:rPr>
          <w:rFonts w:ascii="Arial" w:hAnsi="Arial"/>
          <w:b w:val="0"/>
          <w:i w:val="0"/>
          <w:color w:val="111827"/>
          <w:sz w:val="22"/>
        </w:rPr>
        <w:t xml:space="preserve"> Tomadas em face de problemas inéditos, complexos, desestruturados e de alta incerteza, exigindo julgamento crítico, intuição embasada e criação de soluções personalizadas (ex.: reestruturação de uma agência reguladora frente a um desastre ambiental imprevisível).</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ATENÇÃO (HOMEM ECONÔMICO VS. HOMEM ADMINISTRATIVO):</w:t>
            </w:r>
          </w:p>
          <w:p>
            <w:pPr>
              <w:spacing w:line="288" w:lineRule="auto" w:before="40" w:after="40"/>
            </w:pPr>
            <w:r>
              <w:rPr>
                <w:rFonts w:ascii="Arial" w:hAnsi="Arial"/>
                <w:b w:val="0"/>
                <w:i w:val="0"/>
                <w:color w:val="111827"/>
                <w:sz w:val="21"/>
              </w:rPr>
              <w:t xml:space="preserve">- </w:t>
            </w:r>
            <w:r>
              <w:rPr>
                <w:rFonts w:ascii="Arial" w:hAnsi="Arial"/>
                <w:b w:val="0"/>
                <w:i/>
                <w:color w:val="111827"/>
                <w:sz w:val="21"/>
              </w:rPr>
              <w:t>Homem Econômico:</w:t>
            </w:r>
            <w:r>
              <w:rPr>
                <w:rFonts w:ascii="Arial" w:hAnsi="Arial"/>
                <w:b w:val="0"/>
                <w:i w:val="0"/>
                <w:color w:val="111827"/>
                <w:sz w:val="21"/>
              </w:rPr>
              <w:t xml:space="preserve"> Racionalidade ilimitada, escolhe a decisão </w:t>
            </w:r>
            <w:r>
              <w:rPr>
                <w:rFonts w:ascii="Arial" w:hAnsi="Arial"/>
                <w:b/>
                <w:i w:val="0"/>
                <w:color w:val="111827"/>
                <w:sz w:val="21"/>
              </w:rPr>
              <w:t>ótima/maximizadora</w:t>
            </w:r>
            <w:r>
              <w:rPr>
                <w:rFonts w:ascii="Arial" w:hAnsi="Arial"/>
                <w:b w:val="0"/>
                <w:i w:val="0"/>
                <w:color w:val="111827"/>
                <w:sz w:val="21"/>
              </w:rPr>
              <w:t xml:space="preserve"> (modelo clássico irreal).</w:t>
            </w:r>
          </w:p>
          <w:p>
            <w:pPr>
              <w:spacing w:line="288" w:lineRule="auto" w:before="40" w:after="40"/>
            </w:pPr>
            <w:r>
              <w:rPr>
                <w:rFonts w:ascii="Arial" w:hAnsi="Arial"/>
                <w:b w:val="0"/>
                <w:i w:val="0"/>
                <w:color w:val="111827"/>
                <w:sz w:val="21"/>
              </w:rPr>
              <w:t xml:space="preserve">- </w:t>
            </w:r>
            <w:r>
              <w:rPr>
                <w:rFonts w:ascii="Arial" w:hAnsi="Arial"/>
                <w:b w:val="0"/>
                <w:i/>
                <w:color w:val="111827"/>
                <w:sz w:val="21"/>
              </w:rPr>
              <w:t>Homem Administrativo (Simon):</w:t>
            </w:r>
            <w:r>
              <w:rPr>
                <w:rFonts w:ascii="Arial" w:hAnsi="Arial"/>
                <w:b w:val="0"/>
                <w:i w:val="0"/>
                <w:color w:val="111827"/>
                <w:sz w:val="21"/>
              </w:rPr>
              <w:t xml:space="preserve"> Racionalidade limitada, escolhe a decisão </w:t>
            </w:r>
            <w:r>
              <w:rPr>
                <w:rFonts w:ascii="Arial" w:hAnsi="Arial"/>
                <w:b/>
                <w:i w:val="0"/>
                <w:color w:val="111827"/>
                <w:sz w:val="21"/>
              </w:rPr>
              <w:t>satisfatória</w:t>
            </w:r>
            <w:r>
              <w:rPr>
                <w:rFonts w:ascii="Arial" w:hAnsi="Arial"/>
                <w:b w:val="0"/>
                <w:i w:val="0"/>
                <w:color w:val="111827"/>
                <w:sz w:val="21"/>
              </w:rPr>
              <w:t xml:space="preserve"> (modelo realista adotado na administração contemporânea).</w:t>
            </w:r>
          </w:p>
        </w:tc>
      </w:tr>
    </w:tbl>
    <w:p>
      <w:pPr>
        <w:spacing w:before="0" w:after="120"/>
      </w:pPr>
    </w:p>
    <w:p>
      <w:pPr>
        <w:keepNext/>
        <w:spacing w:before="200" w:after="80"/>
      </w:pPr>
      <w:r>
        <w:rPr>
          <w:rFonts w:ascii="Arial" w:hAnsi="Arial"/>
          <w:b/>
          <w:i w:val="0"/>
          <w:color w:val="2B6CB0"/>
          <w:sz w:val="24"/>
        </w:rPr>
        <w:t>7. Gestão de Conflitos Organizacionais (Thomas-Kilmann)</w:t>
      </w:r>
    </w:p>
    <w:p>
      <w:pPr>
        <w:spacing w:line="360" w:lineRule="auto" w:before="0" w:after="80"/>
        <w:jc w:val="both"/>
      </w:pPr>
      <w:r>
        <w:rPr>
          <w:rFonts w:ascii="Arial" w:hAnsi="Arial"/>
          <w:b w:val="0"/>
          <w:i w:val="0"/>
          <w:color w:val="111827"/>
          <w:sz w:val="24"/>
        </w:rPr>
        <w:t>Nas teorias organizacionais modernas, o conflito deixou de ser encarado como uma patologia a ser sumariamente extirpada. O conflito pode ser: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Funcional:</w:t>
      </w:r>
      <w:r>
        <w:rPr>
          <w:rFonts w:ascii="Arial" w:hAnsi="Arial"/>
          <w:b w:val="0"/>
          <w:i w:val="0"/>
          <w:color w:val="111827"/>
          <w:sz w:val="22"/>
        </w:rPr>
        <w:t xml:space="preserve"> Produtivo e estimulante, quando oxigena o debate técnico, desafia o conformismo institucional e propicia inovação nas políticas públicas.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Disfuncional:</w:t>
      </w:r>
      <w:r>
        <w:rPr>
          <w:rFonts w:ascii="Arial" w:hAnsi="Arial"/>
          <w:b w:val="0"/>
          <w:i w:val="0"/>
          <w:color w:val="111827"/>
          <w:sz w:val="22"/>
        </w:rPr>
        <w:t xml:space="preserve"> Destrutivo e desestabilizador, quando gera animosidade interpessoal, bloqueios de comunicação, absenteísmo e prejuízo às atividades finalísticas.</w:t>
      </w:r>
    </w:p>
    <w:p>
      <w:pPr>
        <w:spacing w:line="360" w:lineRule="auto" w:before="0" w:after="80"/>
        <w:jc w:val="both"/>
      </w:pPr>
      <w:r>
        <w:rPr>
          <w:rFonts w:ascii="Arial" w:hAnsi="Arial"/>
          <w:b w:val="0"/>
          <w:i w:val="0"/>
          <w:color w:val="111827"/>
          <w:sz w:val="24"/>
        </w:rPr>
        <w:t xml:space="preserve">Kenneth Thomas e Ralph Kilmann estruturaram uma consagrada matriz bidimensional para identificar os </w:t>
      </w:r>
      <w:r>
        <w:rPr>
          <w:rFonts w:ascii="Arial" w:hAnsi="Arial"/>
          <w:b/>
          <w:i w:val="0"/>
          <w:color w:val="111827"/>
          <w:sz w:val="24"/>
        </w:rPr>
        <w:t>cinco estilos de administração de conflitos</w:t>
      </w:r>
      <w:r>
        <w:rPr>
          <w:rFonts w:ascii="Arial" w:hAnsi="Arial"/>
          <w:b w:val="0"/>
          <w:i w:val="0"/>
          <w:color w:val="111827"/>
          <w:sz w:val="24"/>
        </w:rPr>
        <w:t>, considerando duas dimensões comportamentais fundamentais: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Assertividade:</w:t>
      </w:r>
      <w:r>
        <w:rPr>
          <w:rFonts w:ascii="Arial" w:hAnsi="Arial"/>
          <w:b w:val="0"/>
          <w:i w:val="0"/>
          <w:color w:val="111827"/>
          <w:sz w:val="22"/>
        </w:rPr>
        <w:t xml:space="preserve"> O grau em que o indivíduo se esforça para satisfazer seus próprios interesses e convicções.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Cooperatividade:</w:t>
      </w:r>
      <w:r>
        <w:rPr>
          <w:rFonts w:ascii="Arial" w:hAnsi="Arial"/>
          <w:b w:val="0"/>
          <w:i w:val="0"/>
          <w:color w:val="111827"/>
          <w:sz w:val="22"/>
        </w:rPr>
        <w:t xml:space="preserve"> O grau em que o indivíduo se esforça para satisfazer os interesses da outra parte.</w:t>
      </w:r>
    </w:p>
    <w:p>
      <w:pPr>
        <w:spacing w:after="120"/>
      </w:pP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Estilo de Conflito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Assertividade</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Cooperação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Dinâmica de Resultado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Indicação Típica</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Competição / Imposição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Ganha-Perde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Emergências críticas em que decisões impopulares e céleres são compulsórias.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Colaboração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Ganha-Ganha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Solução integrativa em que os interesses de ambas as partes são cruciais demais para concessões.</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Acordo / Compromisso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Média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Média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Perda-Ganho Parcial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Soluções temporárias ou quando as partes têm poder equivalente e metas mutuamente excludentes.</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Evitação / Fuga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Perde-Perde</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Questões triviais ou quando os danos potenciais da confrontação superam os benefícios da solução.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Acomodação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Baixa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Perde-Ganha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Quando a matéria é muito mais importante para a outra parte ou para preservar a harmonia da equipe.</w:t>
            </w:r>
          </w:p>
        </w:tc>
      </w:tr>
    </w:tbl>
    <w:p>
      <w:pPr>
        <w:spacing w:after="120"/>
      </w:pPr>
    </w:p>
    <w:p>
      <w:pPr>
        <w:keepNext/>
        <w:spacing w:before="200" w:after="80"/>
      </w:pPr>
      <w:r>
        <w:rPr>
          <w:rFonts w:ascii="Arial" w:hAnsi="Arial"/>
          <w:b/>
          <w:i w:val="0"/>
          <w:color w:val="2B6CB0"/>
          <w:sz w:val="24"/>
        </w:rPr>
        <w:t>8.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KAPLAN, Robert S.; NORTON, David P. A Estratégia em Ação: Balanced Scorecard. Editora Campus.</w:t>
      </w:r>
      <w:r>
        <w:rPr>
          <w:rFonts w:ascii="Arial" w:hAnsi="Arial"/>
          <w:b w:val="0"/>
          <w:i w:val="0"/>
          <w:color w:val="111827"/>
          <w:sz w:val="22"/>
        </w:rPr>
        <w:t xml:space="preserve"> - Mapa estratégico e as quatro perspectivas.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SIMON, Herbert A. Comportamento Administrativo: estudo dos processos decisórios nas organizações administrativas. FGV.</w:t>
      </w:r>
      <w:r>
        <w:rPr>
          <w:rFonts w:ascii="Arial" w:hAnsi="Arial"/>
          <w:b w:val="0"/>
          <w:i w:val="0"/>
          <w:color w:val="111827"/>
          <w:sz w:val="22"/>
        </w:rPr>
        <w:t xml:space="preserve"> - Teoria da Racionalidade Limitada.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Decreto Federal nº 9.991/2019</w:t>
      </w:r>
      <w:r>
        <w:rPr>
          <w:rFonts w:ascii="Arial" w:hAnsi="Arial"/>
          <w:b w:val="0"/>
          <w:i w:val="0"/>
          <w:color w:val="111827"/>
          <w:sz w:val="22"/>
        </w:rPr>
        <w:t xml:space="preserve"> - Política Nacional de Desenvolvimento de Pessoas e Gestão por Competências.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THOMAS, Kenneth W.; KILMANN, Ralph H. Conflict Mode Instrument (TKI)</w:t>
      </w:r>
      <w:r>
        <w:rPr>
          <w:rFonts w:ascii="Arial" w:hAnsi="Arial"/>
          <w:b w:val="0"/>
          <w:i w:val="0"/>
          <w:color w:val="111827"/>
          <w:sz w:val="22"/>
        </w:rPr>
        <w:t xml:space="preserve"> - Modos de tratamento de conflitos organizacionais.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Tribunal de Contas da União (TCU) - Referencial de Avaliação de Governança e Gestão Estratégica</w:t>
      </w:r>
      <w:r>
        <w:rPr>
          <w:rFonts w:ascii="Arial" w:hAnsi="Arial"/>
          <w:b w:val="0"/>
          <w:i w:val="0"/>
          <w:color w:val="111827"/>
          <w:sz w:val="22"/>
        </w:rPr>
        <w:t>.</w:t>
      </w:r>
    </w:p>
    <w:p>
      <w:pPr>
        <w:keepNext/>
        <w:spacing w:before="200" w:after="80"/>
      </w:pPr>
      <w:r>
        <w:rPr>
          <w:rFonts w:ascii="Arial" w:hAnsi="Arial"/>
          <w:b/>
          <w:i w:val="0"/>
          <w:color w:val="2B6CB0"/>
          <w:sz w:val="24"/>
        </w:rPr>
        <w:t>9.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Ao estruturar o seu Plano Estratégico Institucional, determinado Tribunal de Contas utilizou a metodologia do Balanced Scorecard (BSC). Ao elaborar o mapa estratégico, a equipe de planejamento definiu quatro perspectivas de objetivos. Considerando as peculiaridades das organizações públicas em relação às empresas privadas com fins lucrativos, no modelo adotado pelo Tribunal: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perspectiva financeira deve ocupar obrigatoriamente a posição superior do mapa, tendo como meta a geração de lucro operacional e dividendos públicos.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perspectiva dos cidadãos e da sociedade ocupa o ápice da cadeia de causalidade estratégica, enquanto os recursos orçamentários figuram como viabilizadores das entregas públicas.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aprendizado e o crescimento funcional são eliminados do mapa por serem exclusivos de indústrias manufatureiras.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relações de causa e efeito deixam de existir, passando os objetivos a ser medidos de forma isolada e autônoma.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mapa estratégico dispensa a identificação de indicadores e metas para os processos de fiscalização e controle.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No setor público inexiste distribuição de lucros ou busca por retorno de capital a acionistas como meta finalística institucional.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 setor público, o ápice da cadeia de valor do BSC é ocupado pela perspectiva do </w:t>
            </w:r>
            <w:r>
              <w:rPr>
                <w:rFonts w:ascii="Arial" w:hAnsi="Arial"/>
                <w:b/>
                <w:i w:val="0"/>
                <w:color w:val="111827"/>
                <w:sz w:val="21"/>
              </w:rPr>
              <w:t>Cidadão / Sociedade</w:t>
            </w:r>
            <w:r>
              <w:rPr>
                <w:rFonts w:ascii="Arial" w:hAnsi="Arial"/>
                <w:b w:val="0"/>
                <w:i w:val="0"/>
                <w:color w:val="111827"/>
                <w:sz w:val="21"/>
              </w:rPr>
              <w:t>, pois o órgão governamental visa entregar serviços com valor público à sociedade. A perspectiva orçamentária atua como suporte viabilizador da estratégia, e não como fim em si mesma.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aprendizado e crescimento (capital humano, tecnologia, liderança e cultura) é a base indispensável de sustentação de qualquer organização no BSC.</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alicerce do BSC é precisamente a construção de hipóteses explícitas de causa e efeito entre os objetivos das quatro perspectivas.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metodologia do BSC exige indicadores e metas para todas as perspectivas estratégicas.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TCE-RS – Auditor de Controle Externo)</w:t>
      </w:r>
    </w:p>
    <w:p>
      <w:pPr>
        <w:spacing w:line="360" w:lineRule="auto" w:before="0" w:after="80"/>
        <w:jc w:val="both"/>
      </w:pPr>
      <w:r>
        <w:rPr>
          <w:rFonts w:ascii="Arial" w:hAnsi="Arial"/>
          <w:b w:val="0"/>
          <w:i w:val="0"/>
          <w:color w:val="111827"/>
          <w:sz w:val="24"/>
        </w:rPr>
        <w:t>A respeito do processo decisório nas organizações e das conclusões da Teoria da Racionalidade Limitada proposta por Herbert Simon,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tomador de decisão atua sempre como o "homem econômico", processando a totalidade das variáveis e alternativas possíveis para atingir a decisão ótima perfeita.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comportamento decisório dos gestores é orientado por informações completas, perfeita previsibilidade do futuro e tempo ilimitado para deliberação.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Diante da escassez de tempo, limitações cognitivas e insuficiência de dados completos, o gestor atua como o "homem administrativo", selecionando uma alternativa satisfatória que atenda a padrões mínimos aceitáveis.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teoria da racionalidade limitada defende que o administrador público deve decidir de forma puramente arbitrária e intuitiva, dispensando critérios analíticos de avaliação.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 decisões operacionais tomadas sob racionalidade limitada prescindem da fixação prévia de objetivos organizacionais pelo planejamento.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modelo clássico do "homem econômico" e da decisão ótima pura é uma ficção teórica refutada por Simon.</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Os gestores atuam sob ambiente de incerteza, com tempo escasso e dados parciais.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Segundo Herbert Simon, em virtude da impossibilidade humana de capturar todas as variáveis do ambiente e analisar infinitas alternativas, o tomador de decisão opera como o </w:t>
            </w:r>
            <w:r>
              <w:rPr>
                <w:rFonts w:ascii="Arial" w:hAnsi="Arial"/>
                <w:b/>
                <w:i w:val="0"/>
                <w:color w:val="111827"/>
                <w:sz w:val="21"/>
              </w:rPr>
              <w:t>homem administrativo</w:t>
            </w:r>
            <w:r>
              <w:rPr>
                <w:rFonts w:ascii="Arial" w:hAnsi="Arial"/>
                <w:b w:val="0"/>
                <w:i w:val="0"/>
                <w:color w:val="111827"/>
                <w:sz w:val="21"/>
              </w:rPr>
              <w:t xml:space="preserve">, optando por soluções </w:t>
            </w:r>
            <w:r>
              <w:rPr>
                <w:rFonts w:ascii="Arial" w:hAnsi="Arial"/>
                <w:b/>
                <w:i w:val="0"/>
                <w:color w:val="111827"/>
                <w:sz w:val="21"/>
              </w:rPr>
              <w:t>satisfatórias</w:t>
            </w:r>
            <w:r>
              <w:rPr>
                <w:rFonts w:ascii="Arial" w:hAnsi="Arial"/>
                <w:b w:val="0"/>
                <w:i w:val="0"/>
                <w:color w:val="111827"/>
                <w:sz w:val="21"/>
              </w:rPr>
              <w:t xml:space="preserve"> (que atendam a critérios suficientes de eficácia) em vez de soluções ótimas puras.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racionalidade limitada busca a melhor decisão possível dentro das restrições existentes, não se confundindo com irracionalidade ou arbitrariedade.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Objetivos estratégicos prévios continuam sendo indispensáveis para orientar a busca da alternativa satisfatória.</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TRT-2ª Região – Analista Judiciário: Área Administrativa)</w:t>
      </w:r>
    </w:p>
    <w:p>
      <w:pPr>
        <w:spacing w:line="360" w:lineRule="auto" w:before="0" w:after="80"/>
        <w:jc w:val="both"/>
      </w:pPr>
      <w:r>
        <w:rPr>
          <w:rFonts w:ascii="Arial" w:hAnsi="Arial"/>
          <w:b w:val="0"/>
          <w:i w:val="0"/>
          <w:color w:val="111827"/>
          <w:sz w:val="24"/>
        </w:rPr>
        <w:t>Durante a realização de um diagnóstico institucional, os analistas de um tribunal identificaram os seguintes fatores:</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Elevado índice de qualificação acadêmica do quadro próprio de analistas (pós-graduados).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Ausência de padronização nos procedimentos operacionais dos cartórios judiciais.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Disponibilização de novas linhas federais de financiamento para modernização tecnológica dos tribunais.</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Redução orçamentária imposta pela alteração da lei estadual de diretrizes orçamentárias.</w:t>
      </w:r>
    </w:p>
    <w:p>
      <w:pPr>
        <w:spacing w:line="360" w:lineRule="auto" w:before="0" w:after="80"/>
        <w:jc w:val="both"/>
      </w:pPr>
      <w:r>
        <w:rPr>
          <w:rFonts w:ascii="Arial" w:hAnsi="Arial"/>
          <w:b w:val="0"/>
          <w:i w:val="0"/>
          <w:color w:val="111827"/>
          <w:sz w:val="24"/>
        </w:rPr>
        <w:t>Sob a ótica da Matriz SWOT (FOFA), os fatores 1, 2, 3 e 4 representam,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Força, Fraqueza, Oportunidade e Ameaça.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Oportunidade, Ameaça, Força e Fraqueza.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Força, Ameaça, Oportunidade e Fraqueza.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Oportunidade, Fraqueza, Força e Ameaça.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Força, Fraqueza, Ameaça e Oportunidade.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Fator 1 (Força):</w:t>
            </w:r>
            <w:r>
              <w:rPr>
                <w:rFonts w:ascii="Arial" w:hAnsi="Arial"/>
                <w:b w:val="0"/>
                <w:i w:val="0"/>
                <w:color w:val="111827"/>
                <w:sz w:val="21"/>
              </w:rPr>
              <w:t xml:space="preserve"> Qualificação dos servidores do órgão é uma característica interna positiva e controlável pela instituição (</w:t>
            </w:r>
            <w:r>
              <w:rPr>
                <w:rFonts w:ascii="Arial" w:hAnsi="Arial"/>
                <w:b/>
                <w:i w:val="0"/>
                <w:color w:val="111827"/>
                <w:sz w:val="21"/>
              </w:rPr>
              <w:t>Força / Strengths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Fator 2 (Fraqueza):</w:t>
            </w:r>
            <w:r>
              <w:rPr>
                <w:rFonts w:ascii="Arial" w:hAnsi="Arial"/>
                <w:b w:val="0"/>
                <w:i w:val="0"/>
                <w:color w:val="111827"/>
                <w:sz w:val="21"/>
              </w:rPr>
              <w:t xml:space="preserve"> Despadronização interna de rotinas é uma vulnerabilidade interna e controlável pela gestão (</w:t>
            </w:r>
            <w:r>
              <w:rPr>
                <w:rFonts w:ascii="Arial" w:hAnsi="Arial"/>
                <w:b/>
                <w:i w:val="0"/>
                <w:color w:val="111827"/>
                <w:sz w:val="21"/>
              </w:rPr>
              <w:t>Fraqueza / Weaknesses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Fator 3 (Oportunidade):</w:t>
            </w:r>
            <w:r>
              <w:rPr>
                <w:rFonts w:ascii="Arial" w:hAnsi="Arial"/>
                <w:b w:val="0"/>
                <w:i w:val="0"/>
                <w:color w:val="111827"/>
                <w:sz w:val="21"/>
              </w:rPr>
              <w:t xml:space="preserve"> Linhas federais de financiamento são fatores externos favoráveis que a organização não controla, mas pode aproveitar (</w:t>
            </w:r>
            <w:r>
              <w:rPr>
                <w:rFonts w:ascii="Arial" w:hAnsi="Arial"/>
                <w:b/>
                <w:i w:val="0"/>
                <w:color w:val="111827"/>
                <w:sz w:val="21"/>
              </w:rPr>
              <w:t>Oportunidade / Opportunities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Fator 4 (Ameaça):</w:t>
            </w:r>
            <w:r>
              <w:rPr>
                <w:rFonts w:ascii="Arial" w:hAnsi="Arial"/>
                <w:b w:val="0"/>
                <w:i w:val="0"/>
                <w:color w:val="111827"/>
                <w:sz w:val="21"/>
              </w:rPr>
              <w:t xml:space="preserve"> Redução orçamentária decorrente de alteração legislativa é um fator externo desfavorável e incontrolável (</w:t>
            </w:r>
            <w:r>
              <w:rPr>
                <w:rFonts w:ascii="Arial" w:hAnsi="Arial"/>
                <w:b/>
                <w:i w:val="0"/>
                <w:color w:val="111827"/>
                <w:sz w:val="21"/>
              </w:rPr>
              <w:t>Ameaça / Threats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Logo, a classificação exata é: </w:t>
            </w:r>
            <w:r>
              <w:rPr>
                <w:rFonts w:ascii="Arial" w:hAnsi="Arial"/>
                <w:b/>
                <w:i w:val="0"/>
                <w:color w:val="111827"/>
                <w:sz w:val="21"/>
              </w:rPr>
              <w:t>Força, Fraqueza, Oportunidade e Ameaça</w:t>
            </w:r>
            <w:r>
              <w:rPr>
                <w:rFonts w:ascii="Arial" w:hAnsi="Arial"/>
                <w:b w:val="0"/>
                <w:i w:val="0"/>
                <w:color w:val="111827"/>
                <w:sz w:val="21"/>
              </w:rPr>
              <w:t xml:space="preserve"> (Alternativa A).</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DPE-RS – Analista: Gestão Pública)</w:t>
      </w:r>
    </w:p>
    <w:p>
      <w:pPr>
        <w:spacing w:line="360" w:lineRule="auto" w:before="0" w:after="80"/>
        <w:jc w:val="both"/>
      </w:pPr>
      <w:r>
        <w:rPr>
          <w:rFonts w:ascii="Arial" w:hAnsi="Arial"/>
          <w:b w:val="0"/>
          <w:i w:val="0"/>
          <w:color w:val="111827"/>
          <w:sz w:val="24"/>
        </w:rPr>
        <w:t>Na gestão de pessoas no setor público, a metodologia de Gestão por Competências estrutura o perfil funcional a partir da tríade CHA (Conhecimentos, Habilidades e Atitudes). Quando um servidor público domina minuciosamente as regras teóricas da Nova Lei de Licitações (Lei nº 14.133/2021), mas demonstra insegurança técnica e não consegue operar o sistema eletrônico de compras públicas para cadastrar o edital, verifica-se que o servidor possui:</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Atitude e Habilidade, mas carece de Conhecimento.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Conhecimento, mas apresenta déficit no componente de Habilidade.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Conhecimento e Habilidade, faltando-lhe unicamente Atitude proativa.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Habilidade plena, sem domínio de Conhecimento e Atitude.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Ausência simultânea de Conhecimento, Habilidade e Atitude.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domínio das leis é o Conhecimento em si.</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Na tríade CHA: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Conhecimento (Saber):</w:t>
            </w:r>
            <w:r>
              <w:rPr>
                <w:rFonts w:ascii="Arial" w:hAnsi="Arial"/>
                <w:b w:val="0"/>
                <w:i w:val="0"/>
                <w:color w:val="111827"/>
                <w:sz w:val="21"/>
              </w:rPr>
              <w:t xml:space="preserve"> É o saber teórico, conceitual e cognitivo (domínio das regras da Lei nº 14.133/2021).</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Habilidade (Saber Fazer):</w:t>
            </w:r>
            <w:r>
              <w:rPr>
                <w:rFonts w:ascii="Arial" w:hAnsi="Arial"/>
                <w:b w:val="0"/>
                <w:i w:val="0"/>
                <w:color w:val="111827"/>
                <w:sz w:val="21"/>
              </w:rPr>
              <w:t xml:space="preserve"> É a aplicação prática da teoria, o manejo de ferramentas e a operação de sistemas informatizados.</w:t>
            </w:r>
          </w:p>
          <w:p>
            <w:pPr>
              <w:spacing w:line="288" w:lineRule="auto" w:before="40" w:after="40"/>
            </w:pPr>
            <w:r>
              <w:rPr>
                <w:rFonts w:ascii="Arial" w:hAnsi="Arial"/>
                <w:b w:val="0"/>
                <w:i w:val="0"/>
                <w:color w:val="111827"/>
                <w:sz w:val="21"/>
              </w:rPr>
              <w:t xml:space="preserve">- Como o servidor conhece a lei (tem Conhecimento), mas não consegue operar o sistema na prática, seu déficit específico reside na </w:t>
            </w:r>
            <w:r>
              <w:rPr>
                <w:rFonts w:ascii="Arial" w:hAnsi="Arial"/>
                <w:b/>
                <w:i w:val="0"/>
                <w:color w:val="111827"/>
                <w:sz w:val="21"/>
              </w:rPr>
              <w:t>Habilidade</w:t>
            </w:r>
            <w:r>
              <w:rPr>
                <w:rFonts w:ascii="Arial" w:hAnsi="Arial"/>
                <w:b w:val="0"/>
                <w:i w:val="0"/>
                <w:color w:val="111827"/>
                <w:sz w:val="21"/>
              </w:rPr>
              <w:t xml:space="preserve"> ("saber fazer").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Ele não possui a habilidade técnica de operar o sistema de compras.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Ele carece exatamente de habilidade prática.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Ele possui inequívoco conhecimento teórico demonstrado.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ARTESP – Especialista em Regulação de Transportes)</w:t>
      </w:r>
    </w:p>
    <w:p>
      <w:pPr>
        <w:spacing w:line="360" w:lineRule="auto" w:before="0" w:after="80"/>
        <w:jc w:val="both"/>
      </w:pPr>
      <w:r>
        <w:rPr>
          <w:rFonts w:ascii="Arial" w:hAnsi="Arial"/>
          <w:b w:val="0"/>
          <w:i w:val="0"/>
          <w:color w:val="111827"/>
          <w:sz w:val="24"/>
        </w:rPr>
        <w:t>Dois diretores de uma agência reguladora divergem categoricamente a respeito dos critérios de reajuste tarifário do transporte intermunicipal. Ambos demonstram alta preocupação em fazer valer suas teses técnicas individuais (alta assertividade), mas recusam-se terminantemente a ouvir os argumentos da outra parte ou a construir um consenso cooperativo (baixa cooperação). Segundo o modelo de estilos de administração de conflitos de Thomas-Kilmann, o comportamento adotado por esses gestores caracteriza o estilo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Colaboração (Ganha-Ganha).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Acomodação (Perde-Ganha).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Competição ou Imposição (Ganha-Perde).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Evitação ou Fuga (Perde-Perde).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Acordo ou Concessão Mútua equilibrada.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Colaboração combina alta assertividade com </w:t>
            </w:r>
            <w:r>
              <w:rPr>
                <w:rFonts w:ascii="Arial" w:hAnsi="Arial"/>
                <w:b/>
                <w:i w:val="0"/>
                <w:color w:val="111827"/>
                <w:sz w:val="21"/>
              </w:rPr>
              <w:t>alta cooperação</w:t>
            </w:r>
            <w:r>
              <w:rPr>
                <w:rFonts w:ascii="Arial" w:hAnsi="Arial"/>
                <w:b w:val="0"/>
                <w:i w:val="0"/>
                <w:color w:val="111827"/>
                <w:sz w:val="21"/>
              </w:rPr>
              <w:t>, buscando uma solução integrada "ganha-ganha".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Acomodação apresenta </w:t>
            </w:r>
            <w:r>
              <w:rPr>
                <w:rFonts w:ascii="Arial" w:hAnsi="Arial"/>
                <w:b/>
                <w:i w:val="0"/>
                <w:color w:val="111827"/>
                <w:sz w:val="21"/>
              </w:rPr>
              <w:t>baixa assertividade</w:t>
            </w:r>
            <w:r>
              <w:rPr>
                <w:rFonts w:ascii="Arial" w:hAnsi="Arial"/>
                <w:b w:val="0"/>
                <w:i w:val="0"/>
                <w:color w:val="111827"/>
                <w:sz w:val="21"/>
              </w:rPr>
              <w:t xml:space="preserve"> (o indivíduo abre mão do seu próprio interesse) e alta cooperação.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estilo de </w:t>
            </w:r>
            <w:r>
              <w:rPr>
                <w:rFonts w:ascii="Arial" w:hAnsi="Arial"/>
                <w:b/>
                <w:i w:val="0"/>
                <w:color w:val="111827"/>
                <w:sz w:val="21"/>
              </w:rPr>
              <w:t>Competição (ou Imposição / Enfrentamento)</w:t>
            </w:r>
            <w:r>
              <w:rPr>
                <w:rFonts w:ascii="Arial" w:hAnsi="Arial"/>
                <w:b w:val="0"/>
                <w:i w:val="0"/>
                <w:color w:val="111827"/>
                <w:sz w:val="21"/>
              </w:rPr>
              <w:t xml:space="preserve"> é definido pela </w:t>
            </w:r>
            <w:r>
              <w:rPr>
                <w:rFonts w:ascii="Arial" w:hAnsi="Arial"/>
                <w:b/>
                <w:i w:val="0"/>
                <w:color w:val="111827"/>
                <w:sz w:val="21"/>
              </w:rPr>
              <w:t>alta assertividade</w:t>
            </w:r>
            <w:r>
              <w:rPr>
                <w:rFonts w:ascii="Arial" w:hAnsi="Arial"/>
                <w:b w:val="0"/>
                <w:i w:val="0"/>
                <w:color w:val="111827"/>
                <w:sz w:val="21"/>
              </w:rPr>
              <w:t xml:space="preserve"> (busca obstinada de fazer prevalecer seus próprios interesses) combinada com </w:t>
            </w:r>
            <w:r>
              <w:rPr>
                <w:rFonts w:ascii="Arial" w:hAnsi="Arial"/>
                <w:b/>
                <w:i w:val="0"/>
                <w:color w:val="111827"/>
                <w:sz w:val="21"/>
              </w:rPr>
              <w:t>baixa cooperação</w:t>
            </w:r>
            <w:r>
              <w:rPr>
                <w:rFonts w:ascii="Arial" w:hAnsi="Arial"/>
                <w:b w:val="0"/>
                <w:i w:val="0"/>
                <w:color w:val="111827"/>
                <w:sz w:val="21"/>
              </w:rPr>
              <w:t xml:space="preserve"> (desprezo pelos anseios e argumentos da contraparte), configurando uma dinâmica de "ganha-perde".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Evitação apresenta baixa assertividade e baixa cooperação (ignorar o conflito e fingir que não existe).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acordo requer nível moderado de cooperação mútua, com ambas as partes cedendo em algum ponto.</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01 - Teorias da Administração, Escolas Administrativas e Metáforas Organizacionais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Administração Geral</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01_teorias_da_administracao_e_escolas_administrativas.md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Evolução histórica do pensamento administrativo e das escolas da Teoria Geral da Administração (TGA):</w:t>
      </w:r>
    </w:p>
    <w:p>
      <w:pPr>
        <w:spacing w:line="276" w:lineRule="auto" w:before="20" w:after="40"/>
        <w:ind w:left="992"/>
      </w:pPr>
      <w:r>
        <w:rPr>
          <w:rFonts w:ascii="Arial" w:hAnsi="Arial"/>
          <w:b/>
          <w:color w:val="2B6CB0"/>
          <w:sz w:val="22"/>
        </w:rPr>
        <w:t xml:space="preserve">• </w:t>
      </w:r>
      <w:r>
        <w:rPr>
          <w:rFonts w:ascii="Arial" w:hAnsi="Arial"/>
          <w:b/>
          <w:i w:val="0"/>
          <w:color w:val="111827"/>
          <w:sz w:val="22"/>
        </w:rPr>
        <w:t>Administração Científica (Frederick W. Taylor):</w:t>
      </w:r>
      <w:r>
        <w:rPr>
          <w:rFonts w:ascii="Arial" w:hAnsi="Arial"/>
          <w:b w:val="0"/>
          <w:i w:val="0"/>
          <w:color w:val="111827"/>
          <w:sz w:val="22"/>
        </w:rPr>
        <w:t xml:space="preserve"> Organização Racional do Trabalho (ORT), estudo dos tempos e movimentos, fadiga, divisão do trabalho e especialização do operário, incentivos salariais por peça (</w:t>
      </w:r>
      <w:r>
        <w:rPr>
          <w:rFonts w:ascii="Arial" w:hAnsi="Arial"/>
          <w:b w:val="0"/>
          <w:i/>
          <w:color w:val="111827"/>
          <w:sz w:val="22"/>
        </w:rPr>
        <w:t>Homo Economicus</w:t>
      </w:r>
      <w:r>
        <w:rPr>
          <w:rFonts w:ascii="Arial" w:hAnsi="Arial"/>
          <w:b w:val="0"/>
          <w:i w:val="0"/>
          <w:color w:val="111827"/>
          <w:sz w:val="22"/>
        </w:rPr>
        <w:t>), padronização e supervisão funcional;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Teoria Clássica da Administração (Henri Fayol):</w:t>
      </w:r>
      <w:r>
        <w:rPr>
          <w:rFonts w:ascii="Arial" w:hAnsi="Arial"/>
          <w:b w:val="0"/>
          <w:i w:val="0"/>
          <w:color w:val="111827"/>
          <w:sz w:val="22"/>
        </w:rPr>
        <w:t xml:space="preserve"> visão anatômica da empresa, as seis funções básicas da empresa, funções do administrador (POCCC - Prever, Organizar, Comandar, Coordenar e Controlar) e os 14 princípios gerais da administração (ênfase na Unidade de Comando e Unidade de Direção);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Teoria das Relações Humanas (Elton Mayo):</w:t>
      </w:r>
      <w:r>
        <w:rPr>
          <w:rFonts w:ascii="Arial" w:hAnsi="Arial"/>
          <w:b w:val="0"/>
          <w:i w:val="0"/>
          <w:color w:val="111827"/>
          <w:sz w:val="22"/>
        </w:rPr>
        <w:t xml:space="preserve"> a Experiência de Hawthorne, o </w:t>
      </w:r>
      <w:r>
        <w:rPr>
          <w:rFonts w:ascii="Arial" w:hAnsi="Arial"/>
          <w:b w:val="0"/>
          <w:i/>
          <w:color w:val="111827"/>
          <w:sz w:val="22"/>
        </w:rPr>
        <w:t>Homo Socialis</w:t>
      </w:r>
      <w:r>
        <w:rPr>
          <w:rFonts w:ascii="Arial" w:hAnsi="Arial"/>
          <w:b w:val="0"/>
          <w:i w:val="0"/>
          <w:color w:val="111827"/>
          <w:sz w:val="22"/>
        </w:rPr>
        <w:t>, grupos informais, relevância dos fatores psicossociais e normas do grupo sobre a produtividade;</w:t>
      </w:r>
    </w:p>
    <w:p>
      <w:pPr>
        <w:spacing w:line="276" w:lineRule="auto" w:before="20" w:after="40"/>
        <w:ind w:left="992"/>
      </w:pPr>
      <w:r>
        <w:rPr>
          <w:rFonts w:ascii="Arial" w:hAnsi="Arial"/>
          <w:b/>
          <w:color w:val="2B6CB0"/>
          <w:sz w:val="22"/>
        </w:rPr>
        <w:t xml:space="preserve">• </w:t>
      </w:r>
      <w:r>
        <w:rPr>
          <w:rFonts w:ascii="Arial" w:hAnsi="Arial"/>
          <w:b/>
          <w:i w:val="0"/>
          <w:color w:val="111827"/>
          <w:sz w:val="22"/>
        </w:rPr>
        <w:t>Teoria da Burocracia (Max Weber):</w:t>
      </w:r>
      <w:r>
        <w:rPr>
          <w:rFonts w:ascii="Arial" w:hAnsi="Arial"/>
          <w:b w:val="0"/>
          <w:i w:val="0"/>
          <w:color w:val="111827"/>
          <w:sz w:val="22"/>
        </w:rPr>
        <w:t xml:space="preserve"> tipos de dominação legítima (tradicional, carismática e racional-legal); características do modelo burocrático e disfunções da burocracia (Robert Merton);</w:t>
      </w:r>
    </w:p>
    <w:p>
      <w:pPr>
        <w:spacing w:line="276" w:lineRule="auto" w:before="20" w:after="40"/>
        <w:ind w:left="992"/>
      </w:pPr>
      <w:r>
        <w:rPr>
          <w:rFonts w:ascii="Arial" w:hAnsi="Arial"/>
          <w:b/>
          <w:color w:val="2B6CB0"/>
          <w:sz w:val="22"/>
        </w:rPr>
        <w:t xml:space="preserve">• </w:t>
      </w:r>
      <w:r>
        <w:rPr>
          <w:rFonts w:ascii="Arial" w:hAnsi="Arial"/>
          <w:b/>
          <w:i w:val="0"/>
          <w:color w:val="111827"/>
          <w:sz w:val="22"/>
        </w:rPr>
        <w:t>Teoria Neoclássica (Peter Drucker):</w:t>
      </w:r>
      <w:r>
        <w:rPr>
          <w:rFonts w:ascii="Arial" w:hAnsi="Arial"/>
          <w:b w:val="0"/>
          <w:i w:val="0"/>
          <w:color w:val="111827"/>
          <w:sz w:val="22"/>
        </w:rPr>
        <w:t xml:space="preserve"> princípios gerais redefinidos, ecletismo, foco nos objetivos práticos e Administração por Objetivos (APO);</w:t>
      </w:r>
    </w:p>
    <w:p>
      <w:pPr>
        <w:spacing w:line="276" w:lineRule="auto" w:before="20" w:after="40"/>
        <w:ind w:left="992"/>
      </w:pPr>
      <w:r>
        <w:rPr>
          <w:rFonts w:ascii="Arial" w:hAnsi="Arial"/>
          <w:b/>
          <w:color w:val="2B6CB0"/>
          <w:sz w:val="22"/>
        </w:rPr>
        <w:t xml:space="preserve">• </w:t>
      </w:r>
      <w:r>
        <w:rPr>
          <w:rFonts w:ascii="Arial" w:hAnsi="Arial"/>
          <w:b/>
          <w:i w:val="0"/>
          <w:color w:val="111827"/>
          <w:sz w:val="22"/>
        </w:rPr>
        <w:t>Teoria Comportamental (Behaviorismo):</w:t>
      </w:r>
      <w:r>
        <w:rPr>
          <w:rFonts w:ascii="Arial" w:hAnsi="Arial"/>
          <w:b w:val="0"/>
          <w:i w:val="0"/>
          <w:color w:val="111827"/>
          <w:sz w:val="22"/>
        </w:rPr>
        <w:t xml:space="preserve"> McGregor (Teoria X versus Teoria Y), Chester Barnard (organização como sistema cooperativo e aceitação da autoridade) e Herbert Simon (processo decisório e racionalidade limitada);</w:t>
      </w:r>
    </w:p>
    <w:p>
      <w:pPr>
        <w:spacing w:line="276" w:lineRule="auto" w:before="20" w:after="40"/>
        <w:ind w:left="992"/>
      </w:pPr>
      <w:r>
        <w:rPr>
          <w:rFonts w:ascii="Arial" w:hAnsi="Arial"/>
          <w:b/>
          <w:color w:val="2B6CB0"/>
          <w:sz w:val="22"/>
        </w:rPr>
        <w:t xml:space="preserve">• </w:t>
      </w:r>
      <w:r>
        <w:rPr>
          <w:rFonts w:ascii="Arial" w:hAnsi="Arial"/>
          <w:b/>
          <w:i w:val="0"/>
          <w:color w:val="111827"/>
          <w:sz w:val="22"/>
        </w:rPr>
        <w:t>Teoria Geral dos Sistemas (Bertalanffy, Katz &amp; Kahn):</w:t>
      </w:r>
      <w:r>
        <w:rPr>
          <w:rFonts w:ascii="Arial" w:hAnsi="Arial"/>
          <w:b w:val="0"/>
          <w:i w:val="0"/>
          <w:color w:val="111827"/>
          <w:sz w:val="22"/>
        </w:rPr>
        <w:t xml:space="preserve"> a organização como sistema aberto, insumos, processamento, saídas, retroalimentação (</w:t>
      </w:r>
      <w:r>
        <w:rPr>
          <w:rFonts w:ascii="Arial" w:hAnsi="Arial"/>
          <w:b w:val="0"/>
          <w:i/>
          <w:color w:val="111827"/>
          <w:sz w:val="22"/>
        </w:rPr>
        <w:t>feedback</w:t>
      </w:r>
      <w:r>
        <w:rPr>
          <w:rFonts w:ascii="Arial" w:hAnsi="Arial"/>
          <w:b w:val="0"/>
          <w:i w:val="0"/>
          <w:color w:val="111827"/>
          <w:sz w:val="22"/>
        </w:rPr>
        <w:t>), entropia negativa, homeostase dinâmica e equifinalidade;</w:t>
      </w:r>
    </w:p>
    <w:p>
      <w:pPr>
        <w:spacing w:line="276" w:lineRule="auto" w:before="20" w:after="40"/>
        <w:ind w:left="992"/>
      </w:pPr>
      <w:r>
        <w:rPr>
          <w:rFonts w:ascii="Arial" w:hAnsi="Arial"/>
          <w:b/>
          <w:color w:val="2B6CB0"/>
          <w:sz w:val="22"/>
        </w:rPr>
        <w:t xml:space="preserve">• </w:t>
      </w:r>
      <w:r>
        <w:rPr>
          <w:rFonts w:ascii="Arial" w:hAnsi="Arial"/>
          <w:b/>
          <w:i w:val="0"/>
          <w:color w:val="111827"/>
          <w:sz w:val="22"/>
        </w:rPr>
        <w:t>Teoria Contingencial:</w:t>
      </w:r>
      <w:r>
        <w:rPr>
          <w:rFonts w:ascii="Arial" w:hAnsi="Arial"/>
          <w:b w:val="0"/>
          <w:i w:val="0"/>
          <w:color w:val="111827"/>
          <w:sz w:val="22"/>
        </w:rPr>
        <w:t xml:space="preserve"> abordagem situacional, ausência de princípios universais ("tudo é relativo"), estruturas mecanicistas versus orgânicas (Burns &amp; Stalker) e influência da tecnologia (Woodward) e do ambiente (Lawrence &amp; Lorsch);</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Metáforas organizacionais (Gareth Morgan): imagens da organização (máquinas, organismos, cérebros, culturas, sistemas políticos e prisões psíquicas).</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Síntese Comparativa das Escolas da Teoria Geral da Administração (TGA)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A Divergência Clássica: Taylor (Científica) vs. Fayol (Clássica)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Teoria das Relações Humanas (Elton Mayo) e a Experiência de Hawthorne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Teoria da Burocracia (Max Weber) e as Disfunções Burocráticas (Robert Merton)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Abordagem Comportamental: McGregor, Barnard e Herbert Simon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Teoria Geral dos Sistemas (TGS): A Organização como Sistema Aberto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Teoria Contingencial: Sistemas Mecanicistas vs. Orgânicos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8. Metáforas Organizacionais de Gareth Morgan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9.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10. Questões de Concurso FCC Comentadas</w:t>
      </w:r>
    </w:p>
    <w:p>
      <w:pPr>
        <w:keepNext/>
        <w:spacing w:before="280" w:after="120"/>
      </w:pPr>
      <w:r>
        <w:rPr>
          <w:rFonts w:ascii="Arial" w:hAnsi="Arial"/>
          <w:b/>
          <w:i w:val="0"/>
          <w:color w:val="2C5282"/>
          <w:sz w:val="28"/>
        </w:rPr>
        <w:t>📖 Resumo Teórico Aprofundado &amp; Esquematizado</w:t>
      </w:r>
    </w:p>
    <w:p>
      <w:pPr>
        <w:keepNext/>
        <w:spacing w:before="200" w:after="80"/>
      </w:pPr>
      <w:r>
        <w:rPr>
          <w:rFonts w:ascii="Arial" w:hAnsi="Arial"/>
          <w:b/>
          <w:i w:val="0"/>
          <w:color w:val="2B6CB0"/>
          <w:sz w:val="24"/>
        </w:rPr>
        <w:t>1. Síntese Comparativa das Escolas da Teoria Geral da Administração (TGA)</w:t>
      </w:r>
    </w:p>
    <w:p>
      <w:pPr>
        <w:spacing w:line="360" w:lineRule="auto" w:before="0" w:after="80"/>
        <w:jc w:val="both"/>
      </w:pPr>
      <w:r>
        <w:rPr>
          <w:rFonts w:ascii="Arial" w:hAnsi="Arial"/>
          <w:b w:val="0"/>
          <w:i w:val="0"/>
          <w:color w:val="111827"/>
          <w:sz w:val="24"/>
        </w:rPr>
        <w:t>A evolução do pensamento administrativo desenvolveu-se ao longo do século XX mediante sucessivas teorias que deslocaram gradualmente o foco de análise das tarefas individuais para a estrutura global, as relações humanas, o processo decisório e a interação dinâmica com o ambiente externo:</w:t>
      </w:r>
    </w:p>
    <w:p>
      <w:pPr>
        <w:spacing w:after="120"/>
      </w:pPr>
    </w:p>
    <w:p>
      <w:pPr>
        <w:keepNext/>
        <w:spacing w:before="120" w:after="40"/>
      </w:pPr>
      <w:r>
        <w:rPr>
          <w:rFonts w:ascii="Arial" w:hAnsi="Arial"/>
          <w:b/>
          <w:i/>
          <w:color w:val="334155"/>
          <w:sz w:val="22"/>
        </w:rPr>
        <w:t>Tabela de Síntese Comparativa das Escolas: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Teoria / Escola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Autor Principal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Ênfase / Foco Primário</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Concepção do Homem</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Características Centrais para Prova</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Administração Científica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Frederick W. Taylor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Nas Tarefas</w:t>
            </w:r>
            <w:r>
              <w:rPr>
                <w:rFonts w:ascii="Arial" w:hAnsi="Arial"/>
                <w:b w:val="0"/>
                <w:i w:val="0"/>
                <w:color w:val="111827"/>
                <w:sz w:val="19"/>
              </w:rPr>
              <w:t xml:space="preserve"> (chão de fábrica).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Homo Economicus</w:t>
            </w:r>
            <w:r>
              <w:rPr>
                <w:rFonts w:ascii="Arial" w:hAnsi="Arial"/>
                <w:b w:val="0"/>
                <w:i w:val="0"/>
                <w:color w:val="111827"/>
                <w:sz w:val="19"/>
              </w:rPr>
              <w:t xml:space="preserve"> (motivado exclusivamente pelo ganho financeiro).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Estudo de tempos e movimentos (ORT); fragmentação extrema; supervisão funcional; eliminação de movimentos inúteis e fadiga; busca do </w:t>
            </w:r>
            <w:r>
              <w:rPr>
                <w:rFonts w:ascii="Arial" w:hAnsi="Arial"/>
                <w:b w:val="0"/>
                <w:i/>
                <w:color w:val="111827"/>
                <w:sz w:val="19"/>
              </w:rPr>
              <w:t>the one best way</w:t>
            </w:r>
            <w:r>
              <w:rPr>
                <w:rFonts w:ascii="Arial" w:hAnsi="Arial"/>
                <w:b w:val="0"/>
                <w:i w:val="0"/>
                <w:color w:val="111827"/>
                <w:sz w:val="19"/>
              </w:rPr>
              <w:t>.</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Teoria Clássica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Henri Fayol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Na Estrutura</w:t>
            </w:r>
            <w:r>
              <w:rPr>
                <w:rFonts w:ascii="Arial" w:hAnsi="Arial"/>
                <w:b w:val="0"/>
                <w:i w:val="0"/>
                <w:color w:val="111827"/>
                <w:sz w:val="19"/>
              </w:rPr>
              <w:t xml:space="preserve"> organizacional global.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Homo Economicus</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Visão anatômica da empresa; funções do administrador (POCCC); 14 princípios gerais; </w:t>
            </w:r>
            <w:r>
              <w:rPr>
                <w:rFonts w:ascii="Arial" w:hAnsi="Arial"/>
                <w:b/>
                <w:i w:val="0"/>
                <w:color w:val="111827"/>
                <w:sz w:val="19"/>
              </w:rPr>
              <w:t>Unidade de Comando estrita</w:t>
            </w:r>
            <w:r>
              <w:rPr>
                <w:rFonts w:ascii="Arial" w:hAnsi="Arial"/>
                <w:b w:val="0"/>
                <w:i w:val="0"/>
                <w:color w:val="111827"/>
                <w:sz w:val="19"/>
              </w:rPr>
              <w:t xml:space="preserve"> (um só chefe).</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Relações Humanas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Elton Mayo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Nas Pessoas</w:t>
            </w:r>
            <w:r>
              <w:rPr>
                <w:rFonts w:ascii="Arial" w:hAnsi="Arial"/>
                <w:b w:val="0"/>
                <w:i w:val="0"/>
                <w:color w:val="111827"/>
                <w:sz w:val="19"/>
              </w:rPr>
              <w:t xml:space="preserve"> e nos grupos informais.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Homo Socialis</w:t>
            </w:r>
            <w:r>
              <w:rPr>
                <w:rFonts w:ascii="Arial" w:hAnsi="Arial"/>
                <w:b w:val="0"/>
                <w:i w:val="0"/>
                <w:color w:val="111827"/>
                <w:sz w:val="19"/>
              </w:rPr>
              <w:t xml:space="preserve"> (motivado pelo grupo e integração).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Experiência de Hawthorne; o nível de produção é ditado pela integração social; recompensas e sanções sociais no trabalho; organização informal.</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Teoria da Burocracia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Max Weber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Nas Normas e na Estrutura</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Homo Burocraticus</w:t>
            </w:r>
            <w:r>
              <w:rPr>
                <w:rFonts w:ascii="Arial" w:hAnsi="Arial"/>
                <w:b w:val="0"/>
                <w:i w:val="0"/>
                <w:color w:val="111827"/>
                <w:sz w:val="19"/>
              </w:rPr>
              <w:t xml:space="preserve"> (cumpridor de regulamentos).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Autoridade racional-legal; formalismo, impessoalidade, meritocracia técnica (concurso) e previsibilidade de conduta.</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Teoria Neoclássica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Peter Drucker</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Nos Resultados</w:t>
            </w:r>
            <w:r>
              <w:rPr>
                <w:rFonts w:ascii="Arial" w:hAnsi="Arial"/>
                <w:b w:val="0"/>
                <w:i w:val="0"/>
                <w:color w:val="111827"/>
                <w:sz w:val="19"/>
              </w:rPr>
              <w:t xml:space="preserve"> e objetivos práticos.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Homem Organizacional</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Ecletismo teórico; reafirmação dos princípios clássicos ajustados; foco em eficácia; Administração por Objetivos (APO).</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Teoria Comportamental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McGregor / Simon / Barnard</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No Comportamento Humano e Decisão</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Homo Administrativus</w:t>
            </w:r>
            <w:r>
              <w:rPr>
                <w:rFonts w:ascii="Arial" w:hAnsi="Arial"/>
                <w:b w:val="0"/>
                <w:i w:val="0"/>
                <w:color w:val="111827"/>
                <w:sz w:val="19"/>
              </w:rPr>
              <w:t xml:space="preserve"> (decisor de racionalidade limitada).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Teoria X vs. Teoria Y; liderança e motivação; Teoria da Aceitação da Autoridade (Barnard); processo decisório e satisfação (Simon).</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Teoria dos Sistemas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Ludwig von Bertalanffy</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No Ambiente e no Todo Integrado</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Homem Sistêmico</w:t>
            </w:r>
            <w:r>
              <w:rPr>
                <w:rFonts w:ascii="Arial" w:hAnsi="Arial"/>
                <w:b w:val="0"/>
                <w:i w:val="0"/>
                <w:color w:val="111827"/>
                <w:sz w:val="19"/>
              </w:rPr>
              <w: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Organização como sistema aberto; interdependência de subsistemas; homeostase dinâmica e entropia negativa (negentropia).</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Teoria Contingencial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Woodward / Burns &amp; Stalker</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No Ambiente e na Tecnologia</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Homem Complexo</w:t>
            </w:r>
            <w:r>
              <w:rPr>
                <w:rFonts w:ascii="Arial" w:hAnsi="Arial"/>
                <w:b w:val="0"/>
                <w:i w:val="0"/>
                <w:color w:val="111827"/>
                <w:sz w:val="19"/>
              </w:rPr>
              <w:t>.</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"Nada é absoluto, tudo é relativo"; inexiste modelo único ideal; sistemas mecanicistas vs. sistemas orgânicos.</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ATENÇÃO (CONCEPÇÃO DO HOMEM NAS ESCOLAS):</w:t>
            </w:r>
          </w:p>
          <w:p>
            <w:pPr>
              <w:spacing w:line="288" w:lineRule="auto" w:before="40" w:after="40"/>
            </w:pPr>
            <w:r>
              <w:rPr>
                <w:rFonts w:ascii="Arial" w:hAnsi="Arial"/>
                <w:b w:val="0"/>
                <w:i w:val="0"/>
                <w:color w:val="111827"/>
                <w:sz w:val="21"/>
              </w:rPr>
              <w:t>Memorize as visões do ser humano adotadas pelas teorias:</w:t>
            </w:r>
          </w:p>
          <w:p>
            <w:pPr>
              <w:spacing w:line="288" w:lineRule="auto" w:before="40" w:after="40"/>
            </w:pPr>
            <w:r>
              <w:rPr>
                <w:rFonts w:ascii="Arial" w:hAnsi="Arial"/>
                <w:b w:val="0"/>
                <w:i w:val="0"/>
                <w:color w:val="111827"/>
                <w:sz w:val="21"/>
              </w:rPr>
              <w:t xml:space="preserve">- </w:t>
            </w:r>
            <w:r>
              <w:rPr>
                <w:rFonts w:ascii="Arial" w:hAnsi="Arial"/>
                <w:b w:val="0"/>
                <w:i/>
                <w:color w:val="111827"/>
                <w:sz w:val="21"/>
              </w:rPr>
              <w:t>Homo Economicus:</w:t>
            </w:r>
            <w:r>
              <w:rPr>
                <w:rFonts w:ascii="Arial" w:hAnsi="Arial"/>
                <w:b w:val="0"/>
                <w:i w:val="0"/>
                <w:color w:val="111827"/>
                <w:sz w:val="21"/>
              </w:rPr>
              <w:t xml:space="preserve"> Taylor e Fayol (motivado apenas pelo salário/peça);</w:t>
            </w:r>
          </w:p>
          <w:p>
            <w:pPr>
              <w:spacing w:line="288" w:lineRule="auto" w:before="40" w:after="40"/>
            </w:pPr>
            <w:r>
              <w:rPr>
                <w:rFonts w:ascii="Arial" w:hAnsi="Arial"/>
                <w:b w:val="0"/>
                <w:i w:val="0"/>
                <w:color w:val="111827"/>
                <w:sz w:val="21"/>
              </w:rPr>
              <w:t xml:space="preserve">- </w:t>
            </w:r>
            <w:r>
              <w:rPr>
                <w:rFonts w:ascii="Arial" w:hAnsi="Arial"/>
                <w:b w:val="0"/>
                <w:i/>
                <w:color w:val="111827"/>
                <w:sz w:val="21"/>
              </w:rPr>
              <w:t>Homo Socialis:</w:t>
            </w:r>
            <w:r>
              <w:rPr>
                <w:rFonts w:ascii="Arial" w:hAnsi="Arial"/>
                <w:b w:val="0"/>
                <w:i w:val="0"/>
                <w:color w:val="111827"/>
                <w:sz w:val="21"/>
              </w:rPr>
              <w:t xml:space="preserve"> Elton Mayo (motivado pela integração, afeto e aprovação grupal);</w:t>
            </w:r>
          </w:p>
          <w:p>
            <w:pPr>
              <w:spacing w:line="288" w:lineRule="auto" w:before="40" w:after="40"/>
            </w:pPr>
            <w:r>
              <w:rPr>
                <w:rFonts w:ascii="Arial" w:hAnsi="Arial"/>
                <w:b w:val="0"/>
                <w:i w:val="0"/>
                <w:color w:val="111827"/>
                <w:sz w:val="21"/>
              </w:rPr>
              <w:t xml:space="preserve">- </w:t>
            </w:r>
            <w:r>
              <w:rPr>
                <w:rFonts w:ascii="Arial" w:hAnsi="Arial"/>
                <w:b w:val="0"/>
                <w:i/>
                <w:color w:val="111827"/>
                <w:sz w:val="21"/>
              </w:rPr>
              <w:t>Homo Burocraticus:</w:t>
            </w:r>
            <w:r>
              <w:rPr>
                <w:rFonts w:ascii="Arial" w:hAnsi="Arial"/>
                <w:b w:val="0"/>
                <w:i w:val="0"/>
                <w:color w:val="111827"/>
                <w:sz w:val="21"/>
              </w:rPr>
              <w:t xml:space="preserve"> Max Weber (cumpridor fiel de regulamentos formais e procedimentos);</w:t>
            </w:r>
          </w:p>
          <w:p>
            <w:pPr>
              <w:spacing w:line="288" w:lineRule="auto" w:before="40" w:after="40"/>
            </w:pPr>
            <w:r>
              <w:rPr>
                <w:rFonts w:ascii="Arial" w:hAnsi="Arial"/>
                <w:b w:val="0"/>
                <w:i w:val="0"/>
                <w:color w:val="111827"/>
                <w:sz w:val="21"/>
              </w:rPr>
              <w:t xml:space="preserve">- </w:t>
            </w:r>
            <w:r>
              <w:rPr>
                <w:rFonts w:ascii="Arial" w:hAnsi="Arial"/>
                <w:b w:val="0"/>
                <w:i/>
                <w:color w:val="111827"/>
                <w:sz w:val="21"/>
              </w:rPr>
              <w:t>Homo Administrativus:</w:t>
            </w:r>
            <w:r>
              <w:rPr>
                <w:rFonts w:ascii="Arial" w:hAnsi="Arial"/>
                <w:b w:val="0"/>
                <w:i w:val="0"/>
                <w:color w:val="111827"/>
                <w:sz w:val="21"/>
              </w:rPr>
              <w:t xml:space="preserve"> Herbert Simon (tomador de decisão com racionalidade limitada);</w:t>
            </w:r>
          </w:p>
          <w:p>
            <w:pPr>
              <w:spacing w:line="288" w:lineRule="auto" w:before="40" w:after="40"/>
            </w:pPr>
            <w:r>
              <w:rPr>
                <w:rFonts w:ascii="Arial" w:hAnsi="Arial"/>
                <w:b w:val="0"/>
                <w:i w:val="0"/>
                <w:color w:val="111827"/>
                <w:sz w:val="21"/>
              </w:rPr>
              <w:t xml:space="preserve">- </w:t>
            </w:r>
            <w:r>
              <w:rPr>
                <w:rFonts w:ascii="Arial" w:hAnsi="Arial"/>
                <w:b w:val="0"/>
                <w:i/>
                <w:color w:val="111827"/>
                <w:sz w:val="21"/>
              </w:rPr>
              <w:t>Homem Complexo:</w:t>
            </w:r>
            <w:r>
              <w:rPr>
                <w:rFonts w:ascii="Arial" w:hAnsi="Arial"/>
                <w:b w:val="0"/>
                <w:i w:val="0"/>
                <w:color w:val="111827"/>
                <w:sz w:val="21"/>
              </w:rPr>
              <w:t xml:space="preserve"> Teoria Contingencial (ser mutável cujo comportamento responde a contingências e contextos múltiplos).</w:t>
            </w:r>
          </w:p>
        </w:tc>
      </w:tr>
    </w:tbl>
    <w:p>
      <w:pPr>
        <w:spacing w:before="0" w:after="120"/>
      </w:pPr>
    </w:p>
    <w:p>
      <w:pPr>
        <w:keepNext/>
        <w:spacing w:before="200" w:after="80"/>
      </w:pPr>
      <w:r>
        <w:rPr>
          <w:rFonts w:ascii="Arial" w:hAnsi="Arial"/>
          <w:b/>
          <w:i w:val="0"/>
          <w:color w:val="2B6CB0"/>
          <w:sz w:val="24"/>
        </w:rPr>
        <w:t>2. A Divergência Clássica: Taylor (Científica) vs. Fayol (Clássica)</w:t>
      </w:r>
    </w:p>
    <w:p>
      <w:pPr>
        <w:spacing w:line="360" w:lineRule="auto" w:before="0" w:after="80"/>
        <w:jc w:val="both"/>
      </w:pPr>
      <w:r>
        <w:rPr>
          <w:rFonts w:ascii="Arial" w:hAnsi="Arial"/>
          <w:b w:val="0"/>
          <w:i w:val="0"/>
          <w:color w:val="111827"/>
          <w:sz w:val="24"/>
        </w:rPr>
        <w:t>Embora ambas pertençam à abordagem clássica e compartilhem a visão mecanicista da organização (tratando-a como um sistema fechado isolado do meio externo), Taylor e Fayol partiram de pontos de vista estruturais diametralmente opostos:</w:t>
      </w:r>
    </w:p>
    <w:p>
      <w:pPr>
        <w:spacing w:after="120"/>
      </w:pPr>
    </w:p>
    <w:p>
      <w:pPr>
        <w:keepNext/>
        <w:spacing w:before="120" w:after="40"/>
      </w:pPr>
      <w:r>
        <w:rPr>
          <w:rFonts w:ascii="Arial" w:hAnsi="Arial"/>
          <w:b/>
          <w:i/>
          <w:color w:val="334155"/>
          <w:sz w:val="22"/>
        </w:rPr>
        <w:t>A) A Organização Racional do Trabalho (ORT) de Taylor:</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Análise do Trabalho e Estudo dos Tempos e Movimentos:</w:t>
      </w:r>
      <w:r>
        <w:rPr>
          <w:rFonts w:ascii="Arial" w:hAnsi="Arial"/>
          <w:b w:val="0"/>
          <w:i w:val="0"/>
          <w:color w:val="111827"/>
          <w:sz w:val="22"/>
        </w:rPr>
        <w:t xml:space="preserve"> Decomposição de cada tarefa em seus movimentos fundamentais (</w:t>
      </w:r>
      <w:r>
        <w:rPr>
          <w:rFonts w:ascii="Arial" w:hAnsi="Arial"/>
          <w:b w:val="0"/>
          <w:i/>
          <w:color w:val="111827"/>
          <w:sz w:val="22"/>
        </w:rPr>
        <w:t>therbligs</w:t>
      </w:r>
      <w:r>
        <w:rPr>
          <w:rFonts w:ascii="Arial" w:hAnsi="Arial"/>
          <w:b w:val="0"/>
          <w:i w:val="0"/>
          <w:color w:val="111827"/>
          <w:sz w:val="22"/>
        </w:rPr>
        <w:t>), eliminando movimentos inúteis para padronizar o método de execução mais rápido (</w:t>
      </w:r>
      <w:r>
        <w:rPr>
          <w:rFonts w:ascii="Arial" w:hAnsi="Arial"/>
          <w:b w:val="0"/>
          <w:i/>
          <w:color w:val="111827"/>
          <w:sz w:val="22"/>
        </w:rPr>
        <w:t>the one best way</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Estudo da Fadiga Humana:</w:t>
      </w:r>
      <w:r>
        <w:rPr>
          <w:rFonts w:ascii="Arial" w:hAnsi="Arial"/>
          <w:b w:val="0"/>
          <w:i w:val="0"/>
          <w:color w:val="111827"/>
          <w:sz w:val="22"/>
        </w:rPr>
        <w:t xml:space="preserve"> A fadiga reduz a produtividade e gera acidentes; a administração deve calibrar períodos de repouso e posturas corporais ergonômicas.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Divisão do Trabalho e Especialização do Operário:</w:t>
      </w:r>
      <w:r>
        <w:rPr>
          <w:rFonts w:ascii="Arial" w:hAnsi="Arial"/>
          <w:b w:val="0"/>
          <w:i w:val="0"/>
          <w:color w:val="111827"/>
          <w:sz w:val="22"/>
        </w:rPr>
        <w:t xml:space="preserve"> Confinamento do operário à execução de uma única tarefa repetitiva elementar.</w:t>
      </w:r>
    </w:p>
    <w:p>
      <w:pPr>
        <w:spacing w:line="276" w:lineRule="auto" w:before="20" w:after="40"/>
        <w:ind w:left="425"/>
      </w:pPr>
      <w:r>
        <w:rPr>
          <w:rFonts w:ascii="Arial" w:hAnsi="Arial"/>
          <w:b/>
          <w:color w:val="1B365D"/>
          <w:sz w:val="22"/>
        </w:rPr>
        <w:t xml:space="preserve">4. </w:t>
      </w:r>
      <w:r>
        <w:rPr>
          <w:rFonts w:ascii="Arial" w:hAnsi="Arial"/>
          <w:b/>
          <w:i w:val="0"/>
          <w:color w:val="111827"/>
          <w:sz w:val="22"/>
        </w:rPr>
        <w:t>Incentivos Salariais e Prêmios de Produção:</w:t>
      </w:r>
      <w:r>
        <w:rPr>
          <w:rFonts w:ascii="Arial" w:hAnsi="Arial"/>
          <w:b w:val="0"/>
          <w:i w:val="0"/>
          <w:color w:val="111827"/>
          <w:sz w:val="22"/>
        </w:rPr>
        <w:t xml:space="preserve"> Pagamento por peça produzida, fundamentado na tese de que o operário é indolente por natureza e reage exclusivamente a estímulos monetários (</w:t>
      </w:r>
      <w:r>
        <w:rPr>
          <w:rFonts w:ascii="Arial" w:hAnsi="Arial"/>
          <w:b w:val="0"/>
          <w:i/>
          <w:color w:val="111827"/>
          <w:sz w:val="22"/>
        </w:rPr>
        <w:t>Homo Economicus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5. </w:t>
      </w:r>
      <w:r>
        <w:rPr>
          <w:rFonts w:ascii="Arial" w:hAnsi="Arial"/>
          <w:b/>
          <w:i w:val="0"/>
          <w:color w:val="111827"/>
          <w:sz w:val="22"/>
        </w:rPr>
        <w:t>Supervisão Funcional:</w:t>
      </w:r>
      <w:r>
        <w:rPr>
          <w:rFonts w:ascii="Arial" w:hAnsi="Arial"/>
          <w:b w:val="0"/>
          <w:i w:val="0"/>
          <w:color w:val="111827"/>
          <w:sz w:val="22"/>
        </w:rPr>
        <w:t xml:space="preserve"> Existência de diversos supervisores especializados simultâneos na oficina, cada qual com autoridade funcional sobre determinado aspecto da tarefa do mesmo operário (autoridade funcional fragmentada).</w:t>
      </w:r>
    </w:p>
    <w:p>
      <w:pPr>
        <w:keepNext/>
        <w:spacing w:before="120" w:after="40"/>
      </w:pPr>
      <w:r>
        <w:rPr>
          <w:rFonts w:ascii="Arial" w:hAnsi="Arial"/>
          <w:b/>
          <w:i/>
          <w:color w:val="334155"/>
          <w:sz w:val="22"/>
        </w:rPr>
        <w:t>B) A Teoria Clássica de Henri Fayol: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As Seis Funções Básicas da Empresa:</w:t>
      </w:r>
      <w:r>
        <w:rPr>
          <w:rFonts w:ascii="Arial" w:hAnsi="Arial"/>
          <w:b w:val="0"/>
          <w:i w:val="0"/>
          <w:color w:val="111827"/>
          <w:sz w:val="22"/>
        </w:rPr>
        <w:t xml:space="preserve"> Funções Técnicas (produção), Comerciais (compra/venda), Financeiras (gestão de capital), de Segurança (proteção dos bens e pessoas), Contábeis (balanços, custos) e </w:t>
      </w:r>
      <w:r>
        <w:rPr>
          <w:rFonts w:ascii="Arial" w:hAnsi="Arial"/>
          <w:b/>
          <w:i w:val="0"/>
          <w:color w:val="111827"/>
          <w:sz w:val="22"/>
        </w:rPr>
        <w:t>Administrativas</w:t>
      </w:r>
      <w:r>
        <w:rPr>
          <w:rFonts w:ascii="Arial" w:hAnsi="Arial"/>
          <w:b w:val="0"/>
          <w:i w:val="0"/>
          <w:color w:val="111827"/>
          <w:sz w:val="22"/>
        </w:rPr>
        <w:t xml:space="preserve"> (que coordenam e presidem as outras cinco).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As Funções do Administrador (POCCC):</w:t>
      </w:r>
    </w:p>
    <w:p>
      <w:pPr>
        <w:spacing w:line="276" w:lineRule="auto" w:before="20" w:after="40"/>
        <w:ind w:left="992"/>
      </w:pPr>
      <w:r>
        <w:rPr>
          <w:rFonts w:ascii="Arial" w:hAnsi="Arial"/>
          <w:b/>
          <w:color w:val="2B6CB0"/>
          <w:sz w:val="22"/>
        </w:rPr>
        <w:t xml:space="preserve">• </w:t>
      </w:r>
      <w:r>
        <w:rPr>
          <w:rFonts w:ascii="Arial" w:hAnsi="Arial"/>
          <w:b/>
          <w:i w:val="0"/>
          <w:color w:val="111827"/>
          <w:sz w:val="22"/>
        </w:rPr>
        <w:t>Prever (ou Planejar):</w:t>
      </w:r>
      <w:r>
        <w:rPr>
          <w:rFonts w:ascii="Arial" w:hAnsi="Arial"/>
          <w:b w:val="0"/>
          <w:i w:val="0"/>
          <w:color w:val="111827"/>
          <w:sz w:val="22"/>
        </w:rPr>
        <w:t xml:space="preserve"> Visualizar o futuro e traçar o programa de ação institucional.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Organizar:</w:t>
      </w:r>
      <w:r>
        <w:rPr>
          <w:rFonts w:ascii="Arial" w:hAnsi="Arial"/>
          <w:b w:val="0"/>
          <w:i w:val="0"/>
          <w:color w:val="111827"/>
          <w:sz w:val="22"/>
        </w:rPr>
        <w:t xml:space="preserve"> Construir o duplo organismo material e social da empresa.</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Comandar:</w:t>
      </w:r>
      <w:r>
        <w:rPr>
          <w:rFonts w:ascii="Arial" w:hAnsi="Arial"/>
          <w:b w:val="0"/>
          <w:i w:val="0"/>
          <w:color w:val="111827"/>
          <w:sz w:val="22"/>
        </w:rPr>
        <w:t xml:space="preserve"> Dirigir, orientar e instruir o corpo de funcionários.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Coordenar:</w:t>
      </w:r>
      <w:r>
        <w:rPr>
          <w:rFonts w:ascii="Arial" w:hAnsi="Arial"/>
          <w:b w:val="0"/>
          <w:i w:val="0"/>
          <w:color w:val="111827"/>
          <w:sz w:val="22"/>
        </w:rPr>
        <w:t xml:space="preserve"> Ligar, unir, harmonizar e sincronizar todos os atos e esforços coletivos.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Controlar:</w:t>
      </w:r>
      <w:r>
        <w:rPr>
          <w:rFonts w:ascii="Arial" w:hAnsi="Arial"/>
          <w:b w:val="0"/>
          <w:i w:val="0"/>
          <w:color w:val="111827"/>
          <w:sz w:val="22"/>
        </w:rPr>
        <w:t xml:space="preserve"> Verificar se tudo corre de acordo com o programa aprovado e as ordens expedidas.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Os 14 Princípios Gerais da Administração: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Destaque absoluto em provas para a </w:t>
      </w:r>
      <w:r>
        <w:rPr>
          <w:rFonts w:ascii="Arial" w:hAnsi="Arial"/>
          <w:b/>
          <w:i w:val="0"/>
          <w:color w:val="111827"/>
          <w:sz w:val="22"/>
        </w:rPr>
        <w:t>Unidade de Comando</w:t>
      </w:r>
      <w:r>
        <w:rPr>
          <w:rFonts w:ascii="Arial" w:hAnsi="Arial"/>
          <w:b w:val="0"/>
          <w:i w:val="0"/>
          <w:color w:val="111827"/>
          <w:sz w:val="22"/>
        </w:rPr>
        <w:t xml:space="preserve"> (cada agente tem apenas um chefe imediato de quem recebe ordens), a </w:t>
      </w:r>
      <w:r>
        <w:rPr>
          <w:rFonts w:ascii="Arial" w:hAnsi="Arial"/>
          <w:b/>
          <w:i w:val="0"/>
          <w:color w:val="111827"/>
          <w:sz w:val="22"/>
        </w:rPr>
        <w:t>Unidade de Direção</w:t>
      </w:r>
      <w:r>
        <w:rPr>
          <w:rFonts w:ascii="Arial" w:hAnsi="Arial"/>
          <w:b w:val="0"/>
          <w:i w:val="0"/>
          <w:color w:val="111827"/>
          <w:sz w:val="22"/>
        </w:rPr>
        <w:t xml:space="preserve"> (um só chefe e um só programa para um conjunto de operações com o mesmo objetivo), a </w:t>
      </w:r>
      <w:r>
        <w:rPr>
          <w:rFonts w:ascii="Arial" w:hAnsi="Arial"/>
          <w:b/>
          <w:i w:val="0"/>
          <w:color w:val="111827"/>
          <w:sz w:val="22"/>
        </w:rPr>
        <w:t>Cadeia Escalar / Hierarquia</w:t>
      </w:r>
      <w:r>
        <w:rPr>
          <w:rFonts w:ascii="Arial" w:hAnsi="Arial"/>
          <w:b w:val="0"/>
          <w:i w:val="0"/>
          <w:color w:val="111827"/>
          <w:sz w:val="22"/>
        </w:rPr>
        <w:t xml:space="preserve"> (linha de autoridade do topo à base) e a </w:t>
      </w:r>
      <w:r>
        <w:rPr>
          <w:rFonts w:ascii="Arial" w:hAnsi="Arial"/>
          <w:b/>
          <w:i w:val="0"/>
          <w:color w:val="111827"/>
          <w:sz w:val="22"/>
        </w:rPr>
        <w:t>Divisão do Trabalho</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(UNIDADE DE COMANDO VS. SUPERVISÃO FUNCIONAL):</w:t>
            </w:r>
          </w:p>
          <w:p>
            <w:pPr>
              <w:spacing w:line="288" w:lineRule="auto" w:before="40" w:after="40"/>
            </w:pPr>
            <w:r>
              <w:rPr>
                <w:rFonts w:ascii="Arial" w:hAnsi="Arial"/>
                <w:b w:val="0"/>
                <w:i w:val="0"/>
                <w:color w:val="111827"/>
                <w:sz w:val="21"/>
              </w:rPr>
              <w:t>Questão predileta da FCC: contrapor Taylor e Fayol em matéria de chefia!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Supervisão Funcional:</w:t>
            </w:r>
            <w:r>
              <w:rPr>
                <w:rFonts w:ascii="Arial" w:hAnsi="Arial"/>
                <w:b w:val="0"/>
                <w:i w:val="0"/>
                <w:color w:val="111827"/>
                <w:sz w:val="21"/>
              </w:rPr>
              <w:t xml:space="preserve"> Defendida por </w:t>
            </w:r>
            <w:r>
              <w:rPr>
                <w:rFonts w:ascii="Arial" w:hAnsi="Arial"/>
                <w:b/>
                <w:i w:val="0"/>
                <w:color w:val="111827"/>
                <w:sz w:val="21"/>
              </w:rPr>
              <w:t>Taylor</w:t>
            </w:r>
            <w:r>
              <w:rPr>
                <w:rFonts w:ascii="Arial" w:hAnsi="Arial"/>
                <w:b w:val="0"/>
                <w:i w:val="0"/>
                <w:color w:val="111827"/>
                <w:sz w:val="21"/>
              </w:rPr>
              <w:t xml:space="preserve"> (o operário responde a vários supervisores especialistas em cada função técnica).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Unidade de Comando:</w:t>
            </w:r>
            <w:r>
              <w:rPr>
                <w:rFonts w:ascii="Arial" w:hAnsi="Arial"/>
                <w:b w:val="0"/>
                <w:i w:val="0"/>
                <w:color w:val="111827"/>
                <w:sz w:val="21"/>
              </w:rPr>
              <w:t xml:space="preserve"> Defendida categoricamente por </w:t>
            </w:r>
            <w:r>
              <w:rPr>
                <w:rFonts w:ascii="Arial" w:hAnsi="Arial"/>
                <w:b/>
                <w:i w:val="0"/>
                <w:color w:val="111827"/>
                <w:sz w:val="21"/>
              </w:rPr>
              <w:t>Fayol</w:t>
            </w:r>
            <w:r>
              <w:rPr>
                <w:rFonts w:ascii="Arial" w:hAnsi="Arial"/>
                <w:b w:val="0"/>
                <w:i w:val="0"/>
                <w:color w:val="111827"/>
                <w:sz w:val="21"/>
              </w:rPr>
              <w:t xml:space="preserve"> (cada funcionário só pode receber ordens de um único chefe direto, sob pena de gerar desordem, conflito de lealdades e anarquia).</w:t>
            </w:r>
          </w:p>
        </w:tc>
      </w:tr>
    </w:tbl>
    <w:p>
      <w:pPr>
        <w:spacing w:before="0" w:after="120"/>
      </w:pPr>
    </w:p>
    <w:p>
      <w:pPr>
        <w:keepNext/>
        <w:spacing w:before="200" w:after="80"/>
      </w:pPr>
      <w:r>
        <w:rPr>
          <w:rFonts w:ascii="Arial" w:hAnsi="Arial"/>
          <w:b/>
          <w:i w:val="0"/>
          <w:color w:val="2B6CB0"/>
          <w:sz w:val="24"/>
        </w:rPr>
        <w:t>3. Teoria das Relações Humanas (Elton Mayo) e a Experiência de Hawthorne</w:t>
      </w:r>
    </w:p>
    <w:p>
      <w:pPr>
        <w:spacing w:line="360" w:lineRule="auto" w:before="0" w:after="80"/>
        <w:jc w:val="both"/>
      </w:pPr>
      <w:r>
        <w:rPr>
          <w:rFonts w:ascii="Arial" w:hAnsi="Arial"/>
          <w:b w:val="0"/>
          <w:i w:val="0"/>
          <w:color w:val="111827"/>
          <w:sz w:val="24"/>
        </w:rPr>
        <w:t>Desenvolvida a partir de 1932 nos Estados Unidos, a Teoria das Relações Humanas representou uma profunda reação humanística e psicológica contra o mecanicismo da abordagem clássica. Os estudos foram coordenados por Elton Mayo na fábrica da Western Electric Company em Hawthorne (Chicago):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O Nível de Produção é Fruto da Integração Social:</w:t>
      </w:r>
      <w:r>
        <w:rPr>
          <w:rFonts w:ascii="Arial" w:hAnsi="Arial"/>
          <w:b w:val="0"/>
          <w:i w:val="0"/>
          <w:color w:val="111827"/>
          <w:sz w:val="22"/>
        </w:rPr>
        <w:t xml:space="preserve"> A capacidade de produção não é determinada por limites puramente físicos ou fisiológicos (como acreditava Taylor), mas pela integração social do trabalhador e pelo padrão de normas coletivas estabelecido pelo grupo.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Recompensas e Sanções Sociais:</w:t>
      </w:r>
      <w:r>
        <w:rPr>
          <w:rFonts w:ascii="Arial" w:hAnsi="Arial"/>
          <w:b w:val="0"/>
          <w:i w:val="0"/>
          <w:color w:val="111827"/>
          <w:sz w:val="22"/>
        </w:rPr>
        <w:t xml:space="preserve"> O trabalhador não se comporta como um átomo isolado motivado apenas por salário (</w:t>
      </w:r>
      <w:r>
        <w:rPr>
          <w:rFonts w:ascii="Arial" w:hAnsi="Arial"/>
          <w:b w:val="0"/>
          <w:i/>
          <w:color w:val="111827"/>
          <w:sz w:val="22"/>
        </w:rPr>
        <w:t>Homo Economicus</w:t>
      </w:r>
      <w:r>
        <w:rPr>
          <w:rFonts w:ascii="Arial" w:hAnsi="Arial"/>
          <w:b w:val="0"/>
          <w:i w:val="0"/>
          <w:color w:val="111827"/>
          <w:sz w:val="22"/>
        </w:rPr>
        <w:t xml:space="preserve">). Ele é um </w:t>
      </w:r>
      <w:r>
        <w:rPr>
          <w:rFonts w:ascii="Arial" w:hAnsi="Arial"/>
          <w:b/>
          <w:i w:val="0"/>
          <w:color w:val="111827"/>
          <w:sz w:val="22"/>
        </w:rPr>
        <w:t>Homo Socialis</w:t>
      </w:r>
      <w:r>
        <w:rPr>
          <w:rFonts w:ascii="Arial" w:hAnsi="Arial"/>
          <w:b w:val="0"/>
          <w:i w:val="0"/>
          <w:color w:val="111827"/>
          <w:sz w:val="22"/>
        </w:rPr>
        <w:t>, impulsionado pela necessidade de afeto, aprovação, prestígio e pertencimento social junto aos colegas de bancada.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Descoberta da Organização Informal:</w:t>
      </w:r>
      <w:r>
        <w:rPr>
          <w:rFonts w:ascii="Arial" w:hAnsi="Arial"/>
          <w:b w:val="0"/>
          <w:i w:val="0"/>
          <w:color w:val="111827"/>
          <w:sz w:val="22"/>
        </w:rPr>
        <w:t xml:space="preserve"> Paralelamente à estrutura formal e hierárquica desenhada no organograma da empresa, opera uma densa e espontânea </w:t>
      </w:r>
      <w:r>
        <w:rPr>
          <w:rFonts w:ascii="Arial" w:hAnsi="Arial"/>
          <w:b/>
          <w:i w:val="0"/>
          <w:color w:val="111827"/>
          <w:sz w:val="22"/>
        </w:rPr>
        <w:t>organização informal</w:t>
      </w:r>
      <w:r>
        <w:rPr>
          <w:rFonts w:ascii="Arial" w:hAnsi="Arial"/>
          <w:b w:val="0"/>
          <w:i w:val="0"/>
          <w:color w:val="111827"/>
          <w:sz w:val="22"/>
        </w:rPr>
        <w:t>, composta por redes de amizade, antipatias, códigos morais próprios, lideranças naturais e expectativas de cooperação não oficiais.</w:t>
      </w:r>
    </w:p>
    <w:p>
      <w:pPr>
        <w:keepNext/>
        <w:spacing w:before="200" w:after="80"/>
      </w:pPr>
      <w:r>
        <w:rPr>
          <w:rFonts w:ascii="Arial" w:hAnsi="Arial"/>
          <w:b/>
          <w:i w:val="0"/>
          <w:color w:val="2B6CB0"/>
          <w:sz w:val="24"/>
        </w:rPr>
        <w:t>4. Teoria da Burocracia (Max Weber) e as Disfunções Burocráticas (Robert Merton)</w:t>
      </w:r>
    </w:p>
    <w:p>
      <w:pPr>
        <w:spacing w:line="360" w:lineRule="auto" w:before="0" w:after="80"/>
        <w:jc w:val="both"/>
      </w:pPr>
      <w:r>
        <w:rPr>
          <w:rFonts w:ascii="Arial" w:hAnsi="Arial"/>
          <w:b w:val="0"/>
          <w:i w:val="0"/>
          <w:color w:val="111827"/>
          <w:sz w:val="24"/>
        </w:rPr>
        <w:t>Para Max Weber, a burocracia é a forma de organização social humana mais eficiente, técnica e racional para administrar grandes instituições e o Estado moderno.</w:t>
      </w:r>
    </w:p>
    <w:p>
      <w:pPr>
        <w:spacing w:after="120"/>
      </w:pPr>
    </w:p>
    <w:p>
      <w:pPr>
        <w:keepNext/>
        <w:spacing w:before="120" w:after="40"/>
      </w:pPr>
      <w:r>
        <w:rPr>
          <w:rFonts w:ascii="Arial" w:hAnsi="Arial"/>
          <w:b/>
          <w:i/>
          <w:color w:val="334155"/>
          <w:sz w:val="22"/>
        </w:rPr>
        <w:t>A) Características do Modelo Burocrático Puro: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Caráter legal e formal das normas:</w:t>
      </w:r>
      <w:r>
        <w:rPr>
          <w:rFonts w:ascii="Arial" w:hAnsi="Arial"/>
          <w:b w:val="0"/>
          <w:i w:val="0"/>
          <w:color w:val="111827"/>
          <w:sz w:val="22"/>
        </w:rPr>
        <w:t xml:space="preserve"> Comunicações, competências e rotinas são previamente fixadas em leis e regulamentos escritos.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Impessoalidade no tratamento:</w:t>
      </w:r>
      <w:r>
        <w:rPr>
          <w:rFonts w:ascii="Arial" w:hAnsi="Arial"/>
          <w:b w:val="0"/>
          <w:i w:val="0"/>
          <w:color w:val="111827"/>
          <w:sz w:val="22"/>
        </w:rPr>
        <w:t xml:space="preserve"> A autoridade vincula-se ao cargo e à lei, nunca à pessoa física que o ocupa. Direitos e deveres são aplicados de maneira uniforme, sem privilégios ou simpatias pessoais.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Hierarquia de autoridade clara:</w:t>
      </w:r>
      <w:r>
        <w:rPr>
          <w:rFonts w:ascii="Arial" w:hAnsi="Arial"/>
          <w:b w:val="0"/>
          <w:i w:val="0"/>
          <w:color w:val="111827"/>
          <w:sz w:val="22"/>
        </w:rPr>
        <w:t xml:space="preserve"> Cada cargo inferior está sob o controle e supervisão direta de um cargo superior (cadeia de comando nítida).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Profissionalização e Meritocracia:</w:t>
      </w:r>
      <w:r>
        <w:rPr>
          <w:rFonts w:ascii="Arial" w:hAnsi="Arial"/>
          <w:b w:val="0"/>
          <w:i w:val="0"/>
          <w:color w:val="111827"/>
          <w:sz w:val="22"/>
        </w:rPr>
        <w:t xml:space="preserve"> O funcionário é um especialista remunerado com base no cargo, com carreira estruturada e admitido com base no mérito demonstrado por meio de provas e concursos públicos.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Completa previsibilidade do funcionamento:</w:t>
      </w:r>
      <w:r>
        <w:rPr>
          <w:rFonts w:ascii="Arial" w:hAnsi="Arial"/>
          <w:b w:val="0"/>
          <w:i w:val="0"/>
          <w:color w:val="111827"/>
          <w:sz w:val="22"/>
        </w:rPr>
        <w:t xml:space="preserve"> Tudo é padronizado para que as decisões ocorram exatamente como previsto pelos regulamentos.</w:t>
      </w:r>
    </w:p>
    <w:p>
      <w:pPr>
        <w:keepNext/>
        <w:spacing w:before="120" w:after="40"/>
      </w:pPr>
      <w:r>
        <w:rPr>
          <w:rFonts w:ascii="Arial" w:hAnsi="Arial"/>
          <w:b/>
          <w:i/>
          <w:color w:val="334155"/>
          <w:sz w:val="22"/>
        </w:rPr>
        <w:t>B) Disfunções da Burocracia (Robert Merton):</w:t>
      </w:r>
    </w:p>
    <w:p>
      <w:pPr>
        <w:spacing w:line="360" w:lineRule="auto" w:before="0" w:after="80"/>
        <w:jc w:val="both"/>
      </w:pPr>
      <w:r>
        <w:rPr>
          <w:rFonts w:ascii="Arial" w:hAnsi="Arial"/>
          <w:b w:val="0"/>
          <w:i w:val="0"/>
          <w:color w:val="111827"/>
          <w:sz w:val="24"/>
        </w:rPr>
        <w:t>O sociólogo Robert Merton demonstrou que a tentativa de buscar o máximo de previsibilidade e conformidade gera anomalias patológicas indesejadas na prática gerencial: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**Deslocamento de Objetivos (</w:t>
      </w:r>
      <w:r>
        <w:rPr>
          <w:rFonts w:ascii="Arial" w:hAnsi="Arial"/>
          <w:b w:val="0"/>
          <w:i/>
          <w:color w:val="111827"/>
          <w:sz w:val="22"/>
        </w:rPr>
        <w:t>Goal Displacement</w:t>
      </w:r>
      <w:r>
        <w:rPr>
          <w:rFonts w:ascii="Arial" w:hAnsi="Arial"/>
          <w:b w:val="0"/>
          <w:i w:val="0"/>
          <w:color w:val="111827"/>
          <w:sz w:val="22"/>
        </w:rPr>
        <w:t>):** O apego cego e intransigente aos regulamentos faz com que o cumprimento formal da norma deixe de ser um meio e se torne o objetivo supremo do servidor. O funcionário atende a todas as formalidades burocráticas, mas não resolve a demanda real do cidadão.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Superconformidade e Rigidez Procedimental:</w:t>
      </w:r>
      <w:r>
        <w:rPr>
          <w:rFonts w:ascii="Arial" w:hAnsi="Arial"/>
          <w:b w:val="0"/>
          <w:i w:val="0"/>
          <w:color w:val="111827"/>
          <w:sz w:val="22"/>
        </w:rPr>
        <w:t xml:space="preserve"> Resistência categórica a qualquer inovação, flexibilização ou mudança de contexto.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**Excesso de Formalismo e Papelório (</w:t>
      </w:r>
      <w:r>
        <w:rPr>
          <w:rFonts w:ascii="Arial" w:hAnsi="Arial"/>
          <w:b w:val="0"/>
          <w:i/>
          <w:color w:val="111827"/>
          <w:sz w:val="22"/>
        </w:rPr>
        <w:t>Red Tape</w:t>
      </w:r>
      <w:r>
        <w:rPr>
          <w:rFonts w:ascii="Arial" w:hAnsi="Arial"/>
          <w:b w:val="0"/>
          <w:i w:val="0"/>
          <w:color w:val="111827"/>
          <w:sz w:val="22"/>
        </w:rPr>
        <w:t>):** Proliferação desmedida de formulários, assinaturas, carimbos e etapas que retardam o trâmite processual.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Despersonalização do Relacionamento:</w:t>
      </w:r>
      <w:r>
        <w:rPr>
          <w:rFonts w:ascii="Arial" w:hAnsi="Arial"/>
          <w:b w:val="0"/>
          <w:i w:val="0"/>
          <w:color w:val="111827"/>
          <w:sz w:val="22"/>
        </w:rPr>
        <w:t xml:space="preserve"> Tratamento frio, mecânico e estritamente padronizado dispensado aos cidadãos e colegas, desconsiderando particularidades humanas legítimas.</w:t>
      </w:r>
    </w:p>
    <w:p>
      <w:pPr>
        <w:keepNext/>
        <w:spacing w:before="200" w:after="80"/>
      </w:pPr>
      <w:r>
        <w:rPr>
          <w:rFonts w:ascii="Arial" w:hAnsi="Arial"/>
          <w:b/>
          <w:i w:val="0"/>
          <w:color w:val="2B6CB0"/>
          <w:sz w:val="24"/>
        </w:rPr>
        <w:t>5. Abordagem Comportamental: McGregor, Barnard e Herbert Simon</w:t>
      </w:r>
    </w:p>
    <w:p>
      <w:pPr>
        <w:spacing w:line="360" w:lineRule="auto" w:before="0" w:after="80"/>
        <w:jc w:val="both"/>
      </w:pPr>
      <w:r>
        <w:rPr>
          <w:rFonts w:ascii="Arial" w:hAnsi="Arial"/>
          <w:b w:val="0"/>
          <w:i w:val="0"/>
          <w:color w:val="111827"/>
          <w:sz w:val="24"/>
        </w:rPr>
        <w:t>A Teoria Comportamental (Behaviorista) consolidou-se na década de 1950, adotando uma perspectiva realista, empírica e democrática do homem nas organizações: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Douglas McGregor (Teoria X versus Teoria Y):</w:t>
      </w:r>
    </w:p>
    <w:p>
      <w:pPr>
        <w:spacing w:line="276" w:lineRule="auto" w:before="20" w:after="40"/>
        <w:ind w:left="992"/>
      </w:pPr>
      <w:r>
        <w:rPr>
          <w:rFonts w:ascii="Arial" w:hAnsi="Arial"/>
          <w:b/>
          <w:color w:val="2B6CB0"/>
          <w:sz w:val="22"/>
        </w:rPr>
        <w:t xml:space="preserve">• </w:t>
      </w:r>
      <w:r>
        <w:rPr>
          <w:rFonts w:ascii="Arial" w:hAnsi="Arial"/>
          <w:b/>
          <w:i w:val="0"/>
          <w:color w:val="111827"/>
          <w:sz w:val="22"/>
        </w:rPr>
        <w:t>Teoria X (Visão Tradicional e Pessimista):</w:t>
      </w:r>
      <w:r>
        <w:rPr>
          <w:rFonts w:ascii="Arial" w:hAnsi="Arial"/>
          <w:b w:val="0"/>
          <w:i w:val="0"/>
          <w:color w:val="111827"/>
          <w:sz w:val="22"/>
        </w:rPr>
        <w:t xml:space="preserve"> O indivíduo é preguiçoso, avesso ao trabalho, desprovido de ambição e evita responsabilidades. Exige supervisão cerrada, coerção, controle punitivo e recompensas pecuniárias extrínsecas.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Teoria Y (Visão Moderna e Otimista):</w:t>
      </w:r>
      <w:r>
        <w:rPr>
          <w:rFonts w:ascii="Arial" w:hAnsi="Arial"/>
          <w:b w:val="0"/>
          <w:i w:val="0"/>
          <w:color w:val="111827"/>
          <w:sz w:val="22"/>
        </w:rPr>
        <w:t xml:space="preserve"> O esforço no trabalho é tão natural quanto o lazer. As pessoas são capazes de automotivação, criatividade, autodireção e buscam responsabilidades quando alinhadas aos propósitos institucionais.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Chester Barnard (A Organização como Sistema Cooperativo):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Formulou a </w:t>
      </w:r>
      <w:r>
        <w:rPr>
          <w:rFonts w:ascii="Arial" w:hAnsi="Arial"/>
          <w:b/>
          <w:i w:val="0"/>
          <w:color w:val="111827"/>
          <w:sz w:val="22"/>
        </w:rPr>
        <w:t>Teoria da Aceitação da Autoridade</w:t>
      </w:r>
      <w:r>
        <w:rPr>
          <w:rFonts w:ascii="Arial" w:hAnsi="Arial"/>
          <w:b w:val="0"/>
          <w:i w:val="0"/>
          <w:color w:val="111827"/>
          <w:sz w:val="22"/>
        </w:rPr>
        <w:t>: a autoridade não flui compulsoriamente de cima para baixo. Ela só existe efetivamente quando o subordinado decide aceitar a ordem dada pelo superior, dentro de sua "zona de indiferença" (quando entende a ordem, julga-a compatível com os objetivos da organização e com seus valores pessoais).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Herbert Simon (Processo Decisório e Racionalidade Limitada):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Demonstrou que o gestor atua como o </w:t>
      </w:r>
      <w:r>
        <w:rPr>
          <w:rFonts w:ascii="Arial" w:hAnsi="Arial"/>
          <w:b/>
          <w:i w:val="0"/>
          <w:color w:val="111827"/>
          <w:sz w:val="22"/>
        </w:rPr>
        <w:t>Homem Administrativo</w:t>
      </w:r>
      <w:r>
        <w:rPr>
          <w:rFonts w:ascii="Arial" w:hAnsi="Arial"/>
          <w:b w:val="0"/>
          <w:i w:val="0"/>
          <w:color w:val="111827"/>
          <w:sz w:val="22"/>
        </w:rPr>
        <w:t xml:space="preserve">, tomando decisões </w:t>
      </w:r>
      <w:r>
        <w:rPr>
          <w:rFonts w:ascii="Arial" w:hAnsi="Arial"/>
          <w:b/>
          <w:i w:val="0"/>
          <w:color w:val="111827"/>
          <w:sz w:val="22"/>
        </w:rPr>
        <w:t>satisfatórias</w:t>
      </w:r>
      <w:r>
        <w:rPr>
          <w:rFonts w:ascii="Arial" w:hAnsi="Arial"/>
          <w:b w:val="0"/>
          <w:i w:val="0"/>
          <w:color w:val="111827"/>
          <w:sz w:val="22"/>
        </w:rPr>
        <w:t xml:space="preserve"> diante da escassez de tempo, imprecisão de dados e limitações de processamento cognitivo, sepultando o mito do </w:t>
      </w:r>
      <w:r>
        <w:rPr>
          <w:rFonts w:ascii="Arial" w:hAnsi="Arial"/>
          <w:b w:val="0"/>
          <w:i/>
          <w:color w:val="111827"/>
          <w:sz w:val="22"/>
        </w:rPr>
        <w:t>Homem Econômico</w:t>
      </w:r>
      <w:r>
        <w:rPr>
          <w:rFonts w:ascii="Arial" w:hAnsi="Arial"/>
          <w:b w:val="0"/>
          <w:i w:val="0"/>
          <w:color w:val="111827"/>
          <w:sz w:val="22"/>
        </w:rPr>
        <w:t xml:space="preserve"> maximizador.</w:t>
      </w:r>
    </w:p>
    <w:p>
      <w:pPr>
        <w:keepNext/>
        <w:spacing w:before="200" w:after="80"/>
      </w:pPr>
      <w:r>
        <w:rPr>
          <w:rFonts w:ascii="Arial" w:hAnsi="Arial"/>
          <w:b/>
          <w:i w:val="0"/>
          <w:color w:val="2B6CB0"/>
          <w:sz w:val="24"/>
        </w:rPr>
        <w:t>6. Teoria Geral dos Sistemas (TGS): A Organização como Sistema Aberto</w:t>
      </w:r>
    </w:p>
    <w:p>
      <w:pPr>
        <w:spacing w:line="360" w:lineRule="auto" w:before="0" w:after="80"/>
        <w:jc w:val="both"/>
      </w:pPr>
      <w:r>
        <w:rPr>
          <w:rFonts w:ascii="Arial" w:hAnsi="Arial"/>
          <w:b w:val="0"/>
          <w:i w:val="0"/>
          <w:color w:val="111827"/>
          <w:sz w:val="24"/>
        </w:rPr>
        <w:t xml:space="preserve">Formulada pelo biólogo Ludwig von Bertalanffy e aplicada às organizações por Katz e Kahn, a Teoria dos Sistemas concebe a organização não como uma máquina fechada, mas como um </w:t>
      </w:r>
      <w:r>
        <w:rPr>
          <w:rFonts w:ascii="Arial" w:hAnsi="Arial"/>
          <w:b/>
          <w:i w:val="0"/>
          <w:color w:val="111827"/>
          <w:sz w:val="24"/>
        </w:rPr>
        <w:t>sistema aberto</w:t>
      </w:r>
      <w:r>
        <w:rPr>
          <w:rFonts w:ascii="Arial" w:hAnsi="Arial"/>
          <w:b w:val="0"/>
          <w:i w:val="0"/>
          <w:color w:val="111827"/>
          <w:sz w:val="24"/>
        </w:rPr>
        <w:t xml:space="preserve"> em constante interação e intercâmbio com seu ecossistema externo:</w:t>
      </w:r>
    </w:p>
    <w:p>
      <w:pPr>
        <w:spacing w:after="120"/>
      </w:pPr>
    </w:p>
    <w:p>
      <w:pPr>
        <w:keepNext/>
        <w:spacing w:before="120" w:after="40"/>
      </w:pPr>
      <w:r>
        <w:rPr>
          <w:rFonts w:ascii="Arial" w:hAnsi="Arial"/>
          <w:b/>
          <w:i/>
          <w:color w:val="334155"/>
          <w:sz w:val="22"/>
        </w:rPr>
        <w:t>Conceitos Sistêmicos Fundamentais para Concursos: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Entropia:</w:t>
      </w:r>
      <w:r>
        <w:rPr>
          <w:rFonts w:ascii="Arial" w:hAnsi="Arial"/>
          <w:b w:val="0"/>
          <w:i w:val="0"/>
          <w:color w:val="111827"/>
          <w:sz w:val="22"/>
        </w:rPr>
        <w:t xml:space="preserve"> Lei termodinâmica universal pela qual os sistemas fechados tendem progressivamente à degradação, esgotamento, perda de energia e colapso funcional.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Entropia Negativa (Negentropia):</w:t>
      </w:r>
      <w:r>
        <w:rPr>
          <w:rFonts w:ascii="Arial" w:hAnsi="Arial"/>
          <w:b w:val="0"/>
          <w:i w:val="0"/>
          <w:color w:val="111827"/>
          <w:sz w:val="22"/>
        </w:rPr>
        <w:t xml:space="preserve"> Capacidade exclusiva dos </w:t>
      </w:r>
      <w:r>
        <w:rPr>
          <w:rFonts w:ascii="Arial" w:hAnsi="Arial"/>
          <w:b/>
          <w:i w:val="0"/>
          <w:color w:val="111827"/>
          <w:sz w:val="22"/>
        </w:rPr>
        <w:t>sistemas abertos</w:t>
      </w:r>
      <w:r>
        <w:rPr>
          <w:rFonts w:ascii="Arial" w:hAnsi="Arial"/>
          <w:b w:val="0"/>
          <w:i w:val="0"/>
          <w:color w:val="111827"/>
          <w:sz w:val="22"/>
        </w:rPr>
        <w:t xml:space="preserve"> de importar do ambiente externo recursos energéticos, materiais, financeiros e informacionais para combater a degeneração e preservar sua estrutura operacional viva e organizada.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Homeostase Dinâmica:</w:t>
      </w:r>
      <w:r>
        <w:rPr>
          <w:rFonts w:ascii="Arial" w:hAnsi="Arial"/>
          <w:b w:val="0"/>
          <w:i w:val="0"/>
          <w:color w:val="111827"/>
          <w:sz w:val="22"/>
        </w:rPr>
        <w:t xml:space="preserve"> Capacidade de autorregulação e manutenção do equilíbrio interno e da estabilidade organizacional frente às perturbações e flutuações do ambiente externo.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Equifinalidade:</w:t>
      </w:r>
      <w:r>
        <w:rPr>
          <w:rFonts w:ascii="Arial" w:hAnsi="Arial"/>
          <w:b w:val="0"/>
          <w:i w:val="0"/>
          <w:color w:val="111827"/>
          <w:sz w:val="22"/>
        </w:rPr>
        <w:t xml:space="preserve"> Princípio segundo o qual um sistema aberto pode alcançar o mesmo estado final ou meta institucional partindo de condições iniciais distintas e percorrendo caminhos de processamento totalmente diferentes.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Sinergia:</w:t>
      </w:r>
      <w:r>
        <w:rPr>
          <w:rFonts w:ascii="Arial" w:hAnsi="Arial"/>
          <w:b w:val="0"/>
          <w:i w:val="0"/>
          <w:color w:val="111827"/>
          <w:sz w:val="22"/>
        </w:rPr>
        <w:t xml:space="preserve"> O efeito multiplicador da cooperação sistêmica, no qual o resultado global do todo integrado é qualitativa e quantitativamente superior à simples soma das partes isoladas (</w:t>
      </w:r>
      <w:r>
        <w:rPr>
          <w:rFonts w:ascii="Cambria Math" w:hAnsi="Cambria Math"/>
          <w:i/>
          <w:color w:val="1B365D"/>
          <w:sz w:val="22"/>
        </w:rPr>
        <w:t>1 + 1 &gt; 2</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(ENTROPIA NEGATIVA VS. HOMEOSTASE DINÂMICA):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Entropia Negativa (Negentropia):</w:t>
            </w:r>
            <w:r>
              <w:rPr>
                <w:rFonts w:ascii="Arial" w:hAnsi="Arial"/>
                <w:b w:val="0"/>
                <w:i w:val="0"/>
                <w:color w:val="111827"/>
                <w:sz w:val="21"/>
              </w:rPr>
              <w:t xml:space="preserve"> É o processo de </w:t>
            </w:r>
            <w:r>
              <w:rPr>
                <w:rFonts w:ascii="Arial" w:hAnsi="Arial"/>
                <w:b/>
                <w:i w:val="0"/>
                <w:color w:val="111827"/>
                <w:sz w:val="21"/>
              </w:rPr>
              <w:t>importar energia/recursos de fora</w:t>
            </w:r>
            <w:r>
              <w:rPr>
                <w:rFonts w:ascii="Arial" w:hAnsi="Arial"/>
                <w:b w:val="0"/>
                <w:i w:val="0"/>
                <w:color w:val="111827"/>
                <w:sz w:val="21"/>
              </w:rPr>
              <w:t xml:space="preserve"> para não entrar em colapso (combate o desgaste natural).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Homeostase Dinâmica:</w:t>
            </w:r>
            <w:r>
              <w:rPr>
                <w:rFonts w:ascii="Arial" w:hAnsi="Arial"/>
                <w:b w:val="0"/>
                <w:i w:val="0"/>
                <w:color w:val="111827"/>
                <w:sz w:val="21"/>
              </w:rPr>
              <w:t xml:space="preserve"> É a capacidade interna de </w:t>
            </w:r>
            <w:r>
              <w:rPr>
                <w:rFonts w:ascii="Arial" w:hAnsi="Arial"/>
                <w:b/>
                <w:i w:val="0"/>
                <w:color w:val="111827"/>
                <w:sz w:val="21"/>
              </w:rPr>
              <w:t>manter o equilíbrio e estabilidade</w:t>
            </w:r>
            <w:r>
              <w:rPr>
                <w:rFonts w:ascii="Arial" w:hAnsi="Arial"/>
                <w:b w:val="0"/>
                <w:i w:val="0"/>
                <w:color w:val="111827"/>
                <w:sz w:val="21"/>
              </w:rPr>
              <w:t>, ajustando o organismo às variações do ambiente.</w:t>
            </w:r>
          </w:p>
        </w:tc>
      </w:tr>
    </w:tbl>
    <w:p>
      <w:pPr>
        <w:spacing w:before="0" w:after="120"/>
      </w:pPr>
    </w:p>
    <w:p>
      <w:pPr>
        <w:keepNext/>
        <w:spacing w:before="200" w:after="80"/>
      </w:pPr>
      <w:r>
        <w:rPr>
          <w:rFonts w:ascii="Arial" w:hAnsi="Arial"/>
          <w:b/>
          <w:i w:val="0"/>
          <w:color w:val="2B6CB0"/>
          <w:sz w:val="24"/>
        </w:rPr>
        <w:t>7. Teoria Contingencial: Sistemas Mecanicistas vs. Orgânicos</w:t>
      </w:r>
    </w:p>
    <w:p>
      <w:pPr>
        <w:spacing w:line="360" w:lineRule="auto" w:before="0" w:after="80"/>
        <w:jc w:val="both"/>
      </w:pPr>
      <w:r>
        <w:rPr>
          <w:rFonts w:ascii="Arial" w:hAnsi="Arial"/>
          <w:b w:val="0"/>
          <w:i w:val="0"/>
          <w:color w:val="111827"/>
          <w:sz w:val="24"/>
        </w:rPr>
        <w:t xml:space="preserve">Surgida no final dos anos 1960 a partir das pesquisas de Joan Woodward, Tom Burns, G. M. Stalker, Paul Lawrence e Jay Lorsch, a Teoria Contingencial estabelece o postulado de que </w:t>
      </w:r>
      <w:r>
        <w:rPr>
          <w:rFonts w:ascii="Arial" w:hAnsi="Arial"/>
          <w:b/>
          <w:i w:val="0"/>
          <w:color w:val="111827"/>
          <w:sz w:val="24"/>
        </w:rPr>
        <w:t>"nada é absoluto nas organizações; tudo é relativo"</w:t>
      </w:r>
      <w:r>
        <w:rPr>
          <w:rFonts w:ascii="Arial" w:hAnsi="Arial"/>
          <w:b w:val="0"/>
          <w:i w:val="0"/>
          <w:color w:val="111827"/>
          <w:sz w:val="24"/>
        </w:rPr>
        <w:t>. A eficácia gerencial depende (</w:t>
      </w:r>
      <w:r>
        <w:rPr>
          <w:rFonts w:ascii="Arial" w:hAnsi="Arial"/>
          <w:b w:val="0"/>
          <w:i/>
          <w:color w:val="111827"/>
          <w:sz w:val="24"/>
        </w:rPr>
        <w:t>é contingente</w:t>
      </w:r>
      <w:r>
        <w:rPr>
          <w:rFonts w:ascii="Arial" w:hAnsi="Arial"/>
          <w:b w:val="0"/>
          <w:i w:val="0"/>
          <w:color w:val="111827"/>
          <w:sz w:val="24"/>
        </w:rPr>
        <w:t>) da adequação entre a estrutura interna e as variáveis do ambiente externo e da tecnologia utilizada:</w:t>
      </w:r>
    </w:p>
    <w:p>
      <w:pPr>
        <w:spacing w:after="120"/>
      </w:pPr>
    </w:p>
    <w:p>
      <w:pPr>
        <w:keepNext/>
        <w:spacing w:before="120" w:after="40"/>
      </w:pPr>
      <w:r>
        <w:rPr>
          <w:rFonts w:ascii="Arial" w:hAnsi="Arial"/>
          <w:b/>
          <w:i/>
          <w:color w:val="334155"/>
          <w:sz w:val="22"/>
        </w:rPr>
        <w:t>Comparação Estrutural (Burns &amp; Stalker):</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Sistemas Mecanicistas (Ambiente Estável)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Sistemas Orgânicos (Ambiente Instável/Dinâmico)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Estrutura Organizacional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Burocrática, verticalizada, piramidal e rígida.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Flexível, horizontalizada, em rede e achatada.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Divisão do Trabalho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Tarefas altamente fragmentadas, rotineiras e especializadas.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Tarefas amplas, integradas e continuamente redefinidas.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Cadeia de Comando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Hierarquia formal rígida; respeito estrito à autoridade escalar.</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Autoridade baseada no conhecimento técnico e competência.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Fluxo de Comunicação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Predominantemente vertical descendente (ordens e instruções).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Multidirecional (horizontal, diagonal, lateral e aberta).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Tomada de Decisão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Fortemente centralizada na cúpula diretiva superior.</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Amplamente descentralizada próxima à base de execução.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Adequação Típica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Ambientes estáveis, mercados previsíveis e tecnologia padronizada.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Ambientes altamente turbulentos, mutáveis e inovadores.</w:t>
            </w:r>
          </w:p>
        </w:tc>
      </w:tr>
    </w:tbl>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(TEORIA CONTINGENCIAL E O "THE ONE BEST WAY"):</w:t>
            </w:r>
          </w:p>
          <w:p>
            <w:pPr>
              <w:spacing w:line="288" w:lineRule="auto" w:before="40" w:after="40"/>
            </w:pPr>
            <w:r>
              <w:rPr>
                <w:rFonts w:ascii="Arial" w:hAnsi="Arial"/>
                <w:b w:val="0"/>
                <w:i w:val="0"/>
                <w:color w:val="111827"/>
                <w:sz w:val="21"/>
              </w:rPr>
              <w:t>Taylor pregava a existência da "única melhor maneira" (</w:t>
            </w:r>
            <w:r>
              <w:rPr>
                <w:rFonts w:ascii="Arial" w:hAnsi="Arial"/>
                <w:b w:val="0"/>
                <w:i/>
                <w:color w:val="111827"/>
                <w:sz w:val="21"/>
              </w:rPr>
              <w:t>the one best way</w:t>
            </w:r>
            <w:r>
              <w:rPr>
                <w:rFonts w:ascii="Arial" w:hAnsi="Arial"/>
                <w:b w:val="0"/>
                <w:i w:val="0"/>
                <w:color w:val="111827"/>
                <w:sz w:val="21"/>
              </w:rPr>
              <w:t xml:space="preserve">) de executar qualquer trabalho. A Teoria Contingencial </w:t>
            </w:r>
            <w:r>
              <w:rPr>
                <w:rFonts w:ascii="Arial" w:hAnsi="Arial"/>
                <w:b/>
                <w:i w:val="0"/>
                <w:color w:val="111827"/>
                <w:sz w:val="21"/>
              </w:rPr>
              <w:t>nega frontalmente</w:t>
            </w:r>
            <w:r>
              <w:rPr>
                <w:rFonts w:ascii="Arial" w:hAnsi="Arial"/>
                <w:b w:val="0"/>
                <w:i w:val="0"/>
                <w:color w:val="111827"/>
                <w:sz w:val="21"/>
              </w:rPr>
              <w:t xml:space="preserve"> esse dogma, sustentando que </w:t>
            </w:r>
            <w:r>
              <w:rPr>
                <w:rFonts w:ascii="Arial" w:hAnsi="Arial"/>
                <w:b/>
                <w:i w:val="0"/>
                <w:color w:val="111827"/>
                <w:sz w:val="21"/>
              </w:rPr>
              <w:t>não existe um modelo organizacional ou método gerencial único e universalmente aplicável</w:t>
            </w:r>
            <w:r>
              <w:rPr>
                <w:rFonts w:ascii="Arial" w:hAnsi="Arial"/>
                <w:b w:val="0"/>
                <w:i w:val="0"/>
                <w:color w:val="111827"/>
                <w:sz w:val="21"/>
              </w:rPr>
              <w:t>, pois o formato ideal dependerá sempre das variáveis ambientais e tecnológicas envolvidas.</w:t>
            </w:r>
          </w:p>
        </w:tc>
      </w:tr>
    </w:tbl>
    <w:p>
      <w:pPr>
        <w:spacing w:before="0" w:after="120"/>
      </w:pPr>
    </w:p>
    <w:p>
      <w:pPr>
        <w:keepNext/>
        <w:spacing w:before="200" w:after="80"/>
      </w:pPr>
      <w:r>
        <w:rPr>
          <w:rFonts w:ascii="Arial" w:hAnsi="Arial"/>
          <w:b/>
          <w:i w:val="0"/>
          <w:color w:val="2B6CB0"/>
          <w:sz w:val="24"/>
        </w:rPr>
        <w:t>8. Metáforas Organizacionais de Gareth Morgan</w:t>
      </w:r>
    </w:p>
    <w:p>
      <w:pPr>
        <w:spacing w:line="360" w:lineRule="auto" w:before="0" w:after="80"/>
        <w:jc w:val="both"/>
      </w:pPr>
      <w:r>
        <w:rPr>
          <w:rFonts w:ascii="Arial" w:hAnsi="Arial"/>
          <w:b w:val="0"/>
          <w:i w:val="0"/>
          <w:color w:val="111827"/>
          <w:sz w:val="24"/>
        </w:rPr>
        <w:t xml:space="preserve">Em sua clássica obra </w:t>
      </w:r>
      <w:r>
        <w:rPr>
          <w:rFonts w:ascii="Arial" w:hAnsi="Arial"/>
          <w:b w:val="0"/>
          <w:i/>
          <w:color w:val="111827"/>
          <w:sz w:val="24"/>
        </w:rPr>
        <w:t>Imagens da Organização</w:t>
      </w:r>
      <w:r>
        <w:rPr>
          <w:rFonts w:ascii="Arial" w:hAnsi="Arial"/>
          <w:b w:val="0"/>
          <w:i w:val="0"/>
          <w:color w:val="111827"/>
          <w:sz w:val="24"/>
        </w:rPr>
        <w:t>, Gareth Morgan demonstra que as organizações podem ser concebidas e gerenciadas sob diferentes lentes metafóricas, cada qual ressaltando uma faceta da realidade institucional:</w:t>
      </w:r>
    </w:p>
    <w:p>
      <w:pPr>
        <w:spacing w:after="120"/>
      </w:pPr>
    </w:p>
    <w:p>
      <w:pPr>
        <w:keepNext/>
        <w:spacing w:before="200" w:after="80"/>
      </w:pPr>
      <w:r>
        <w:rPr>
          <w:rFonts w:ascii="Arial" w:hAnsi="Arial"/>
          <w:b/>
          <w:i w:val="0"/>
          <w:color w:val="2B6CB0"/>
          <w:sz w:val="24"/>
        </w:rPr>
        <w:t>9.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CHIAVENATO, Idalberto. Introdução à Teoria Geral da Administração: uma visão abrangente da moderna administração das organizações. 10ª Edição. Atlas.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FAYOL, Henri. Administração Industrial e Geral. Editora Atlas.</w:t>
      </w:r>
      <w:r>
        <w:rPr>
          <w:rFonts w:ascii="Arial" w:hAnsi="Arial"/>
          <w:b w:val="0"/>
          <w:i w:val="0"/>
          <w:color w:val="111827"/>
          <w:sz w:val="22"/>
        </w:rPr>
        <w:t xml:space="preserve"> - Princípios gerais e funções administrativas.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TAYLOR, Frederick Winslow. Princípios de Administração Científica. Editora Atlas.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MORGAN, Gareth. Imagens da Organização. Editora Atlas.</w:t>
      </w:r>
      <w:r>
        <w:rPr>
          <w:rFonts w:ascii="Arial" w:hAnsi="Arial"/>
          <w:b w:val="0"/>
          <w:i w:val="0"/>
          <w:color w:val="111827"/>
          <w:sz w:val="22"/>
        </w:rPr>
        <w:t xml:space="preserve"> - As metáforas organizacionais.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BERTALANFFY, Ludwig von. Teoria Geral dos Sistemas: Fundamentos, Desenvolvimento e Aplicações. Editora Vozes.</w:t>
      </w:r>
      <w:r>
        <w:rPr>
          <w:rFonts w:ascii="Arial" w:hAnsi="Arial"/>
          <w:b w:val="0"/>
          <w:i w:val="0"/>
          <w:color w:val="111827"/>
          <w:sz w:val="22"/>
        </w:rPr>
        <w:t>.</w:t>
      </w:r>
    </w:p>
    <w:p>
      <w:pPr>
        <w:keepNext/>
        <w:spacing w:before="200" w:after="80"/>
      </w:pPr>
      <w:r>
        <w:rPr>
          <w:rFonts w:ascii="Arial" w:hAnsi="Arial"/>
          <w:b/>
          <w:i w:val="0"/>
          <w:color w:val="2B6CB0"/>
          <w:sz w:val="24"/>
        </w:rPr>
        <w:t>10.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A respeito da evolução do pensamento administrativo e das premissas sustentadas pelas diferentes escolas da Teoria Geral da Administração,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Teoria das Relações Humanas concebia o trabalhador como o </w:t>
      </w:r>
      <w:r>
        <w:rPr>
          <w:rFonts w:ascii="Arial" w:hAnsi="Arial"/>
          <w:b w:val="0"/>
          <w:i/>
          <w:color w:val="111827"/>
          <w:sz w:val="22"/>
        </w:rPr>
        <w:t>Homo Economicus</w:t>
      </w:r>
      <w:r>
        <w:rPr>
          <w:rFonts w:ascii="Arial" w:hAnsi="Arial"/>
          <w:b w:val="0"/>
          <w:i w:val="0"/>
          <w:color w:val="111827"/>
          <w:sz w:val="22"/>
        </w:rPr>
        <w:t>, sustentando que a produtividade fabril dependia exclusivamente dos estímulos pecuniários e incentivos salariais por peça produzida.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Teoria Contingencial defende a universalidade dos princípios administrativos, afirmando que existe uma única melhor maneira (</w:t>
      </w:r>
      <w:r>
        <w:rPr>
          <w:rFonts w:ascii="Arial" w:hAnsi="Arial"/>
          <w:b w:val="0"/>
          <w:i/>
          <w:color w:val="111827"/>
          <w:sz w:val="22"/>
        </w:rPr>
        <w:t>the one best way</w:t>
      </w:r>
      <w:r>
        <w:rPr>
          <w:rFonts w:ascii="Arial" w:hAnsi="Arial"/>
          <w:b w:val="0"/>
          <w:i w:val="0"/>
          <w:color w:val="111827"/>
          <w:sz w:val="22"/>
        </w:rPr>
        <w:t>) de gerenciar qualquer organização, independentemente do ambiente externo.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Teoria Geral dos Sistemas postula que as organizações operam como sistemas abertos dotados de entropia negativa, o que lhes permite importar recursos e informações do ambiente externo para conter a tendência natural de degradação e manter sua integridade interna.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Teoria Clássica preconizada por Henri Fayol refutou a unidade de comando, defendendo a supervisão funcional de múltiplos chefes proposta outrora pela administração científica.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modelo weberiano de burocracia baseia-se na autoridade carismática como esteio fundamental para a profissionalização e estabilidade do quadro funcional das organizações.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conceito de </w:t>
            </w:r>
            <w:r>
              <w:rPr>
                <w:rFonts w:ascii="Arial" w:hAnsi="Arial"/>
                <w:b w:val="0"/>
                <w:i/>
                <w:color w:val="111827"/>
                <w:sz w:val="21"/>
              </w:rPr>
              <w:t>Homo Economicus</w:t>
            </w:r>
            <w:r>
              <w:rPr>
                <w:rFonts w:ascii="Arial" w:hAnsi="Arial"/>
                <w:b w:val="0"/>
                <w:i w:val="0"/>
                <w:color w:val="111827"/>
                <w:sz w:val="21"/>
              </w:rPr>
              <w:t xml:space="preserve"> pertence à Administração Científica (Taylor) e Teoria Clássica (Fayol). A Escola de Relações Humanas (Mayo) concebeu o trabalhador como </w:t>
            </w:r>
            <w:r>
              <w:rPr>
                <w:rFonts w:ascii="Arial" w:hAnsi="Arial"/>
                <w:b/>
                <w:i w:val="0"/>
                <w:color w:val="111827"/>
                <w:sz w:val="21"/>
              </w:rPr>
              <w:t>Homo Socialis</w:t>
            </w:r>
            <w:r>
              <w:rPr>
                <w:rFonts w:ascii="Arial" w:hAnsi="Arial"/>
                <w:b w:val="0"/>
                <w:i w:val="0"/>
                <w:color w:val="111827"/>
                <w:sz w:val="21"/>
              </w:rPr>
              <w:t xml:space="preserve"> (motivado pelo grupo e integração social).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Teoria Contingencial rejeita a existência de princípios universais ou de uma "melhor maneira" única, afirmando que a estrutura adequada depende da tecnologia e do ambiente.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Na Teoria Geral dos Sistemas, as organizações são concebidas como </w:t>
            </w:r>
            <w:r>
              <w:rPr>
                <w:rFonts w:ascii="Arial" w:hAnsi="Arial"/>
                <w:b/>
                <w:i w:val="0"/>
                <w:color w:val="111827"/>
                <w:sz w:val="21"/>
              </w:rPr>
              <w:t>sistemas abertos</w:t>
            </w:r>
            <w:r>
              <w:rPr>
                <w:rFonts w:ascii="Arial" w:hAnsi="Arial"/>
                <w:b w:val="0"/>
                <w:i w:val="0"/>
                <w:color w:val="111827"/>
                <w:sz w:val="21"/>
              </w:rPr>
              <w:t xml:space="preserve"> que realizam trocas permanentes com o meio externo e possuem </w:t>
            </w:r>
            <w:r>
              <w:rPr>
                <w:rFonts w:ascii="Arial" w:hAnsi="Arial"/>
                <w:b/>
                <w:i w:val="0"/>
                <w:color w:val="111827"/>
                <w:sz w:val="21"/>
              </w:rPr>
              <w:t>entropia negativa (negentropia)</w:t>
            </w:r>
            <w:r>
              <w:rPr>
                <w:rFonts w:ascii="Arial" w:hAnsi="Arial"/>
                <w:b w:val="0"/>
                <w:i w:val="0"/>
                <w:color w:val="111827"/>
                <w:sz w:val="21"/>
              </w:rPr>
              <w:t>, ou seja, a capacidade de importar insumos e energia para deter o colapso e preservar a homeostase interna.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Fayol era o defensor categórico da </w:t>
            </w:r>
            <w:r>
              <w:rPr>
                <w:rFonts w:ascii="Arial" w:hAnsi="Arial"/>
                <w:b/>
                <w:i w:val="0"/>
                <w:color w:val="111827"/>
                <w:sz w:val="21"/>
              </w:rPr>
              <w:t>Unidade de Comando</w:t>
            </w:r>
            <w:r>
              <w:rPr>
                <w:rFonts w:ascii="Arial" w:hAnsi="Arial"/>
                <w:b w:val="0"/>
                <w:i w:val="0"/>
                <w:color w:val="111827"/>
                <w:sz w:val="21"/>
              </w:rPr>
              <w:t xml:space="preserve"> (um único chefe direto); a supervisão funcional pertencia a Taylor.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burocracia weberiana sustenta-se exclusivamente na </w:t>
            </w:r>
            <w:r>
              <w:rPr>
                <w:rFonts w:ascii="Arial" w:hAnsi="Arial"/>
                <w:b/>
                <w:i w:val="0"/>
                <w:color w:val="111827"/>
                <w:sz w:val="21"/>
              </w:rPr>
              <w:t>autoridade racional-legal</w:t>
            </w:r>
            <w:r>
              <w:rPr>
                <w:rFonts w:ascii="Arial" w:hAnsi="Arial"/>
                <w:b w:val="0"/>
                <w:i w:val="0"/>
                <w:color w:val="111827"/>
                <w:sz w:val="21"/>
              </w:rPr>
              <w:t xml:space="preserve"> (leis, normas escritas e impessoalidade), e não na autoridade carismática.</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TCE-RS – Auditor de Controle Externo)</w:t>
      </w:r>
    </w:p>
    <w:p>
      <w:pPr>
        <w:spacing w:line="360" w:lineRule="auto" w:before="0" w:after="80"/>
        <w:jc w:val="both"/>
      </w:pPr>
      <w:r>
        <w:rPr>
          <w:rFonts w:ascii="Arial" w:hAnsi="Arial"/>
          <w:b w:val="0"/>
          <w:i w:val="0"/>
          <w:color w:val="111827"/>
          <w:sz w:val="24"/>
        </w:rPr>
        <w:t>Em sua consagrada obra sobre metáforas organizacionais, Gareth Morgan analisa as diversas imagens conceituais utilizadas para compreender o funcionamento das instituições. Ao retratar a organização sob a metáfora de uma máquina, o autor alinha-se prioritariamente às ideias sustentadas por: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Elton Mayo e a Escola das Relações Humanas.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Frederick Taylor e Henri Fayol nas abordagens mecanicistas clássicas.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Ludwig von Bertalanffy e a Teoria Geral dos Sistemas.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Peter Senge e a teoria das organizações que aprendem.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Joan Woodward e os teóricos da abordagem situacional contemporânea.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Elton Mayo inaugurou a abordagem humanística focada no comportamento grupal e nas necessidades psicossociais.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w:t>
            </w:r>
            <w:r>
              <w:rPr>
                <w:rFonts w:ascii="Arial" w:hAnsi="Arial"/>
                <w:b/>
                <w:i w:val="0"/>
                <w:color w:val="111827"/>
                <w:sz w:val="21"/>
              </w:rPr>
              <w:t>metáfora da máquina</w:t>
            </w:r>
            <w:r>
              <w:rPr>
                <w:rFonts w:ascii="Arial" w:hAnsi="Arial"/>
                <w:b w:val="0"/>
                <w:i w:val="0"/>
                <w:color w:val="111827"/>
                <w:sz w:val="21"/>
              </w:rPr>
              <w:t xml:space="preserve"> proposta por Morgan reflete a concepção mecanicista do início do século XX encabeçada por </w:t>
            </w:r>
            <w:r>
              <w:rPr>
                <w:rFonts w:ascii="Arial" w:hAnsi="Arial"/>
                <w:b/>
                <w:i w:val="0"/>
                <w:color w:val="111827"/>
                <w:sz w:val="21"/>
              </w:rPr>
              <w:t>Taylor (Administração Científica)</w:t>
            </w:r>
            <w:r>
              <w:rPr>
                <w:rFonts w:ascii="Arial" w:hAnsi="Arial"/>
                <w:b w:val="0"/>
                <w:i w:val="0"/>
                <w:color w:val="111827"/>
                <w:sz w:val="21"/>
              </w:rPr>
              <w:t xml:space="preserve"> e </w:t>
            </w:r>
            <w:r>
              <w:rPr>
                <w:rFonts w:ascii="Arial" w:hAnsi="Arial"/>
                <w:b/>
                <w:i w:val="0"/>
                <w:color w:val="111827"/>
                <w:sz w:val="21"/>
              </w:rPr>
              <w:t>Fayol (Teoria Clássica)</w:t>
            </w:r>
            <w:r>
              <w:rPr>
                <w:rFonts w:ascii="Arial" w:hAnsi="Arial"/>
                <w:b w:val="0"/>
                <w:i w:val="0"/>
                <w:color w:val="111827"/>
                <w:sz w:val="21"/>
              </w:rPr>
              <w:t>, na qual a instituição é planejada como uma engrenagem mecânica precisa, projetada para funcionar com rotina, previsibilidade e máxima eficiência padronizada.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Teoria dos Sistemas utiliza prioritariamente a metáfora dos organismos vivos.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As organizações que aprendem (</w:t>
            </w:r>
            <w:r>
              <w:rPr>
                <w:rFonts w:ascii="Arial" w:hAnsi="Arial"/>
                <w:b w:val="0"/>
                <w:i/>
                <w:color w:val="111827"/>
                <w:sz w:val="21"/>
              </w:rPr>
              <w:t>learning organizations</w:t>
            </w:r>
            <w:r>
              <w:rPr>
                <w:rFonts w:ascii="Arial" w:hAnsi="Arial"/>
                <w:b w:val="0"/>
                <w:i w:val="0"/>
                <w:color w:val="111827"/>
                <w:sz w:val="21"/>
              </w:rPr>
              <w:t>) são retratadas sob a metáfora dos cérebros.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abordagem situacional enfatiza a adaptabilidade contingencial ao meio ambiente.</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TRT-20ª Região – Analista Judiciário: Área Administrativa)</w:t>
      </w:r>
    </w:p>
    <w:p>
      <w:pPr>
        <w:spacing w:line="360" w:lineRule="auto" w:before="0" w:after="80"/>
        <w:jc w:val="both"/>
      </w:pPr>
      <w:r>
        <w:rPr>
          <w:rFonts w:ascii="Arial" w:hAnsi="Arial"/>
          <w:b w:val="0"/>
          <w:i w:val="0"/>
          <w:color w:val="111827"/>
          <w:sz w:val="24"/>
        </w:rPr>
        <w:t>Considere que um gestor público de departamento estadual dividiu as rotinas de trabalho em tarefas elementares repetitivas, cronometrou os tempos de digitação de cada processo e estipulou uma premiação pecuniária individual para os servidores que superassem a meta diária de processos autuados, partindo da premissa de que os indivíduos trabalham motivados exclusivamente pelo ganho monetário. Essa postura gerencial reflete diretamente os postulados 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Teoria das Relações Humanas e a busca pela integração grupal informal.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Administração Científica de Taylor e a concepção do </w:t>
      </w:r>
      <w:r>
        <w:rPr>
          <w:rFonts w:ascii="Arial" w:hAnsi="Arial"/>
          <w:b w:val="0"/>
          <w:i/>
          <w:color w:val="111827"/>
          <w:sz w:val="22"/>
        </w:rPr>
        <w:t>Homo Economicus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Teoria Estruturalista e a mediação de conflitos institucionais inevitáveis.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Teoria Geral dos Sistemas e a busca pela homeostase dinâmica.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Teoria Comportamental fundamentada na Teoria Y de Douglas McGregor.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As Relações Humanas valorizam o reconhecimento social e os grupos informais, rejeitando a primazia do dinheiro como motivador único.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w:t>
            </w:r>
            <w:r>
              <w:rPr>
                <w:rFonts w:ascii="Arial" w:hAnsi="Arial"/>
                <w:b/>
                <w:i w:val="0"/>
                <w:color w:val="111827"/>
                <w:sz w:val="21"/>
              </w:rPr>
              <w:t>Administração Científica de Frederick Taylor</w:t>
            </w:r>
            <w:r>
              <w:rPr>
                <w:rFonts w:ascii="Arial" w:hAnsi="Arial"/>
                <w:b w:val="0"/>
                <w:i w:val="0"/>
                <w:color w:val="111827"/>
                <w:sz w:val="21"/>
              </w:rPr>
              <w:t xml:space="preserve"> baseava-se no estudo sistemático dos tempos e movimentos (ORT), fragmentação máxima das tarefas e estímulo pecuniário através do pagamento por produção individual, alicerçada no postulado antropológico do </w:t>
            </w:r>
            <w:r>
              <w:rPr>
                <w:rFonts w:ascii="Arial" w:hAnsi="Arial"/>
                <w:b/>
                <w:i w:val="0"/>
                <w:color w:val="111827"/>
                <w:sz w:val="21"/>
              </w:rPr>
              <w:t>Homo Economicus</w:t>
            </w:r>
            <w:r>
              <w:rPr>
                <w:rFonts w:ascii="Arial" w:hAnsi="Arial"/>
                <w:b w:val="0"/>
                <w:i w:val="0"/>
                <w:color w:val="111827"/>
                <w:sz w:val="21"/>
              </w:rPr>
              <w:t xml:space="preserve"> (o ser humano é preguiçoso e move-se unicamente pela busca do ganho material/financeiro).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abordagem estruturalista foca na interação entre estruturas formais e informais e no papel dos conflitos.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teoria sistêmica foca no equilíbrio com o ambiente externo e fluxo de insumos/produtos.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Teoria Y de McGregor sustenta que as pessoas são naturalmente motivadas, criativas e buscam autorrealização no trabalho.</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SEFAZ-PE – Auditor Fiscal do Tesouro Estadual)</w:t>
      </w:r>
    </w:p>
    <w:p>
      <w:pPr>
        <w:spacing w:line="360" w:lineRule="auto" w:before="0" w:after="80"/>
        <w:jc w:val="both"/>
      </w:pPr>
      <w:r>
        <w:rPr>
          <w:rFonts w:ascii="Arial" w:hAnsi="Arial"/>
          <w:b w:val="0"/>
          <w:i w:val="0"/>
          <w:color w:val="111827"/>
          <w:sz w:val="24"/>
        </w:rPr>
        <w:t>No âmbito da Teoria Burocrática desenvolvida por Max Weber, o modelo ideal de burocracia é fundamentado no tipo de dominação racional-legal. No entanto, autores pós-weberianos como Robert Merton identificaram que a aplicação prática desse modelo suscita desvios conhecidos como disfunções da burocracia. Constitui uma clássica disfunção burocrática descrita por Merton:</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substituição da unidade de comando clássica pela supervisão funcional de múltiplos especialistas.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flexibilização excessiva das rotinas operacionais em resposta aos apelos emocionais dos cidadãos.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deslocamento de objetivos, em que a observância estrita das regras e normas procedimentais passa a ser um fim em si mesmo, prejudicando o atendimento dos objetivos reais da organização.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contratação indiscriminada de pessoal comissionado com base em laços de parentesco e afinidade pessoal.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proliferação descontrolada de grupos informais que ditam os padrões de produtividade à revelia da administração.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supervisão funcional é uma proposta da Administração Científica de Taylor, não uma disfunção da burocracia de Merton.</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burocracia peca pelo excesso de rigidez e apego às regras, e não por flexibilização emocional.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Robert Merton demonstrou que o apego cego e intransigente aos regulamentos provoca o </w:t>
            </w:r>
            <w:r>
              <w:rPr>
                <w:rFonts w:ascii="Arial" w:hAnsi="Arial"/>
                <w:b/>
                <w:i w:val="0"/>
                <w:color w:val="111827"/>
                <w:sz w:val="21"/>
              </w:rPr>
              <w:t>deslocamento de objetivos</w:t>
            </w:r>
            <w:r>
              <w:rPr>
                <w:rFonts w:ascii="Arial" w:hAnsi="Arial"/>
                <w:b w:val="0"/>
                <w:i w:val="0"/>
                <w:color w:val="111827"/>
                <w:sz w:val="21"/>
              </w:rPr>
              <w:t>: a regra, que deveria ser um mero instrumento para atingir o fim público, transforma-se no objetivo primordial do funcionário. O cumprimento formal da norma passa a valer mais do que a solução do problema do cidadão.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Contratação por compadrio é traço típico do patrimonialismo, e não disfunção da burocracia (que preconiza o concurso público e mérito técnico).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ação de grupos informais foi evidenciada por Elton Mayo na Teoria das Relações Humanas.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DPE-RS – Analista: Área Administrativa)</w:t>
      </w:r>
    </w:p>
    <w:p>
      <w:pPr>
        <w:spacing w:line="360" w:lineRule="auto" w:before="0" w:after="80"/>
        <w:jc w:val="both"/>
      </w:pPr>
      <w:r>
        <w:rPr>
          <w:rFonts w:ascii="Arial" w:hAnsi="Arial"/>
          <w:b w:val="0"/>
          <w:i w:val="0"/>
          <w:color w:val="111827"/>
          <w:sz w:val="24"/>
        </w:rPr>
        <w:t>Estudos conduzidos por Tom Burns e G. M. Stalker, no âmbito da Teoria Contingencial, demonstraram que o desenho das organizações deve ajustar-se às demandas do ambiente externo, dividindo os sistemas gerenciais em mecanicistas e orgânicos. Em relação a essas duas tipologias,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Organizações que operam sob sistemas mecanicistas caracterizam-se por estruturas descentralizadas, canais de comunicação horizontais e adaptação veloz a ambientes altamente turbulentos.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Os sistemas orgânicos são recomendados prioritariamente para organizações inseridas em ambientes externos estáveis e previsíveis, com tarefas rotineiras e imutáveis.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sistemas mecanicistas caracterizam-se por hierarquia rígida, especialização acentuada das tarefas, centralização das decisões e adequação a ambientes externos estáveis.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teoria contingencial preconiza que as estruturas orgânicas devem ser adotadas universalmente por todas as entidades públicas, independentemente do contexto tecnológico ou ambiental.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 organizações que adotam sistemas orgânicos eliminam integralmente a divisão do trabalho e suprimem as metas institucionais de longo prazo.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Descentralização, comunicação horizontal e adaptabilidade rápida a ambientes dinâmicos são atributos dos sistemas </w:t>
            </w:r>
            <w:r>
              <w:rPr>
                <w:rFonts w:ascii="Arial" w:hAnsi="Arial"/>
                <w:b/>
                <w:i w:val="0"/>
                <w:color w:val="111827"/>
                <w:sz w:val="21"/>
              </w:rPr>
              <w:t>orgânicos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Ambientes estáveis e previsíveis ajustam-se melhor aos sistemas </w:t>
            </w:r>
            <w:r>
              <w:rPr>
                <w:rFonts w:ascii="Arial" w:hAnsi="Arial"/>
                <w:b/>
                <w:i w:val="0"/>
                <w:color w:val="111827"/>
                <w:sz w:val="21"/>
              </w:rPr>
              <w:t>mecanicistas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Segundo Burns e Stalker, os </w:t>
            </w:r>
            <w:r>
              <w:rPr>
                <w:rFonts w:ascii="Arial" w:hAnsi="Arial"/>
                <w:b/>
                <w:i w:val="0"/>
                <w:color w:val="111827"/>
                <w:sz w:val="21"/>
              </w:rPr>
              <w:t>sistemas mecanicistas</w:t>
            </w:r>
            <w:r>
              <w:rPr>
                <w:rFonts w:ascii="Arial" w:hAnsi="Arial"/>
                <w:b w:val="0"/>
                <w:i w:val="0"/>
                <w:color w:val="111827"/>
                <w:sz w:val="21"/>
              </w:rPr>
              <w:t xml:space="preserve"> são marcados por hierarquia vertical estrita, autoridade centralizada na cúpula, tarefas fragmentadas e rotinas padronizadas, sendo ideais para ambientes externos </w:t>
            </w:r>
            <w:r>
              <w:rPr>
                <w:rFonts w:ascii="Arial" w:hAnsi="Arial"/>
                <w:b/>
                <w:i w:val="0"/>
                <w:color w:val="111827"/>
                <w:sz w:val="21"/>
              </w:rPr>
              <w:t>estáveis e previsíveis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Teoria Contingencial rechaça receitas universais; a escolha entre modelo mecanicista ou orgânico é situacional e depende das contingências externas.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Os sistemas orgânicos mantêm a divisão de trabalho e os objetivos estratégicos, apenas operando com maior flexibilidade e integração de papéis.</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02 - Organização Racional do Trabalho (ORT), Eficiência, Eficácia, Estruturas e Ambientes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Administração Geral</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02_organizacao_racional_do_trabalho_estruturas_e_ambientes.md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Organização Racional do Trabalho (ORT): fundamentos da abordagem de Frederick Taylor: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Estudo dos tempos e movimentos (</w:t>
      </w:r>
      <w:r>
        <w:rPr>
          <w:rFonts w:ascii="Arial" w:hAnsi="Arial"/>
          <w:b w:val="0"/>
          <w:i/>
          <w:color w:val="111827"/>
          <w:sz w:val="22"/>
        </w:rPr>
        <w:t>Motion Study</w:t>
      </w:r>
      <w:r>
        <w:rPr>
          <w:rFonts w:ascii="Arial" w:hAnsi="Arial"/>
          <w:b w:val="0"/>
          <w:i w:val="0"/>
          <w:color w:val="111827"/>
          <w:sz w:val="22"/>
        </w:rPr>
        <w:t xml:space="preserve"> de Frank e Lillian Gilbreth);</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Estudo da fadiga humana e ergonomia inicial;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Divisão do trabalho e especialização extrema do operário;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Desenho de cargos e tarefas simples, fragmentadas e repetitivas;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Incentivos salariais e prêmios de produção por peça produzida (</w:t>
      </w:r>
      <w:r>
        <w:rPr>
          <w:rFonts w:ascii="Arial" w:hAnsi="Arial"/>
          <w:b w:val="0"/>
          <w:i/>
          <w:color w:val="111827"/>
          <w:sz w:val="22"/>
        </w:rPr>
        <w:t>Homo Economicus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Condições ambientais de trabalho (iluminação, ventilação e conforto físico);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Padronização de métodos, ferramentas e instrumentos;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Supervisão funcional especializada;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dicotomia clássica entre Eficiência e Eficácia (visões de Chester Barnard e Peter Drucker):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Eficiência: ênfase nos meios, métodos, custos, economia de insumos e processos (</w:t>
      </w:r>
      <w:r>
        <w:rPr>
          <w:rFonts w:ascii="Arial" w:hAnsi="Arial"/>
          <w:b w:val="0"/>
          <w:i/>
          <w:color w:val="111827"/>
          <w:sz w:val="22"/>
        </w:rPr>
        <w:t>doing things right</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Eficácia: ênfase nos fins, resultados, objetivos e alcance de metas quantitativas (</w:t>
      </w:r>
      <w:r>
        <w:rPr>
          <w:rFonts w:ascii="Arial" w:hAnsi="Arial"/>
          <w:b w:val="0"/>
          <w:i/>
          <w:color w:val="111827"/>
          <w:sz w:val="22"/>
        </w:rPr>
        <w:t>doing the right things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busca pela Efetividade no setor público (impacto e sustentabilidade social);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Organizações Formais versus Organizações Informais: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Organização Formal: deliberadamente planejada, representada pelo organograma oficial, regimentos, hierarquia e manuais;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Organização Informal: emerge espontaneamente das relações sociais, interesses comuns, liderança informal e redes de comunicação lateral (</w:t>
      </w:r>
      <w:r>
        <w:rPr>
          <w:rFonts w:ascii="Arial" w:hAnsi="Arial"/>
          <w:b w:val="0"/>
          <w:i/>
          <w:color w:val="111827"/>
          <w:sz w:val="22"/>
        </w:rPr>
        <w:t>rádio-peão / grapevine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Centralização versus Descentralização: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Centralização da autoridade: vantagens (visão holística, uniformidade de decisões e menor custo de chefias) e desvantagens (lentidão e distanciamento da realidade da ponta);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Descentralização da autoridade: vantagens (agilidade na ponta, motivação dos níveis inferiores e alívio da cúpula) e desvantagens (risco de desalinhamento e duplicação de estruturas);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Princípios da delegação: a autoridade se delega, mas a responsabilidade última permanece com o superior delegante;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Ambientes Organizacionais: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Ambiente Geral (Macroambiente): forças PESTEL (Políticas, Econômicas, Sociais, Tecnológicas, Ecológicas e Legais);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Ambiente de Tarefa (Microambiente / Ambiente Operacional): clientes/cidadãos, fornecedores, concorrentes e órgãos reguladores e de fiscalização externa.</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Os Nove Pilares da Organização Racional do Trabalho (ORT)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Dicotomia Conceitual: Eficiência vs. Eficácia vs. Efetividade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Dinâmica das Organizações Formais e Informais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Centralização vs. Descentralização e a Regra Áurea da Delegação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Ambientes Organizacionais: Ambiente Geral (Macro) vs. Ambiente de Tarefa (Micro)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de Concurso FCC Comentadas</w:t>
      </w:r>
    </w:p>
    <w:p>
      <w:pPr>
        <w:keepNext/>
        <w:spacing w:before="280" w:after="120"/>
      </w:pPr>
      <w:r>
        <w:rPr>
          <w:rFonts w:ascii="Arial" w:hAnsi="Arial"/>
          <w:b/>
          <w:i w:val="0"/>
          <w:color w:val="2C5282"/>
          <w:sz w:val="28"/>
        </w:rPr>
        <w:t>📖 Resumo Teórico Aprofundado &amp; Esquematizado</w:t>
      </w:r>
    </w:p>
    <w:p>
      <w:pPr>
        <w:keepNext/>
        <w:spacing w:before="200" w:after="80"/>
      </w:pPr>
      <w:r>
        <w:rPr>
          <w:rFonts w:ascii="Arial" w:hAnsi="Arial"/>
          <w:b/>
          <w:i w:val="0"/>
          <w:color w:val="2B6CB0"/>
          <w:sz w:val="24"/>
        </w:rPr>
        <w:t>1. Os Nove Pilares da Organização Racional do Trabalho (ORT)</w:t>
      </w:r>
    </w:p>
    <w:p>
      <w:pPr>
        <w:spacing w:line="360" w:lineRule="auto" w:before="0" w:after="80"/>
        <w:jc w:val="both"/>
      </w:pPr>
      <w:r>
        <w:rPr>
          <w:rFonts w:ascii="Arial" w:hAnsi="Arial"/>
          <w:b w:val="0"/>
          <w:i w:val="0"/>
          <w:color w:val="111827"/>
          <w:sz w:val="24"/>
        </w:rPr>
        <w:t>Frederick W. Taylor desenvolveu a Organização Racional do Trabalho (ORT) no início do século XX com a missão precípua de substituir o empirismo rudimentar e a improvisação dos operários por métodos científicos e matematicamente padronizados:</w:t>
      </w:r>
    </w:p>
    <w:p>
      <w:pPr>
        <w:spacing w:after="120"/>
      </w:pPr>
    </w:p>
    <w:p>
      <w:pPr>
        <w:keepNext/>
        <w:spacing w:before="120" w:after="40"/>
      </w:pPr>
      <w:r>
        <w:rPr>
          <w:rFonts w:ascii="Arial" w:hAnsi="Arial"/>
          <w:b/>
          <w:i/>
          <w:color w:val="334155"/>
          <w:sz w:val="22"/>
        </w:rPr>
        <w:t>Detalhamento Teórico dos Componentes da ORT:</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Análise do Trabalho e Estudo dos Tempos e Movimentos:</w:t>
      </w:r>
      <w:r>
        <w:rPr>
          <w:rFonts w:ascii="Arial" w:hAnsi="Arial"/>
          <w:b w:val="0"/>
          <w:i w:val="0"/>
          <w:color w:val="111827"/>
          <w:sz w:val="22"/>
        </w:rPr>
        <w:t xml:space="preserve"> Decomposição analítica de cada operação em micromovimentos elementares (</w:t>
      </w:r>
      <w:r>
        <w:rPr>
          <w:rFonts w:ascii="Arial" w:hAnsi="Arial"/>
          <w:b w:val="0"/>
          <w:i/>
          <w:color w:val="111827"/>
          <w:sz w:val="22"/>
        </w:rPr>
        <w:t>therbligs</w:t>
      </w:r>
      <w:r>
        <w:rPr>
          <w:rFonts w:ascii="Arial" w:hAnsi="Arial"/>
          <w:b w:val="0"/>
          <w:i w:val="0"/>
          <w:color w:val="111827"/>
          <w:sz w:val="22"/>
        </w:rPr>
        <w:t>, introduzidos por Frank e Lillian Gilbreth), cronometrando o tempo exato para eliminar movimentos inúteis e estabelecer o tempo-padrão de execução.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Estudo da Fadiga Humana:</w:t>
      </w:r>
      <w:r>
        <w:rPr>
          <w:rFonts w:ascii="Arial" w:hAnsi="Arial"/>
          <w:b w:val="0"/>
          <w:i w:val="0"/>
          <w:color w:val="111827"/>
          <w:sz w:val="22"/>
        </w:rPr>
        <w:t xml:space="preserve"> A fadiga reduz o rendimento muscular e eleva o índice de acidentes e doenças; a ORT propôs a calibragem de intervalos regulares de descanso, economia de esforços musculares e adequação ergonômica de instrumentos de trabalho.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Divisão do Trabalho e Especialização do Operário:</w:t>
      </w:r>
      <w:r>
        <w:rPr>
          <w:rFonts w:ascii="Arial" w:hAnsi="Arial"/>
          <w:b w:val="0"/>
          <w:i w:val="0"/>
          <w:color w:val="111827"/>
          <w:sz w:val="22"/>
        </w:rPr>
        <w:t xml:space="preserve"> Confinamento do trabalhador à repetição estrita de uma única tarefa ultraespecífica no chão de fábrica, elevando a destreza mecânica.</w:t>
      </w:r>
    </w:p>
    <w:p>
      <w:pPr>
        <w:spacing w:line="276" w:lineRule="auto" w:before="20" w:after="40"/>
        <w:ind w:left="425"/>
      </w:pPr>
      <w:r>
        <w:rPr>
          <w:rFonts w:ascii="Arial" w:hAnsi="Arial"/>
          <w:b/>
          <w:color w:val="1B365D"/>
          <w:sz w:val="22"/>
        </w:rPr>
        <w:t xml:space="preserve">4. </w:t>
      </w:r>
      <w:r>
        <w:rPr>
          <w:rFonts w:ascii="Arial" w:hAnsi="Arial"/>
          <w:b/>
          <w:i w:val="0"/>
          <w:color w:val="111827"/>
          <w:sz w:val="22"/>
        </w:rPr>
        <w:t>Desenho de Cargos e Tarefas Simples:</w:t>
      </w:r>
      <w:r>
        <w:rPr>
          <w:rFonts w:ascii="Arial" w:hAnsi="Arial"/>
          <w:b w:val="0"/>
          <w:i w:val="0"/>
          <w:color w:val="111827"/>
          <w:sz w:val="22"/>
        </w:rPr>
        <w:t xml:space="preserve"> Estruturação de posições que prescindem de qualificação prévia profunda, barateando a mão de obra e viabilizando o treinamento relâmpago de novos operadores.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Incentivos Salariais e Prêmios de Produção:</w:t>
      </w:r>
      <w:r>
        <w:rPr>
          <w:rFonts w:ascii="Arial" w:hAnsi="Arial"/>
          <w:b w:val="0"/>
          <w:i w:val="0"/>
          <w:color w:val="111827"/>
          <w:sz w:val="22"/>
        </w:rPr>
        <w:t xml:space="preserve"> Sistema remuneratório em que o trabalhador recebe um valor fixo por peça que exceder a meta padrão calculada pelo estudo de tempos.</w:t>
      </w:r>
    </w:p>
    <w:p>
      <w:pPr>
        <w:spacing w:line="276" w:lineRule="auto" w:before="20" w:after="40"/>
        <w:ind w:left="425"/>
      </w:pPr>
      <w:r>
        <w:rPr>
          <w:rFonts w:ascii="Arial" w:hAnsi="Arial"/>
          <w:b/>
          <w:color w:val="1B365D"/>
          <w:sz w:val="22"/>
        </w:rPr>
        <w:t xml:space="preserve">6. </w:t>
      </w:r>
      <w:r>
        <w:rPr>
          <w:rFonts w:ascii="Arial" w:hAnsi="Arial"/>
          <w:b/>
          <w:i w:val="0"/>
          <w:color w:val="111827"/>
          <w:sz w:val="22"/>
        </w:rPr>
        <w:t>Conceito de Homo Economicus:</w:t>
      </w:r>
      <w:r>
        <w:rPr>
          <w:rFonts w:ascii="Arial" w:hAnsi="Arial"/>
          <w:b w:val="0"/>
          <w:i w:val="0"/>
          <w:color w:val="111827"/>
          <w:sz w:val="22"/>
        </w:rPr>
        <w:t xml:space="preserve"> Axioma segundo o qual o operário é um ser naturalmente indolente e calculista, que trabalha unicamente motivado pelo estímulo financeiro e medo da fome.</w:t>
      </w:r>
    </w:p>
    <w:p>
      <w:pPr>
        <w:spacing w:line="276" w:lineRule="auto" w:before="20" w:after="40"/>
        <w:ind w:left="425"/>
      </w:pPr>
      <w:r>
        <w:rPr>
          <w:rFonts w:ascii="Arial" w:hAnsi="Arial"/>
          <w:b/>
          <w:color w:val="1B365D"/>
          <w:sz w:val="22"/>
        </w:rPr>
        <w:t xml:space="preserve">7. </w:t>
      </w:r>
      <w:r>
        <w:rPr>
          <w:rFonts w:ascii="Arial" w:hAnsi="Arial"/>
          <w:b/>
          <w:i w:val="0"/>
          <w:color w:val="111827"/>
          <w:sz w:val="22"/>
        </w:rPr>
        <w:t>Condições Ambientais de Trabalho:</w:t>
      </w:r>
      <w:r>
        <w:rPr>
          <w:rFonts w:ascii="Arial" w:hAnsi="Arial"/>
          <w:b w:val="0"/>
          <w:i w:val="0"/>
          <w:color w:val="111827"/>
          <w:sz w:val="22"/>
        </w:rPr>
        <w:t xml:space="preserve"> Reconhecimento científico pioneiro de que iluminação inadequada, ruído excessivo, má ventilação e calor degradam a eficiência física do corpo humano.</w:t>
      </w:r>
    </w:p>
    <w:p>
      <w:pPr>
        <w:spacing w:line="276" w:lineRule="auto" w:before="20" w:after="40"/>
        <w:ind w:left="425"/>
      </w:pPr>
      <w:r>
        <w:rPr>
          <w:rFonts w:ascii="Arial" w:hAnsi="Arial"/>
          <w:b/>
          <w:color w:val="1B365D"/>
          <w:sz w:val="22"/>
        </w:rPr>
        <w:t xml:space="preserve">8. </w:t>
      </w:r>
      <w:r>
        <w:rPr>
          <w:rFonts w:ascii="Arial" w:hAnsi="Arial"/>
          <w:b/>
          <w:i w:val="0"/>
          <w:color w:val="111827"/>
          <w:sz w:val="22"/>
        </w:rPr>
        <w:t>Padronização de Métodos e Ferramentas:</w:t>
      </w:r>
      <w:r>
        <w:rPr>
          <w:rFonts w:ascii="Arial" w:hAnsi="Arial"/>
          <w:b w:val="0"/>
          <w:i w:val="0"/>
          <w:color w:val="111827"/>
          <w:sz w:val="22"/>
        </w:rPr>
        <w:t xml:space="preserve"> Busca pela "única melhor maneira" (</w:t>
      </w:r>
      <w:r>
        <w:rPr>
          <w:rFonts w:ascii="Arial" w:hAnsi="Arial"/>
          <w:b w:val="0"/>
          <w:i/>
          <w:color w:val="111827"/>
          <w:sz w:val="22"/>
        </w:rPr>
        <w:t>the one best way</w:t>
      </w:r>
      <w:r>
        <w:rPr>
          <w:rFonts w:ascii="Arial" w:hAnsi="Arial"/>
          <w:b w:val="0"/>
          <w:i w:val="0"/>
          <w:color w:val="111827"/>
          <w:sz w:val="22"/>
        </w:rPr>
        <w:t>) de desempenhar cada rotina produtiva, padronizando uniformemente maquinários, materiais e movimentos.</w:t>
      </w:r>
    </w:p>
    <w:p>
      <w:pPr>
        <w:spacing w:line="276" w:lineRule="auto" w:before="20" w:after="40"/>
        <w:ind w:left="425"/>
      </w:pPr>
      <w:r>
        <w:rPr>
          <w:rFonts w:ascii="Arial" w:hAnsi="Arial"/>
          <w:b/>
          <w:color w:val="1B365D"/>
          <w:sz w:val="22"/>
        </w:rPr>
        <w:t xml:space="preserve">9. </w:t>
      </w:r>
      <w:r>
        <w:rPr>
          <w:rFonts w:ascii="Arial" w:hAnsi="Arial"/>
          <w:b/>
          <w:i w:val="0"/>
          <w:color w:val="111827"/>
          <w:sz w:val="22"/>
        </w:rPr>
        <w:t>Supervisão Funcional:</w:t>
      </w:r>
      <w:r>
        <w:rPr>
          <w:rFonts w:ascii="Arial" w:hAnsi="Arial"/>
          <w:b w:val="0"/>
          <w:i w:val="0"/>
          <w:color w:val="111827"/>
          <w:sz w:val="22"/>
        </w:rPr>
        <w:t xml:space="preserve"> Substituição da chefia linear tradicional por diversos supervisores simultâneos, cabendo a cada qual instruir o operário em sua respectiva área de especialidade técnica.</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ATENÇÃO (ORT E A CONCEPÇÃO DO TRABALHADOR):</w:t>
            </w:r>
          </w:p>
          <w:p>
            <w:pPr>
              <w:spacing w:line="288" w:lineRule="auto" w:before="40" w:after="40"/>
            </w:pPr>
            <w:r>
              <w:rPr>
                <w:rFonts w:ascii="Arial" w:hAnsi="Arial"/>
                <w:b w:val="0"/>
                <w:i w:val="0"/>
                <w:color w:val="111827"/>
                <w:sz w:val="21"/>
              </w:rPr>
              <w:t xml:space="preserve">Lembre-se sempre de que Taylor fundamentava toda a sua ORT no conceito do </w:t>
            </w:r>
            <w:r>
              <w:rPr>
                <w:rFonts w:ascii="Arial" w:hAnsi="Arial"/>
                <w:b/>
                <w:i w:val="0"/>
                <w:color w:val="111827"/>
                <w:sz w:val="21"/>
              </w:rPr>
              <w:t>Homo Economicus</w:t>
            </w:r>
            <w:r>
              <w:rPr>
                <w:rFonts w:ascii="Arial" w:hAnsi="Arial"/>
                <w:b w:val="0"/>
                <w:i w:val="0"/>
                <w:color w:val="111827"/>
                <w:sz w:val="21"/>
              </w:rPr>
              <w:t xml:space="preserve"> (o ser humano é preguiçoso e reage exclusivamente a incentivos salariais monetários). Se a questão de concurso FCC afirmar que Taylor valorizou a autorrealização, o clima afetivo grupal ou a autonomia criativa, o item está flagrantemente incorreto!</w:t>
            </w:r>
          </w:p>
        </w:tc>
      </w:tr>
    </w:tbl>
    <w:p>
      <w:pPr>
        <w:spacing w:before="0" w:after="120"/>
      </w:pPr>
    </w:p>
    <w:p>
      <w:pPr>
        <w:keepNext/>
        <w:spacing w:before="200" w:after="80"/>
      </w:pPr>
      <w:r>
        <w:rPr>
          <w:rFonts w:ascii="Arial" w:hAnsi="Arial"/>
          <w:b/>
          <w:i w:val="0"/>
          <w:color w:val="2B6CB0"/>
          <w:sz w:val="24"/>
        </w:rPr>
        <w:t>2. Dicotomia Conceitual: Eficiência vs. Eficácia vs. Efetividade</w:t>
      </w:r>
    </w:p>
    <w:p>
      <w:pPr>
        <w:spacing w:line="360" w:lineRule="auto" w:before="0" w:after="80"/>
        <w:jc w:val="both"/>
      </w:pPr>
      <w:r>
        <w:rPr>
          <w:rFonts w:ascii="Arial" w:hAnsi="Arial"/>
          <w:b w:val="0"/>
          <w:i w:val="0"/>
          <w:color w:val="111827"/>
          <w:sz w:val="24"/>
        </w:rPr>
        <w:t>A distinção conceitual entre eficiência e eficácia, magistralmente consolidada por teóricos como Peter Drucker e Chester Barnard, aliada à dimensão moderna da efetividade, figura entre os temas mais cobrados pela FCC:</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\mathbf{\text{Eficiência} = \text{"Fazer certo as coisas"} \quad (\textit{Doing things right})}</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\mathbf{\text{Eficácia} = \text{"Fazer as coisas certas"} \quad (\textit{Doing the right things})}</w:t>
      </w:r>
      <w:r>
        <w:rPr>
          <w:rFonts w:ascii="Arial" w:hAnsi="Arial"/>
          <w:b w:val="0"/>
          <w:i w:val="0"/>
          <w:color w:val="111827"/>
          <w:sz w:val="24"/>
        </w:rPr>
        <w:t>$</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\mathbf{\text{Efetividade} = \text{"Produzir impacto transformador real e sustentável"}}</w:t>
      </w:r>
      <w:r>
        <w:rPr>
          <w:rFonts w:ascii="Arial" w:hAnsi="Arial"/>
          <w:b w:val="0"/>
          <w:i w:val="0"/>
          <w:color w:val="111827"/>
          <w:sz w:val="24"/>
        </w:rPr>
        <w:t>$</w:t>
      </w:r>
    </w:p>
    <w:p>
      <w:pPr>
        <w:spacing w:after="120"/>
      </w:pPr>
    </w:p>
    <w:p>
      <w:pPr>
        <w:keepNext/>
        <w:spacing w:before="120" w:after="40"/>
      </w:pPr>
      <w:r>
        <w:rPr>
          <w:rFonts w:ascii="Arial" w:hAnsi="Arial"/>
          <w:b/>
          <w:i/>
          <w:color w:val="334155"/>
          <w:sz w:val="22"/>
        </w:rPr>
        <w:t>Tabela Comparativa Analítica:</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Eficiência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Eficácia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Efetividade</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Foco Estratégico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Nos Meios</w:t>
            </w:r>
            <w:r>
              <w:rPr>
                <w:rFonts w:ascii="Arial" w:hAnsi="Arial"/>
                <w:b w:val="0"/>
                <w:i w:val="0"/>
                <w:color w:val="111827"/>
                <w:sz w:val="19"/>
              </w:rPr>
              <w:t xml:space="preserve"> (métodos, custos, tempo e otimização de insumos).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Nos Fins</w:t>
            </w:r>
            <w:r>
              <w:rPr>
                <w:rFonts w:ascii="Arial" w:hAnsi="Arial"/>
                <w:b w:val="0"/>
                <w:i w:val="0"/>
                <w:color w:val="111827"/>
                <w:sz w:val="19"/>
              </w:rPr>
              <w:t xml:space="preserve"> (metas concretas atingidas, objetivos entregues).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No Impacto</w:t>
            </w:r>
            <w:r>
              <w:rPr>
                <w:rFonts w:ascii="Arial" w:hAnsi="Arial"/>
                <w:b w:val="0"/>
                <w:i w:val="0"/>
                <w:color w:val="111827"/>
                <w:sz w:val="19"/>
              </w:rPr>
              <w:t xml:space="preserve"> (transformação duradoura na vida do cidadão).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Pergunta-Chave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Como</w:t>
            </w:r>
            <w:r>
              <w:rPr>
                <w:rFonts w:ascii="Arial" w:hAnsi="Arial"/>
                <w:b w:val="0"/>
                <w:i w:val="0"/>
                <w:color w:val="111827"/>
                <w:sz w:val="19"/>
              </w:rPr>
              <w:t xml:space="preserve"> estamos fazendo? Há economia de insumos e celeridade?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O que</w:t>
            </w:r>
            <w:r>
              <w:rPr>
                <w:rFonts w:ascii="Arial" w:hAnsi="Arial"/>
                <w:b w:val="0"/>
                <w:i w:val="0"/>
                <w:color w:val="111827"/>
                <w:sz w:val="19"/>
              </w:rPr>
              <w:t xml:space="preserve"> foi entregue? A meta quantitativa foi cumprida?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Qual</w:t>
            </w:r>
            <w:r>
              <w:rPr>
                <w:rFonts w:ascii="Arial" w:hAnsi="Arial"/>
                <w:b w:val="0"/>
                <w:i w:val="0"/>
                <w:color w:val="111827"/>
                <w:sz w:val="19"/>
              </w:rPr>
              <w:t xml:space="preserve"> alteração real de bem-estar social ocorreu na sociedade?</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Exemplo no TCE-GO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Reduzir custos com papel e viagens ao realizar auditorias virtuais de TI.</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Emitir 500 pareceres prévios sobre contas municipais no exercício.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Inibir fraudes e garantir que o dinheiro chegue aos postos de saúde de Goiás.</w:t>
            </w:r>
          </w:p>
        </w:tc>
      </w:tr>
    </w:tbl>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(EFICIÊNCIA VS. EFICÁCIA NAS NARRATIVAS DE PROVA):</w:t>
            </w:r>
          </w:p>
          <w:p>
            <w:pPr>
              <w:spacing w:line="288" w:lineRule="auto" w:before="40" w:after="40"/>
            </w:pPr>
            <w:r>
              <w:rPr>
                <w:rFonts w:ascii="Arial" w:hAnsi="Arial"/>
                <w:b w:val="0"/>
                <w:i w:val="0"/>
                <w:color w:val="111827"/>
                <w:sz w:val="21"/>
              </w:rPr>
              <w:t>Identifique os gatilhos no enunciado da FCC:</w:t>
            </w:r>
          </w:p>
          <w:p>
            <w:pPr>
              <w:spacing w:line="288" w:lineRule="auto" w:before="40" w:after="40"/>
            </w:pPr>
            <w:r>
              <w:rPr>
                <w:rFonts w:ascii="Arial" w:hAnsi="Arial"/>
                <w:b w:val="0"/>
                <w:i w:val="0"/>
                <w:color w:val="111827"/>
                <w:sz w:val="21"/>
              </w:rPr>
              <w:t xml:space="preserve">- Se o texto destaca "custos reduzidos, menos horas gastas, processos sem desperdício de papel, economia de insumos", a questão trata de </w:t>
            </w:r>
            <w:r>
              <w:rPr>
                <w:rFonts w:ascii="Arial" w:hAnsi="Arial"/>
                <w:b/>
                <w:i w:val="0"/>
                <w:color w:val="111827"/>
                <w:sz w:val="21"/>
              </w:rPr>
              <w:t>EFICIÊNCIA</w:t>
            </w:r>
            <w:r>
              <w:rPr>
                <w:rFonts w:ascii="Arial" w:hAnsi="Arial"/>
                <w:b w:val="0"/>
                <w:i w:val="0"/>
                <w:color w:val="111827"/>
                <w:sz w:val="21"/>
              </w:rPr>
              <w:t xml:space="preserve"> (foco nos meios).</w:t>
            </w:r>
          </w:p>
          <w:p>
            <w:pPr>
              <w:spacing w:line="288" w:lineRule="auto" w:before="40" w:after="40"/>
            </w:pPr>
            <w:r>
              <w:rPr>
                <w:rFonts w:ascii="Arial" w:hAnsi="Arial"/>
                <w:b w:val="0"/>
                <w:i w:val="0"/>
                <w:color w:val="111827"/>
                <w:sz w:val="21"/>
              </w:rPr>
              <w:t xml:space="preserve">- Se o texto destaca "meta de 100% de processos julgados alcançada, prazo final cumprido, entrega de 50 novas escolas", trata de </w:t>
            </w:r>
            <w:r>
              <w:rPr>
                <w:rFonts w:ascii="Arial" w:hAnsi="Arial"/>
                <w:b/>
                <w:i w:val="0"/>
                <w:color w:val="111827"/>
                <w:sz w:val="21"/>
              </w:rPr>
              <w:t>EFICÁCIA</w:t>
            </w:r>
            <w:r>
              <w:rPr>
                <w:rFonts w:ascii="Arial" w:hAnsi="Arial"/>
                <w:b w:val="0"/>
                <w:i w:val="0"/>
                <w:color w:val="111827"/>
                <w:sz w:val="21"/>
              </w:rPr>
              <w:t xml:space="preserve"> (foco nos fins/metas).</w:t>
            </w:r>
          </w:p>
          <w:p>
            <w:pPr>
              <w:spacing w:line="288" w:lineRule="auto" w:before="40" w:after="40"/>
            </w:pPr>
            <w:r>
              <w:rPr>
                <w:rFonts w:ascii="Arial" w:hAnsi="Arial"/>
                <w:b w:val="0"/>
                <w:i w:val="0"/>
                <w:color w:val="111827"/>
                <w:sz w:val="21"/>
              </w:rPr>
              <w:t xml:space="preserve">- Se o texto destaca "a mortalidade infantil caiu 40% na região após a inauguração das unidades", trata de </w:t>
            </w:r>
            <w:r>
              <w:rPr>
                <w:rFonts w:ascii="Arial" w:hAnsi="Arial"/>
                <w:b/>
                <w:i w:val="0"/>
                <w:color w:val="111827"/>
                <w:sz w:val="21"/>
              </w:rPr>
              <w:t>EFETIVIDADE</w:t>
            </w:r>
            <w:r>
              <w:rPr>
                <w:rFonts w:ascii="Arial" w:hAnsi="Arial"/>
                <w:b w:val="0"/>
                <w:i w:val="0"/>
                <w:color w:val="111827"/>
                <w:sz w:val="21"/>
              </w:rPr>
              <w:t xml:space="preserve"> (foco no impacto social).</w:t>
            </w:r>
          </w:p>
        </w:tc>
      </w:tr>
    </w:tbl>
    <w:p>
      <w:pPr>
        <w:spacing w:before="0" w:after="120"/>
      </w:pPr>
    </w:p>
    <w:p>
      <w:pPr>
        <w:keepNext/>
        <w:spacing w:before="200" w:after="80"/>
      </w:pPr>
      <w:r>
        <w:rPr>
          <w:rFonts w:ascii="Arial" w:hAnsi="Arial"/>
          <w:b/>
          <w:i w:val="0"/>
          <w:color w:val="2B6CB0"/>
          <w:sz w:val="24"/>
        </w:rPr>
        <w:t>3. Dinâmica das Organizações Formais e Informais</w:t>
      </w:r>
    </w:p>
    <w:p>
      <w:pPr>
        <w:spacing w:line="360" w:lineRule="auto" w:before="0" w:after="80"/>
        <w:jc w:val="both"/>
      </w:pPr>
      <w:r>
        <w:rPr>
          <w:rFonts w:ascii="Arial" w:hAnsi="Arial"/>
          <w:b w:val="0"/>
          <w:i w:val="0"/>
          <w:color w:val="111827"/>
          <w:sz w:val="24"/>
        </w:rPr>
        <w:t>Toda instituição humana possui uma dupla dimensão estrutural que convive em interação dialética permanente:</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A Origem Sociológica da Organização Informal:</w:t>
      </w:r>
      <w:r>
        <w:rPr>
          <w:rFonts w:ascii="Arial" w:hAnsi="Arial"/>
          <w:b w:val="0"/>
          <w:i w:val="0"/>
          <w:color w:val="111827"/>
          <w:sz w:val="22"/>
        </w:rPr>
        <w:t xml:space="preserve"> Ficou experimentalmente demonstrada na </w:t>
      </w:r>
      <w:r>
        <w:rPr>
          <w:rFonts w:ascii="Arial" w:hAnsi="Arial"/>
          <w:b/>
          <w:i w:val="0"/>
          <w:color w:val="111827"/>
          <w:sz w:val="22"/>
        </w:rPr>
        <w:t>Experiência de Hawthorne (1927-1932)</w:t>
      </w:r>
      <w:r>
        <w:rPr>
          <w:rFonts w:ascii="Arial" w:hAnsi="Arial"/>
          <w:b w:val="0"/>
          <w:i w:val="0"/>
          <w:color w:val="111827"/>
          <w:sz w:val="22"/>
        </w:rPr>
        <w:t xml:space="preserve"> conduzida por Elton Mayo. Comprovou-se que a produtividade e a motivação dependem da integração no grupo informal e da aprovação social entre colegas.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Rádio-Peão (</w:t>
      </w:r>
      <w:r>
        <w:rPr>
          <w:rFonts w:ascii="Arial" w:hAnsi="Arial"/>
          <w:b w:val="0"/>
          <w:i/>
          <w:color w:val="111827"/>
          <w:sz w:val="22"/>
        </w:rPr>
        <w:t>Grapevine</w:t>
      </w:r>
      <w:r>
        <w:rPr>
          <w:rFonts w:ascii="Arial" w:hAnsi="Arial"/>
          <w:b w:val="0"/>
          <w:i w:val="0"/>
          <w:color w:val="111827"/>
          <w:sz w:val="22"/>
        </w:rPr>
        <w:t>):** É a rede informal de comunicação. É extremamente veloz e atende à necessidade humana de troca de informações, embora possa propagar boatos quando a comunicação formal oficial do órgão público for deficiente, opaca ou autoritária.</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(A ORGANIZAÇÃO INFORMAL NÃO DEVE SER COMBATIDA):</w:t>
            </w:r>
          </w:p>
          <w:p>
            <w:pPr>
              <w:spacing w:line="288" w:lineRule="auto" w:before="40" w:after="40"/>
            </w:pPr>
            <w:r>
              <w:rPr>
                <w:rFonts w:ascii="Arial" w:hAnsi="Arial"/>
                <w:b w:val="0"/>
                <w:i w:val="0"/>
                <w:color w:val="111827"/>
                <w:sz w:val="21"/>
              </w:rPr>
              <w:t>A organização informal é uma manifestação sociológica inevitável do comportamento coletivo humano. Administradores públicos preparados não tentam reprimi-la ou puni-la, mas sim buscar sua convergência harmônica com as metas formais da instituição pública.</w:t>
            </w:r>
          </w:p>
        </w:tc>
      </w:tr>
    </w:tbl>
    <w:p>
      <w:pPr>
        <w:spacing w:before="0" w:after="120"/>
      </w:pPr>
    </w:p>
    <w:p>
      <w:pPr>
        <w:keepNext/>
        <w:spacing w:before="200" w:after="80"/>
      </w:pPr>
      <w:r>
        <w:rPr>
          <w:rFonts w:ascii="Arial" w:hAnsi="Arial"/>
          <w:b/>
          <w:i w:val="0"/>
          <w:color w:val="2B6CB0"/>
          <w:sz w:val="24"/>
        </w:rPr>
        <w:t>4. Centralização vs. Descentralização e a Regra Áurea da Delegação</w:t>
      </w:r>
    </w:p>
    <w:p>
      <w:pPr>
        <w:spacing w:line="360" w:lineRule="auto" w:before="0" w:after="80"/>
        <w:jc w:val="both"/>
      </w:pPr>
      <w:r>
        <w:rPr>
          <w:rFonts w:ascii="Arial" w:hAnsi="Arial"/>
          <w:b w:val="0"/>
          <w:i w:val="0"/>
          <w:color w:val="111827"/>
          <w:sz w:val="24"/>
        </w:rPr>
        <w:t>A distribuição formal do poder de decisão dentro da hierarquia é classificada em dois modelos estruturais:</w:t>
      </w:r>
    </w:p>
    <w:p>
      <w:pPr>
        <w:spacing w:after="120"/>
      </w:pPr>
    </w:p>
    <w:p>
      <w:pPr>
        <w:keepNext/>
        <w:spacing w:before="120" w:after="40"/>
      </w:pPr>
      <w:r>
        <w:rPr>
          <w:rFonts w:ascii="Arial" w:hAnsi="Arial"/>
          <w:b/>
          <w:i/>
          <w:color w:val="334155"/>
          <w:sz w:val="22"/>
        </w:rPr>
        <w:t>A Regra Áurea da Delegação de Autoridade:</w:t>
      </w:r>
    </w:p>
    <w:p>
      <w:pPr>
        <w:spacing w:line="360" w:lineRule="auto" w:before="0" w:after="80"/>
        <w:jc w:val="both"/>
      </w:pPr>
      <w:r>
        <w:rPr>
          <w:rFonts w:ascii="Arial" w:hAnsi="Arial"/>
          <w:b w:val="0"/>
          <w:i w:val="0"/>
          <w:color w:val="111827"/>
          <w:sz w:val="24"/>
        </w:rPr>
        <w:t>A delegação é o ato administrativo mediante o qual uma autoridade transfere atribuições decisórias e operacionais a um subordinado: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O que se delega:</w:t>
      </w:r>
      <w:r>
        <w:rPr>
          <w:rFonts w:ascii="Arial" w:hAnsi="Arial"/>
          <w:b w:val="0"/>
          <w:i w:val="0"/>
          <w:color w:val="111827"/>
          <w:sz w:val="22"/>
        </w:rPr>
        <w:t xml:space="preserve"> Delega-se a </w:t>
      </w:r>
      <w:r>
        <w:rPr>
          <w:rFonts w:ascii="Arial" w:hAnsi="Arial"/>
          <w:b/>
          <w:i w:val="0"/>
          <w:color w:val="111827"/>
          <w:sz w:val="22"/>
        </w:rPr>
        <w:t>autoridade formal</w:t>
      </w:r>
      <w:r>
        <w:rPr>
          <w:rFonts w:ascii="Arial" w:hAnsi="Arial"/>
          <w:b w:val="0"/>
          <w:i w:val="0"/>
          <w:color w:val="111827"/>
          <w:sz w:val="22"/>
        </w:rPr>
        <w:t xml:space="preserve"> e a </w:t>
      </w:r>
      <w:r>
        <w:rPr>
          <w:rFonts w:ascii="Arial" w:hAnsi="Arial"/>
          <w:b/>
          <w:i w:val="0"/>
          <w:color w:val="111827"/>
          <w:sz w:val="22"/>
        </w:rPr>
        <w:t>atribuição executiva de desempenhar a tarefa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O que NUNCA se delega:</w:t>
      </w:r>
      <w:r>
        <w:rPr>
          <w:rFonts w:ascii="Arial" w:hAnsi="Arial"/>
          <w:b w:val="0"/>
          <w:i w:val="0"/>
          <w:color w:val="111827"/>
          <w:sz w:val="22"/>
        </w:rPr>
        <w:t xml:space="preserve"> A </w:t>
      </w:r>
      <w:r>
        <w:rPr>
          <w:rFonts w:ascii="Arial" w:hAnsi="Arial"/>
          <w:b/>
          <w:i w:val="0"/>
          <w:color w:val="111827"/>
          <w:sz w:val="22"/>
        </w:rPr>
        <w:t>responsabilidade final perante a organização permanece INDELEGÁVEL</w:t>
      </w:r>
      <w:r>
        <w:rPr>
          <w:rFonts w:ascii="Arial" w:hAnsi="Arial"/>
          <w:b w:val="0"/>
          <w:i w:val="0"/>
          <w:color w:val="111827"/>
          <w:sz w:val="22"/>
        </w:rPr>
        <w:t>! O superior que delega continua sendo plenamente responsável pelas falhas, irregularidades ou sucessos cometidos pelo subordinado delegado.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(DELEGAÇÃO DE RESPONSABILIDADE):</w:t>
            </w:r>
          </w:p>
          <w:p>
            <w:pPr>
              <w:spacing w:line="288" w:lineRule="auto" w:before="40" w:after="40"/>
            </w:pPr>
            <w:r>
              <w:rPr>
                <w:rFonts w:ascii="Arial" w:hAnsi="Arial"/>
                <w:b w:val="0"/>
                <w:i w:val="0"/>
                <w:color w:val="111827"/>
                <w:sz w:val="21"/>
              </w:rPr>
              <w:t xml:space="preserve">Questão certeira da FCC: afirmar que "ao delegar a emissão de relatórios de auditoria a um subordinado, o diretor da unidade exime-se integralmente de sua responsabilidade funcional". </w:t>
            </w:r>
            <w:r>
              <w:rPr>
                <w:rFonts w:ascii="Arial" w:hAnsi="Arial"/>
                <w:b/>
                <w:i w:val="0"/>
                <w:color w:val="111827"/>
                <w:sz w:val="21"/>
              </w:rPr>
              <w:t>FALSO!</w:t>
            </w:r>
            <w:r>
              <w:rPr>
                <w:rFonts w:ascii="Arial" w:hAnsi="Arial"/>
                <w:b w:val="0"/>
                <w:i w:val="0"/>
                <w:color w:val="111827"/>
                <w:sz w:val="21"/>
              </w:rPr>
              <w:t xml:space="preserve"> A delegação transfere unicamente a </w:t>
            </w:r>
            <w:r>
              <w:rPr>
                <w:rFonts w:ascii="Arial" w:hAnsi="Arial"/>
                <w:b/>
                <w:i w:val="0"/>
                <w:color w:val="111827"/>
                <w:sz w:val="21"/>
              </w:rPr>
              <w:t>autoridade executiva</w:t>
            </w:r>
            <w:r>
              <w:rPr>
                <w:rFonts w:ascii="Arial" w:hAnsi="Arial"/>
                <w:b w:val="0"/>
                <w:i w:val="0"/>
                <w:color w:val="111827"/>
                <w:sz w:val="21"/>
              </w:rPr>
              <w:t xml:space="preserve">, mas a </w:t>
            </w:r>
            <w:r>
              <w:rPr>
                <w:rFonts w:ascii="Arial" w:hAnsi="Arial"/>
                <w:b/>
                <w:i w:val="0"/>
                <w:color w:val="111827"/>
                <w:sz w:val="21"/>
              </w:rPr>
              <w:t>responsabilidade final pelos resultados permanece retida com o superior delegante</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5. Ambientes Organizacionais: Ambiente Geral (Macro) vs. Ambiente de Tarefa (Micro)</w:t>
      </w:r>
    </w:p>
    <w:p>
      <w:pPr>
        <w:spacing w:line="360" w:lineRule="auto" w:before="0" w:after="80"/>
        <w:jc w:val="both"/>
      </w:pPr>
      <w:r>
        <w:rPr>
          <w:rFonts w:ascii="Arial" w:hAnsi="Arial"/>
          <w:b w:val="0"/>
          <w:i w:val="0"/>
          <w:color w:val="111827"/>
          <w:sz w:val="24"/>
        </w:rPr>
        <w:t>Nenhuma organização pública funciona no vácuo; ela opera inserida em camadas ambientais com diferentes graus de proximidade e influência:</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Ambiente Geral (Macroambiente):</w:t>
      </w:r>
      <w:r>
        <w:rPr>
          <w:rFonts w:ascii="Arial" w:hAnsi="Arial"/>
          <w:b w:val="0"/>
          <w:i w:val="0"/>
          <w:color w:val="111827"/>
          <w:sz w:val="22"/>
        </w:rPr>
        <w:t xml:space="preserve"> Conjunto amplo de condições genéricas e cenários que afetam todas as organizações de uma determinada sociedade. Analisado pelas variáveis </w:t>
      </w:r>
      <w:r>
        <w:rPr>
          <w:rFonts w:ascii="Arial" w:hAnsi="Arial"/>
          <w:b/>
          <w:i w:val="0"/>
          <w:color w:val="111827"/>
          <w:sz w:val="22"/>
        </w:rPr>
        <w:t>PESTEL</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P</w:t>
      </w:r>
      <w:r>
        <w:rPr>
          <w:rFonts w:ascii="Arial" w:hAnsi="Arial"/>
          <w:b w:val="0"/>
          <w:i w:val="0"/>
          <w:color w:val="111827"/>
          <w:sz w:val="22"/>
        </w:rPr>
        <w:t>olíticas: estabilidade governamental, diretrizes do Executivo;</w:t>
      </w:r>
    </w:p>
    <w:p>
      <w:pPr>
        <w:spacing w:line="276" w:lineRule="auto" w:before="20" w:after="40"/>
        <w:ind w:left="992"/>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conômicas: taxa de juros, inflação, arrecadação tributária estadual;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S</w:t>
      </w:r>
      <w:r>
        <w:rPr>
          <w:rFonts w:ascii="Arial" w:hAnsi="Arial"/>
          <w:b w:val="0"/>
          <w:i w:val="0"/>
          <w:color w:val="111827"/>
          <w:sz w:val="22"/>
        </w:rPr>
        <w:t>ociais: pirâmide demográfica, nível educacional, demandas populares;</w:t>
      </w:r>
    </w:p>
    <w:p>
      <w:pPr>
        <w:spacing w:line="276" w:lineRule="auto" w:before="20" w:after="40"/>
        <w:ind w:left="992"/>
      </w:pPr>
      <w:r>
        <w:rPr>
          <w:rFonts w:ascii="Arial" w:hAnsi="Arial"/>
          <w:b/>
          <w:color w:val="2B6CB0"/>
          <w:sz w:val="22"/>
        </w:rPr>
        <w:t xml:space="preserve">• </w:t>
      </w:r>
      <w:r>
        <w:rPr>
          <w:rFonts w:ascii="Arial" w:hAnsi="Arial"/>
          <w:b/>
          <w:i w:val="0"/>
          <w:color w:val="111827"/>
          <w:sz w:val="22"/>
        </w:rPr>
        <w:t>T</w:t>
      </w:r>
      <w:r>
        <w:rPr>
          <w:rFonts w:ascii="Arial" w:hAnsi="Arial"/>
          <w:b w:val="0"/>
          <w:i w:val="0"/>
          <w:color w:val="111827"/>
          <w:sz w:val="22"/>
        </w:rPr>
        <w:t>ecnológicas: inteligência artificial, computação em nuvem, digitalização de serviços;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cológicas: sustentabilidade ambiental, mudanças climáticas;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L</w:t>
      </w:r>
      <w:r>
        <w:rPr>
          <w:rFonts w:ascii="Arial" w:hAnsi="Arial"/>
          <w:b w:val="0"/>
          <w:i w:val="0"/>
          <w:color w:val="111827"/>
          <w:sz w:val="22"/>
        </w:rPr>
        <w:t>egais: reformas constitucionais, marcos regulatórios e leis orçamentárias.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Ambiente de Tarefa (Microambiente / Ambiente Operacional):</w:t>
      </w:r>
      <w:r>
        <w:rPr>
          <w:rFonts w:ascii="Arial" w:hAnsi="Arial"/>
          <w:b w:val="0"/>
          <w:i w:val="0"/>
          <w:color w:val="111827"/>
          <w:sz w:val="22"/>
        </w:rPr>
        <w:t xml:space="preserve"> Nicho específico no qual o órgão público atua de maneira imediata e diária para desempenhar suas competências regimentais. É composto por:</w:t>
      </w:r>
    </w:p>
    <w:p>
      <w:pPr>
        <w:spacing w:line="276" w:lineRule="auto" w:before="20" w:after="40"/>
        <w:ind w:left="992"/>
      </w:pPr>
      <w:r>
        <w:rPr>
          <w:rFonts w:ascii="Arial" w:hAnsi="Arial"/>
          <w:b/>
          <w:color w:val="2B6CB0"/>
          <w:sz w:val="22"/>
        </w:rPr>
        <w:t xml:space="preserve">• </w:t>
      </w:r>
      <w:r>
        <w:rPr>
          <w:rFonts w:ascii="Arial" w:hAnsi="Arial"/>
          <w:b/>
          <w:i w:val="0"/>
          <w:color w:val="111827"/>
          <w:sz w:val="22"/>
        </w:rPr>
        <w:t>Cidadãos-usuários (jurisdicionados):</w:t>
      </w:r>
      <w:r>
        <w:rPr>
          <w:rFonts w:ascii="Arial" w:hAnsi="Arial"/>
          <w:b w:val="0"/>
          <w:i w:val="0"/>
          <w:color w:val="111827"/>
          <w:sz w:val="22"/>
        </w:rPr>
        <w:t xml:space="preserve"> Destinatários finais dos serviços públicos e do controle da gestão;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Fornecedores:</w:t>
      </w:r>
      <w:r>
        <w:rPr>
          <w:rFonts w:ascii="Arial" w:hAnsi="Arial"/>
          <w:b w:val="0"/>
          <w:i w:val="0"/>
          <w:color w:val="111827"/>
          <w:sz w:val="22"/>
        </w:rPr>
        <w:t xml:space="preserve"> Empresas concorrentes em licitações e contratos para fornecimento de bens e serviços;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Entidades de Controle e Regulação:</w:t>
      </w:r>
      <w:r>
        <w:rPr>
          <w:rFonts w:ascii="Arial" w:hAnsi="Arial"/>
          <w:b w:val="0"/>
          <w:i w:val="0"/>
          <w:color w:val="111827"/>
          <w:sz w:val="22"/>
        </w:rPr>
        <w:t xml:space="preserve"> Tribunais de Contas, Ministério Público e agências fiscalizadoras.</w:t>
      </w:r>
    </w:p>
    <w:p>
      <w:pPr>
        <w:keepNext/>
        <w:spacing w:before="200" w:after="80"/>
      </w:pPr>
      <w:r>
        <w:rPr>
          <w:rFonts w:ascii="Arial" w:hAnsi="Arial"/>
          <w:b/>
          <w:i w:val="0"/>
          <w:color w:val="2B6CB0"/>
          <w:sz w:val="24"/>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CHIAVENATO, Idalberto. Introdução à Teoria Geral da Administração. 10ª Edição. Editora Atlas.</w:t>
      </w:r>
      <w:r>
        <w:rPr>
          <w:rFonts w:ascii="Arial" w:hAnsi="Arial"/>
          <w:b w:val="0"/>
          <w:i w:val="0"/>
          <w:color w:val="111827"/>
          <w:sz w:val="22"/>
        </w:rPr>
        <w:t xml:space="preserve"> - Capítulos sobre a ORT, Estruturas e Dinâmica Organizacional.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DRUCKER, Peter F. Prática da Administração de Empresas. Pioneira Thomson Learning.</w:t>
      </w:r>
      <w:r>
        <w:rPr>
          <w:rFonts w:ascii="Arial" w:hAnsi="Arial"/>
          <w:b w:val="0"/>
          <w:i w:val="0"/>
          <w:color w:val="111827"/>
          <w:sz w:val="22"/>
        </w:rPr>
        <w:t xml:space="preserve"> - Conceituação de Eficiência e Eficácia.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BARNARD, Chester I. As Funções do Executivo. Editora Atlas.</w:t>
      </w:r>
      <w:r>
        <w:rPr>
          <w:rFonts w:ascii="Arial" w:hAnsi="Arial"/>
          <w:b w:val="0"/>
          <w:i w:val="0"/>
          <w:color w:val="111827"/>
          <w:sz w:val="22"/>
        </w:rPr>
        <w:t xml:space="preserve"> - A dinâmica da cooperação e organização informal.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MAXIMIANO, Antonio Cesar Amaru. Teoria Geral da Administração: da revolução urbana à revolução digital. Atlas.</w:t>
      </w:r>
      <w:r>
        <w:rPr>
          <w:rFonts w:ascii="Arial" w:hAnsi="Arial"/>
          <w:b w:val="0"/>
          <w:i w:val="0"/>
          <w:color w:val="111827"/>
          <w:sz w:val="22"/>
        </w:rPr>
        <w:t>.</w:t>
      </w:r>
    </w:p>
    <w:p>
      <w:pPr>
        <w:keepNext/>
        <w:spacing w:before="200" w:after="80"/>
      </w:pPr>
      <w:r>
        <w:rPr>
          <w:rFonts w:ascii="Arial" w:hAnsi="Arial"/>
          <w:b/>
          <w:i w:val="0"/>
          <w:color w:val="2B6CB0"/>
          <w:sz w:val="24"/>
        </w:rPr>
        <w:t>7.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A respeito da Organização Racional do Trabalho (ORT) desenvolvida por Frederick Winslow Taylor e das características da abordagem clássica da administração, assinale a assertiva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ORT propunha que os operários determinassem livremente seus próprios métodos operacionais de trabalho, eliminando qualquer forma de padronização industrial.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teoria partia da premissa do </w:t>
      </w:r>
      <w:r>
        <w:rPr>
          <w:rFonts w:ascii="Arial" w:hAnsi="Arial"/>
          <w:b w:val="0"/>
          <w:i/>
          <w:color w:val="111827"/>
          <w:sz w:val="22"/>
        </w:rPr>
        <w:t>Homo Socialis</w:t>
      </w:r>
      <w:r>
        <w:rPr>
          <w:rFonts w:ascii="Arial" w:hAnsi="Arial"/>
          <w:b w:val="0"/>
          <w:i w:val="0"/>
          <w:color w:val="111827"/>
          <w:sz w:val="22"/>
        </w:rPr>
        <w:t>, sustentando que os operários trabalhavam motivados preponderantemente pelo bem-estar afetivo e harmonia do grupo informal.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estudo dos tempos e movimentos objetivava decompor as tarefas fabris em operações elementares para eliminar movimentos desnecessários e determinar o tempo-padrão de execução.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Taylor defendia a preservação estrita do capataz geral de fábrica com comando único, condenando a divisão da supervisão em funções especializadas.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fadiga humana era ignorada pela ORT por ser considerada um fenômeno psicológico irrelevante para a produtividade fabril.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ORT combatia a improvisação empírica dos operários, impondo métodos padronizados cientificamente planejados pela gerência.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Taylor adotava a concepção do </w:t>
            </w:r>
            <w:r>
              <w:rPr>
                <w:rFonts w:ascii="Arial" w:hAnsi="Arial"/>
                <w:b/>
                <w:i w:val="0"/>
                <w:color w:val="111827"/>
                <w:sz w:val="21"/>
              </w:rPr>
              <w:t>Homo Economicus</w:t>
            </w:r>
            <w:r>
              <w:rPr>
                <w:rFonts w:ascii="Arial" w:hAnsi="Arial"/>
                <w:b w:val="0"/>
                <w:i w:val="0"/>
                <w:color w:val="111827"/>
                <w:sz w:val="21"/>
              </w:rPr>
              <w:t xml:space="preserve"> (o ser humano é motivado pelo ganho financeiro individual por peça produzida).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estudo dos tempos e movimentos (sistematizado por Taylor e aprofundado pelos Gilbreth) constituía a viga-mestra da ORT: fragmentar a tarefa em micromovimentos elementares, erradicar movimentos inúteis e fixar o tempo-padrão de execução para a melhor maneira científica de trabalhar (</w:t>
            </w:r>
            <w:r>
              <w:rPr>
                <w:rFonts w:ascii="Arial" w:hAnsi="Arial"/>
                <w:b w:val="0"/>
                <w:i/>
                <w:color w:val="111827"/>
                <w:sz w:val="21"/>
              </w:rPr>
              <w:t>the one best way</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Taylor propunha a </w:t>
            </w:r>
            <w:r>
              <w:rPr>
                <w:rFonts w:ascii="Arial" w:hAnsi="Arial"/>
                <w:b/>
                <w:i w:val="0"/>
                <w:color w:val="111827"/>
                <w:sz w:val="21"/>
              </w:rPr>
              <w:t>supervisão funcional</w:t>
            </w:r>
            <w:r>
              <w:rPr>
                <w:rFonts w:ascii="Arial" w:hAnsi="Arial"/>
                <w:b w:val="0"/>
                <w:i w:val="0"/>
                <w:color w:val="111827"/>
                <w:sz w:val="21"/>
              </w:rPr>
              <w:t xml:space="preserve"> (múltiplos supervisores especializados), rompendo com o princípio do chefe militar único.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estudo da fadiga humana era um dos pilares centrais da ORT para evitar a exaustão física do operário e garantir a cadência do trabalho.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TCE-RS – Auditor de Controle Externo)</w:t>
      </w:r>
    </w:p>
    <w:p>
      <w:pPr>
        <w:spacing w:line="360" w:lineRule="auto" w:before="0" w:after="80"/>
        <w:jc w:val="both"/>
      </w:pPr>
      <w:r>
        <w:rPr>
          <w:rFonts w:ascii="Arial" w:hAnsi="Arial"/>
          <w:b w:val="0"/>
          <w:i w:val="0"/>
          <w:color w:val="111827"/>
          <w:sz w:val="24"/>
        </w:rPr>
        <w:t>Determinada unidade de fiscalização governamental realizou uma auditoria utilizando técnicas modernas de amostragem eletrônica, reduzindo o custo operacional em 40% e concluindo os trabalhos na metade do tempo médio histórico previsto. Não obstante a velocidade e economia de recursos empregados, o relatório final omitiu as irregularidades materiais mais graves que assolavam o órgão auditado, inviabilizando a responsabilização dos gestores ímprobos. Sob a ótica das teorias da administração: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trabalho da equipe foi altamente eficiente e eficaz, visto que atendeu aos parâmetros de produtividade estipulados pela chefia.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unidade atuou com eficiência no uso dos recursos e métodos, contudo foi ineficaz no tocante ao alcance do objetivo finalístico primordial da fiscalização.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equipe demonstrou alta eficácia operacional aliada à total ineficiência metodológica.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omissão decorreu exclusivamente da atuação autônoma da organização informal da equipe técnica.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resultado comprova a inadequação da departamentalização funcional nos órgãos de controle público.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equipe não foi eficaz, uma vez que falhou em atingir o objetivo primordial da fiscalização (detectar e apontar as irregularidades materiais).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equipe foi </w:t>
            </w:r>
            <w:r>
              <w:rPr>
                <w:rFonts w:ascii="Arial" w:hAnsi="Arial"/>
                <w:b/>
                <w:i w:val="0"/>
                <w:color w:val="111827"/>
                <w:sz w:val="21"/>
              </w:rPr>
              <w:t>eficiente</w:t>
            </w:r>
            <w:r>
              <w:rPr>
                <w:rFonts w:ascii="Arial" w:hAnsi="Arial"/>
                <w:b w:val="0"/>
                <w:i w:val="0"/>
                <w:color w:val="111827"/>
                <w:sz w:val="21"/>
              </w:rPr>
              <w:t xml:space="preserve"> (minimizou o uso de insumos, cortou custos em 40% e poupou tempo - foco excelente nos meios), porém foi </w:t>
            </w:r>
            <w:r>
              <w:rPr>
                <w:rFonts w:ascii="Arial" w:hAnsi="Arial"/>
                <w:b/>
                <w:i w:val="0"/>
                <w:color w:val="111827"/>
                <w:sz w:val="21"/>
              </w:rPr>
              <w:t>ineficaz</w:t>
            </w:r>
            <w:r>
              <w:rPr>
                <w:rFonts w:ascii="Arial" w:hAnsi="Arial"/>
                <w:b w:val="0"/>
                <w:i w:val="0"/>
                <w:color w:val="111827"/>
                <w:sz w:val="21"/>
              </w:rPr>
              <w:t xml:space="preserve"> (não alcançou o objetivo finalístico proposto, falhando na entrega do resultado material substantivo - foco nos fins).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Ocorreu exatamente o oposto: houve alta eficiência nos meios e ineficácia nos fins.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omissão traduz um erro técnico de execução processual, e não efeito puro da organização informal.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caso não aborda modelos de departamentalização, mas sim a distinção clássica entre eficiência e eficácia.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TRT-2ª Região – Analista Judiciário: Área Administrativa)</w:t>
      </w:r>
    </w:p>
    <w:p>
      <w:pPr>
        <w:spacing w:line="360" w:lineRule="auto" w:before="0" w:after="80"/>
        <w:jc w:val="both"/>
      </w:pPr>
      <w:r>
        <w:rPr>
          <w:rFonts w:ascii="Arial" w:hAnsi="Arial"/>
          <w:b w:val="0"/>
          <w:i w:val="0"/>
          <w:color w:val="111827"/>
          <w:sz w:val="24"/>
        </w:rPr>
        <w:t>No tocante à dinâmica da delegação de competências e à centralização versus descentralização administrativa nas organizações formais,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descentralização decisória implica concentrar a tomada de decisões na diretoria executiva, garantindo que os gestores operacionais executem tarefas sem qualquer margem de arbítrio.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Ao realizar a delegação de atribuições para um servidor subalterno, a autoridade delegante transfere simultaneamente o poder de decisão e a responsabilidade final pelo resultado, eximindo-se de qualquer prestação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descentralização proporciona maior rapidez na tomada de decisões no ponto de atendimento ao cidadão e eleva a motivação das equipes operacionais.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centralização tem como principal desvantagem a duplicação generalizada de custos operacionais e a proliferação descontrolada de órgãos descentralizados.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delegação de autoridade no serviço público é vedada pelo princípio da hierarquia institucional previsto na Constituição Federal.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Concentrar decisões no topo da cúpula é a definição de </w:t>
            </w:r>
            <w:r>
              <w:rPr>
                <w:rFonts w:ascii="Arial" w:hAnsi="Arial"/>
                <w:b/>
                <w:i w:val="0"/>
                <w:color w:val="111827"/>
                <w:sz w:val="21"/>
              </w:rPr>
              <w:t>centralização</w:t>
            </w:r>
            <w:r>
              <w:rPr>
                <w:rFonts w:ascii="Arial" w:hAnsi="Arial"/>
                <w:b w:val="0"/>
                <w:i w:val="0"/>
                <w:color w:val="111827"/>
                <w:sz w:val="21"/>
              </w:rPr>
              <w:t>, e não de descentralização.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Regra basilar de administração: </w:t>
            </w:r>
            <w:r>
              <w:rPr>
                <w:rFonts w:ascii="Arial" w:hAnsi="Arial"/>
                <w:b/>
                <w:i w:val="0"/>
                <w:color w:val="111827"/>
                <w:sz w:val="21"/>
              </w:rPr>
              <w:t>a responsabilidade final pelo resultado perante a organização é indelegável</w:t>
            </w:r>
            <w:r>
              <w:rPr>
                <w:rFonts w:ascii="Arial" w:hAnsi="Arial"/>
                <w:b w:val="0"/>
                <w:i w:val="0"/>
                <w:color w:val="111827"/>
                <w:sz w:val="21"/>
              </w:rPr>
              <w:t>. Delega-se a autoridade e a execução da tarefa, mas o gestor delegante responde perante a instituição pelas falhas cometidas pelo delegado.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A </w:t>
            </w:r>
            <w:r>
              <w:rPr>
                <w:rFonts w:ascii="Arial" w:hAnsi="Arial"/>
                <w:b/>
                <w:i w:val="0"/>
                <w:color w:val="111827"/>
                <w:sz w:val="21"/>
              </w:rPr>
              <w:t>descentralização</w:t>
            </w:r>
            <w:r>
              <w:rPr>
                <w:rFonts w:ascii="Arial" w:hAnsi="Arial"/>
                <w:b w:val="0"/>
                <w:i w:val="0"/>
                <w:color w:val="111827"/>
                <w:sz w:val="21"/>
              </w:rPr>
              <w:t xml:space="preserve"> aproxima a decisão do local onde o problema ocorre (a base operacional/ponta), conferindo agilidade de resposta às demandas dos cidadãos e motivando os servidores locais que passam a exercer autonomia funcional.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Duplicação de esforços é desvantagem eventual da descentralização. A desvantagem da centralização é a lentidão decisória e o estrangulamento da cúpula.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delegação é amplamente autorizada e recomendada pelo direito administrativo e pelo princípio da eficiência (ex.: Lei Federal nº 9.784/1999 e Lei Estadual nº 13.800/2001).</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DPE-RS – Analista: Área Administrativa)</w:t>
      </w:r>
    </w:p>
    <w:p>
      <w:pPr>
        <w:spacing w:line="360" w:lineRule="auto" w:before="0" w:after="80"/>
        <w:jc w:val="both"/>
      </w:pPr>
      <w:r>
        <w:rPr>
          <w:rFonts w:ascii="Arial" w:hAnsi="Arial"/>
          <w:b w:val="0"/>
          <w:i w:val="0"/>
          <w:color w:val="111827"/>
          <w:sz w:val="24"/>
        </w:rPr>
        <w:t>Em relação ao estudo dos ambientes organizacionais e sua influência sobre o funcionamento das instituições públicas, é correto afirmar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ambiente de tarefa é composto por forças macroscópicas universais, tais como taxas de inflação, fatores climáticos e mudanças sociodemográficas nacionais.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macroambiente (ambiente geral) abrange os agentes com os quais a organização interage direta e cotidianamente, tais como seus usuários, prestadores de serviços contratados e órgãos de fiscalização imediata.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fornecedores de tecnologia da informação contratados pelo tribunal e os cidadãos jurisdicionados compõem o ambiente de tarefa (microambiente) do órgão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análise PESTEL destina-se a mensurar exclusivamente as variáveis psicológicas e comportamentais da organização informal no ambiente interno.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 organizações que atuam em ambientes de tarefa dinâmicos e imprevisíveis devem adotar estruturas estritamente burocráticas e centralizadas para mitigar riscos operacionais.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Inflação, clima e demografia compõem o </w:t>
            </w:r>
            <w:r>
              <w:rPr>
                <w:rFonts w:ascii="Arial" w:hAnsi="Arial"/>
                <w:b/>
                <w:i w:val="0"/>
                <w:color w:val="111827"/>
                <w:sz w:val="21"/>
              </w:rPr>
              <w:t>ambiente geral (macroambiente)</w:t>
            </w:r>
            <w:r>
              <w:rPr>
                <w:rFonts w:ascii="Arial" w:hAnsi="Arial"/>
                <w:b w:val="0"/>
                <w:i w:val="0"/>
                <w:color w:val="111827"/>
                <w:sz w:val="21"/>
              </w:rPr>
              <w:t>, e não o ambiente de tarefa.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Usuários, fornecedores e órgãos fiscalizadores integram o </w:t>
            </w:r>
            <w:r>
              <w:rPr>
                <w:rFonts w:ascii="Arial" w:hAnsi="Arial"/>
                <w:b/>
                <w:i w:val="0"/>
                <w:color w:val="111827"/>
                <w:sz w:val="21"/>
              </w:rPr>
              <w:t>ambiente de tarefa (microambiente)</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w:t>
            </w:r>
            <w:r>
              <w:rPr>
                <w:rFonts w:ascii="Arial" w:hAnsi="Arial"/>
                <w:b/>
                <w:i w:val="0"/>
                <w:color w:val="111827"/>
                <w:sz w:val="21"/>
              </w:rPr>
              <w:t>ambiente de tarefa (ou microambiente operacional)</w:t>
            </w:r>
            <w:r>
              <w:rPr>
                <w:rFonts w:ascii="Arial" w:hAnsi="Arial"/>
                <w:b w:val="0"/>
                <w:i w:val="0"/>
                <w:color w:val="111827"/>
                <w:sz w:val="21"/>
              </w:rPr>
              <w:t xml:space="preserve"> é o nicho direto com o qual a instituição pública se relaciona cotidianamente para desempenhar sua missão: nele estão inseridos os cidadãos-usuários (jurisdicionados), os fornecedores contratados e as entidades reguladoras e controladoras.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matriz PESTEL analisa o macroambiente externo (variáveis Políticas, Econômicas, Sociais, Tecnológicas, Ecológicas e Legais).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Em ambientes dinâmicos e imprevisíveis, a teoria contingencial recomenda estruturas </w:t>
            </w:r>
            <w:r>
              <w:rPr>
                <w:rFonts w:ascii="Arial" w:hAnsi="Arial"/>
                <w:b/>
                <w:i w:val="0"/>
                <w:color w:val="111827"/>
                <w:sz w:val="21"/>
              </w:rPr>
              <w:t>orgânicas</w:t>
            </w:r>
            <w:r>
              <w:rPr>
                <w:rFonts w:ascii="Arial" w:hAnsi="Arial"/>
                <w:b w:val="0"/>
                <w:i w:val="0"/>
                <w:color w:val="111827"/>
                <w:sz w:val="21"/>
              </w:rPr>
              <w:t xml:space="preserve"> (flexíveis e descentralizadas), e não burocráticas mecanicistas.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ARTESP – Especialista em Regulação de Transportes)</w:t>
      </w:r>
    </w:p>
    <w:p>
      <w:pPr>
        <w:spacing w:line="360" w:lineRule="auto" w:before="0" w:after="80"/>
        <w:jc w:val="both"/>
      </w:pPr>
      <w:r>
        <w:rPr>
          <w:rFonts w:ascii="Arial" w:hAnsi="Arial"/>
          <w:b w:val="0"/>
          <w:i w:val="0"/>
          <w:color w:val="111827"/>
          <w:sz w:val="24"/>
        </w:rPr>
        <w:t>A respeito da organização formal e da organização informal no cotidiano das instituições públicas,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organização informal deve ser formalmente dissolvida pelos gestores por meio de sanções disciplinares, pois é incompatível com o princípio constitucional da eficiência.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organização formal é aquela planejada pela cúpula e oficializada em atos normativos, enquanto a organização informal decorre da rede espontânea de interações sociais e afetivas entre os colaboradores.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liderança informal coincide compulsoriamente com a autoridade formal atribuída aos servidores nomeados para cargos de direção e chefia.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Os canais informais de comunicação (rádio-peão) transmitem informações de forma mais lenta e burocrática do que os canais hierárquicos regimentais.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organograma regimental de uma instituição representa graficamente tanto as linhas de comando formal quanto as redes de solidariedade da organização informal.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organização informal é um fenômeno social espontâneo, natural e impossível de ser extirpado pela via disciplinar; gestores eficientes aprendem a conviver com ela e a canalizar seu potencial.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w:t>
            </w:r>
            <w:r>
              <w:rPr>
                <w:rFonts w:ascii="Arial" w:hAnsi="Arial"/>
                <w:b/>
                <w:i w:val="0"/>
                <w:color w:val="111827"/>
                <w:sz w:val="21"/>
              </w:rPr>
              <w:t>organização formal</w:t>
            </w:r>
            <w:r>
              <w:rPr>
                <w:rFonts w:ascii="Arial" w:hAnsi="Arial"/>
                <w:b w:val="0"/>
                <w:i w:val="0"/>
                <w:color w:val="111827"/>
                <w:sz w:val="21"/>
              </w:rPr>
              <w:t xml:space="preserve"> é desenhada deliberadamente pela direção, oficializada em regulamentos, manuais e organogramas; em contrapartida, a </w:t>
            </w:r>
            <w:r>
              <w:rPr>
                <w:rFonts w:ascii="Arial" w:hAnsi="Arial"/>
                <w:b/>
                <w:i w:val="0"/>
                <w:color w:val="111827"/>
                <w:sz w:val="21"/>
              </w:rPr>
              <w:t>organização informal</w:t>
            </w:r>
            <w:r>
              <w:rPr>
                <w:rFonts w:ascii="Arial" w:hAnsi="Arial"/>
                <w:b w:val="0"/>
                <w:i w:val="0"/>
                <w:color w:val="111827"/>
                <w:sz w:val="21"/>
              </w:rPr>
              <w:t xml:space="preserve"> surge espontaneamente da convivência entre as pessoas, laços de amizade, identificação mútua e costumes compartilhados.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liderança informal é conquistada pelo carisma, respeito e confiança dos colegas, podendo ser exercida por servidores sem qualquer cargo de chefia formal.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comunicação informal é notoriamente veloz, contornando a burocracia dos canais formais.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organograma retrata exclusivamente a estrutura </w:t>
            </w:r>
            <w:r>
              <w:rPr>
                <w:rFonts w:ascii="Arial" w:hAnsi="Arial"/>
                <w:b/>
                <w:i w:val="0"/>
                <w:color w:val="111827"/>
                <w:sz w:val="21"/>
              </w:rPr>
              <w:t>formal</w:t>
            </w:r>
            <w:r>
              <w:rPr>
                <w:rFonts w:ascii="Arial" w:hAnsi="Arial"/>
                <w:b w:val="0"/>
                <w:i w:val="0"/>
                <w:color w:val="111827"/>
                <w:sz w:val="21"/>
              </w:rPr>
              <w:t xml:space="preserve"> (departamentos e linhas hierárquicas oficiais), sendo incapaz de mapear as redes informais.</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03 - Processo Decisório, Tipos de Decisão, Visão Sistêmica e Gerenciamento de Projetos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Administração Geral</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03_processo_decisorio_visao_sistemica_e_gerenciamento_de_projetos.md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processo decisório na administração: etapas lógicas do ciclo decisório (identificação do problema, diagnóstico, formulação de alternativas, avaliação comparativa, escolha, implementação e avaliação dos resultados);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Tipos de decisões organizacionais segundo Herbert Simon: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Decisões Programadas (estruturadas, rotineiras, repetitivas, amparadas por regras, resoluções e POPs);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Decisões Não Programadas (não estruturadas, inéditas, complexas, estratégicas e tomadas sob turbulência);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Condições ambientais da tomada de decisão: condições de certeza, risco, incerteza e ambiguidade;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Visão sistêmica nas organizações: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pensamento holístico e a superação da visão fragmentada departamental (fim dos "silos organizacionais" ou feudos administrativos);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Sinergia organizacional (</w:t>
      </w:r>
      <w:r>
        <w:rPr>
          <w:rFonts w:ascii="Cambria Math" w:hAnsi="Cambria Math"/>
          <w:i/>
          <w:color w:val="1B365D"/>
          <w:sz w:val="22"/>
        </w:rPr>
        <w:t>1 + 1 &gt; 2</w:t>
      </w:r>
      <w:r>
        <w:rPr>
          <w:rFonts w:ascii="Arial" w:hAnsi="Arial"/>
          <w:b w:val="0"/>
          <w:i w:val="0"/>
          <w:color w:val="111827"/>
          <w:sz w:val="22"/>
        </w:rPr>
        <w:t>) e interdependência dos subsistemas (técnico, estrutural, psicossocial e gerencial de Kast e Rosenzweig);</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Equifinalidade e homeostase dinâmica na preservação da missão institucional perante o ambiente externo;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Noções fundamentais de Gerenciamento de Projetos: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Conceito de projeto segundo as boas práticas do PMI/PMBOK;</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restrição tripla do gerenciamento de projetos: Escopo, Tempo e Custo (balizados pelo padrão de Qualidade);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Ferramentas clássicas de acompanhamento e controle de projetos: Gráfico de Gantt, Método do Caminho Crítico (CPM - </w:t>
      </w:r>
      <w:r>
        <w:rPr>
          <w:rFonts w:ascii="Arial" w:hAnsi="Arial"/>
          <w:b w:val="0"/>
          <w:i/>
          <w:color w:val="111827"/>
          <w:sz w:val="22"/>
        </w:rPr>
        <w:t>Critical Path Method</w:t>
      </w:r>
      <w:r>
        <w:rPr>
          <w:rFonts w:ascii="Arial" w:hAnsi="Arial"/>
          <w:b w:val="0"/>
          <w:i w:val="0"/>
          <w:color w:val="111827"/>
          <w:sz w:val="22"/>
        </w:rPr>
        <w:t>) e técnica PERT (</w:t>
      </w:r>
      <w:r>
        <w:rPr>
          <w:rFonts w:ascii="Arial" w:hAnsi="Arial"/>
          <w:b w:val="0"/>
          <w:i/>
          <w:color w:val="111827"/>
          <w:sz w:val="22"/>
        </w:rPr>
        <w:t>Program Evaluation and Review Technique</w:t>
      </w:r>
      <w:r>
        <w:rPr>
          <w:rFonts w:ascii="Arial" w:hAnsi="Arial"/>
          <w:b w:val="0"/>
          <w:i w:val="0"/>
          <w:color w:val="111827"/>
          <w:sz w:val="22"/>
        </w:rPr>
        <w:t xml:space="preserve"> com três estimativas de tempo).</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O Ciclo do Processo Decisório e a Tipologia de Decisões (Herbert Simon)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Condições Ambientais da Tomada de Decisão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Visão Sistêmica, Pensamento Holístico e Silos Organizacionais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Gerenciamento de Projetos: Restrição Tripla, Gantt, CPM e PERT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de Concurso FCC Comentadas</w:t>
      </w:r>
    </w:p>
    <w:p>
      <w:pPr>
        <w:keepNext/>
        <w:spacing w:before="280" w:after="120"/>
      </w:pPr>
      <w:r>
        <w:rPr>
          <w:rFonts w:ascii="Arial" w:hAnsi="Arial"/>
          <w:b/>
          <w:i w:val="0"/>
          <w:color w:val="2C5282"/>
          <w:sz w:val="28"/>
        </w:rPr>
        <w:t>📖 Resumo Teórico Aprofundado &amp; Esquematizado</w:t>
      </w:r>
    </w:p>
    <w:p>
      <w:pPr>
        <w:keepNext/>
        <w:spacing w:before="200" w:after="80"/>
      </w:pPr>
      <w:r>
        <w:rPr>
          <w:rFonts w:ascii="Arial" w:hAnsi="Arial"/>
          <w:b/>
          <w:i w:val="0"/>
          <w:color w:val="2B6CB0"/>
          <w:sz w:val="24"/>
        </w:rPr>
        <w:t>1. O Ciclo do Processo Decisório e a Tipologia de Decisões (Herbert Simon)</w:t>
      </w:r>
    </w:p>
    <w:p>
      <w:pPr>
        <w:spacing w:line="360" w:lineRule="auto" w:before="0" w:after="80"/>
        <w:jc w:val="both"/>
      </w:pPr>
      <w:r>
        <w:rPr>
          <w:rFonts w:ascii="Arial" w:hAnsi="Arial"/>
          <w:b w:val="0"/>
          <w:i w:val="0"/>
          <w:color w:val="111827"/>
          <w:sz w:val="24"/>
        </w:rPr>
        <w:t>O processo decisório é a sequência lógica e deliberada de passos cognitivos por meio da qual um administrador ou colegiado identifica uma demanda e elege uma linha de ação específica dentre alternativas concorrentes:</w:t>
      </w:r>
    </w:p>
    <w:p>
      <w:pPr>
        <w:spacing w:after="120"/>
      </w:pPr>
    </w:p>
    <w:p>
      <w:pPr>
        <w:keepNext/>
        <w:spacing w:before="120" w:after="40"/>
      </w:pPr>
      <w:r>
        <w:rPr>
          <w:rFonts w:ascii="Arial" w:hAnsi="Arial"/>
          <w:b/>
          <w:i/>
          <w:color w:val="334155"/>
          <w:sz w:val="22"/>
        </w:rPr>
        <w:t>Decisões Programadas versus Não Programadas (Herbert Simon):</w:t>
      </w:r>
    </w:p>
    <w:p>
      <w:pPr>
        <w:spacing w:line="360" w:lineRule="auto" w:before="0" w:after="80"/>
        <w:jc w:val="both"/>
      </w:pPr>
      <w:r>
        <w:rPr>
          <w:rFonts w:ascii="Arial" w:hAnsi="Arial"/>
          <w:b w:val="0"/>
          <w:i w:val="0"/>
          <w:color w:val="111827"/>
          <w:sz w:val="24"/>
        </w:rPr>
        <w:t>Herbert Simon dividiu as decisões administrativas em duas categorias essenciais:</w:t>
      </w: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Decisões Programadas</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Decisões Não Programadas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Natureza do Problema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Estruturado, rotineiro, repetitivo e frequente.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Inédito, mal estruturado, singular e imprevisível.</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Grau de Incerteza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Mínimo; desfechos amplamente previsíveis e seguros.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Elevado; variáveis desconhecidas, mutáveis e turbulentas.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Fundamento da Escolha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Procedimentos operacionais padrão (POP), leis e manuais.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Julgamento crítico, intuição embasada e visão estratégica.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Nível Organizacional Típico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Nível Operacional e Gerência Média/Tática.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Alta Cúpula Institucional (Nível Estratégico).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ATENÇÃO (DECISÕES PROGRAMADAS VS. NÃO PROGRAMADAS):</w:t>
            </w:r>
          </w:p>
          <w:p>
            <w:pPr>
              <w:spacing w:line="288" w:lineRule="auto" w:before="40" w:after="40"/>
            </w:pPr>
            <w:r>
              <w:rPr>
                <w:rFonts w:ascii="Arial" w:hAnsi="Arial"/>
                <w:b w:val="0"/>
                <w:i w:val="0"/>
                <w:color w:val="111827"/>
                <w:sz w:val="21"/>
              </w:rPr>
              <w:t xml:space="preserve">- Decisões </w:t>
            </w:r>
            <w:r>
              <w:rPr>
                <w:rFonts w:ascii="Arial" w:hAnsi="Arial"/>
                <w:b/>
                <w:i w:val="0"/>
                <w:color w:val="111827"/>
                <w:sz w:val="21"/>
              </w:rPr>
              <w:t>Programadas</w:t>
            </w:r>
            <w:r>
              <w:rPr>
                <w:rFonts w:ascii="Arial" w:hAnsi="Arial"/>
                <w:b w:val="0"/>
                <w:i w:val="0"/>
                <w:color w:val="111827"/>
                <w:sz w:val="21"/>
              </w:rPr>
              <w:t xml:space="preserve"> baseiam-se em normas, rotinas, formulários padronizados e leis vigentes (nível operacional).</w:t>
            </w:r>
          </w:p>
          <w:p>
            <w:pPr>
              <w:spacing w:line="288" w:lineRule="auto" w:before="40" w:after="40"/>
            </w:pPr>
            <w:r>
              <w:rPr>
                <w:rFonts w:ascii="Arial" w:hAnsi="Arial"/>
                <w:b w:val="0"/>
                <w:i w:val="0"/>
                <w:color w:val="111827"/>
                <w:sz w:val="21"/>
              </w:rPr>
              <w:t xml:space="preserve">- Decisões </w:t>
            </w:r>
            <w:r>
              <w:rPr>
                <w:rFonts w:ascii="Arial" w:hAnsi="Arial"/>
                <w:b/>
                <w:i w:val="0"/>
                <w:color w:val="111827"/>
                <w:sz w:val="21"/>
              </w:rPr>
              <w:t>Não Programadas</w:t>
            </w:r>
            <w:r>
              <w:rPr>
                <w:rFonts w:ascii="Arial" w:hAnsi="Arial"/>
                <w:b w:val="0"/>
                <w:i w:val="0"/>
                <w:color w:val="111827"/>
                <w:sz w:val="21"/>
              </w:rPr>
              <w:t xml:space="preserve"> tratam de imprevistos inéditos e desestruturados, exigindo julgamento e visão estratégica da alta cúpula.</w:t>
            </w:r>
          </w:p>
        </w:tc>
      </w:tr>
    </w:tbl>
    <w:p>
      <w:pPr>
        <w:spacing w:before="0" w:after="120"/>
      </w:pPr>
    </w:p>
    <w:p>
      <w:pPr>
        <w:keepNext/>
        <w:spacing w:before="200" w:after="80"/>
      </w:pPr>
      <w:r>
        <w:rPr>
          <w:rFonts w:ascii="Arial" w:hAnsi="Arial"/>
          <w:b/>
          <w:i w:val="0"/>
          <w:color w:val="2B6CB0"/>
          <w:sz w:val="24"/>
        </w:rPr>
        <w:t>2. Condições Ambientais da Tomada de Decisão</w:t>
      </w:r>
    </w:p>
    <w:p>
      <w:pPr>
        <w:spacing w:line="360" w:lineRule="auto" w:before="0" w:after="80"/>
        <w:jc w:val="both"/>
      </w:pPr>
      <w:r>
        <w:rPr>
          <w:rFonts w:ascii="Arial" w:hAnsi="Arial"/>
          <w:b w:val="0"/>
          <w:i w:val="0"/>
          <w:color w:val="111827"/>
          <w:sz w:val="24"/>
        </w:rPr>
        <w:t>O contexto em que a decisão é tomada varia segundo a qualidade e a completude das informações disponíveis: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Condição de Certeza:</w:t>
      </w:r>
      <w:r>
        <w:rPr>
          <w:rFonts w:ascii="Arial" w:hAnsi="Arial"/>
          <w:b w:val="0"/>
          <w:i w:val="0"/>
          <w:color w:val="111827"/>
          <w:sz w:val="22"/>
        </w:rPr>
        <w:t xml:space="preserve"> O decisor dispõe de informações completas, exatas e confiáveis. Os resultados de cada linha de ação são previsíveis com precisão matemática (resultado determinístico).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Condição de Risco:</w:t>
      </w:r>
      <w:r>
        <w:rPr>
          <w:rFonts w:ascii="Arial" w:hAnsi="Arial"/>
          <w:b w:val="0"/>
          <w:i w:val="0"/>
          <w:color w:val="111827"/>
          <w:sz w:val="22"/>
        </w:rPr>
        <w:t xml:space="preserve"> O decisor desconhece com certeza o desfecho final, mas possui dados históricos, séries temporais e estatísticas suficientes para </w:t>
      </w:r>
      <w:r>
        <w:rPr>
          <w:rFonts w:ascii="Arial" w:hAnsi="Arial"/>
          <w:b/>
          <w:i w:val="0"/>
          <w:color w:val="111827"/>
          <w:sz w:val="22"/>
        </w:rPr>
        <w:t>atribuir probabilidades matemáticas confiáveis</w:t>
      </w:r>
      <w:r>
        <w:rPr>
          <w:rFonts w:ascii="Arial" w:hAnsi="Arial"/>
          <w:b w:val="0"/>
          <w:i w:val="0"/>
          <w:color w:val="111827"/>
          <w:sz w:val="22"/>
        </w:rPr>
        <w:t xml:space="preserve"> a cada alternativa (ex.: probabilidade de 70% de êxito em uma fiscalização externa).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Condição de Incerteza:</w:t>
      </w:r>
      <w:r>
        <w:rPr>
          <w:rFonts w:ascii="Arial" w:hAnsi="Arial"/>
          <w:b w:val="0"/>
          <w:i w:val="0"/>
          <w:color w:val="111827"/>
          <w:sz w:val="22"/>
        </w:rPr>
        <w:t xml:space="preserve"> O ambiente é tão dinâmico ou a situação é tão inovadora que faltam dados históricos básicos. O gestor </w:t>
      </w:r>
      <w:r>
        <w:rPr>
          <w:rFonts w:ascii="Arial" w:hAnsi="Arial"/>
          <w:b/>
          <w:i w:val="0"/>
          <w:color w:val="111827"/>
          <w:sz w:val="22"/>
        </w:rPr>
        <w:t>não tem condições de calcular probabilidades estatísticas</w:t>
      </w:r>
      <w:r>
        <w:rPr>
          <w:rFonts w:ascii="Arial" w:hAnsi="Arial"/>
          <w:b w:val="0"/>
          <w:i w:val="0"/>
          <w:color w:val="111827"/>
          <w:sz w:val="22"/>
        </w:rPr>
        <w:t xml:space="preserve"> confiáveis, dependendo de intuição embasada e cenários prospectivos.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Condição de Ambiguidade:</w:t>
      </w:r>
      <w:r>
        <w:rPr>
          <w:rFonts w:ascii="Arial" w:hAnsi="Arial"/>
          <w:b w:val="0"/>
          <w:i w:val="0"/>
          <w:color w:val="111827"/>
          <w:sz w:val="22"/>
        </w:rPr>
        <w:t xml:space="preserve"> A situação mais crítica de gestão; as próprias metas organizacionais são nebulosas ou contraditórias, o problema é mal compreendido e inexistem alternativas claras de ação delineadas.</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(RISCO VS. INCERTEZA NA DECISÃO):</w:t>
            </w:r>
          </w:p>
          <w:p>
            <w:pPr>
              <w:spacing w:line="288" w:lineRule="auto" w:before="40" w:after="40"/>
            </w:pPr>
            <w:r>
              <w:rPr>
                <w:rFonts w:ascii="Arial" w:hAnsi="Arial"/>
                <w:b w:val="0"/>
                <w:i w:val="0"/>
                <w:color w:val="111827"/>
                <w:sz w:val="21"/>
              </w:rPr>
              <w:t>Grave a diferença estatística crucial nas provas da FCC:</w:t>
            </w:r>
          </w:p>
          <w:p>
            <w:pPr>
              <w:spacing w:line="288" w:lineRule="auto" w:before="40" w:after="40"/>
            </w:pPr>
            <w:r>
              <w:rPr>
                <w:rFonts w:ascii="Arial" w:hAnsi="Arial"/>
                <w:b w:val="0"/>
                <w:i w:val="0"/>
                <w:color w:val="111827"/>
                <w:sz w:val="21"/>
              </w:rPr>
              <w:t xml:space="preserve">- Em ambiente de </w:t>
            </w:r>
            <w:r>
              <w:rPr>
                <w:rFonts w:ascii="Arial" w:hAnsi="Arial"/>
                <w:b/>
                <w:i w:val="0"/>
                <w:color w:val="111827"/>
                <w:sz w:val="21"/>
              </w:rPr>
              <w:t>RISCO</w:t>
            </w:r>
            <w:r>
              <w:rPr>
                <w:rFonts w:ascii="Arial" w:hAnsi="Arial"/>
                <w:b w:val="0"/>
                <w:i w:val="0"/>
                <w:color w:val="111827"/>
                <w:sz w:val="21"/>
              </w:rPr>
              <w:t xml:space="preserve">, você </w:t>
            </w:r>
            <w:r>
              <w:rPr>
                <w:rFonts w:ascii="Arial" w:hAnsi="Arial"/>
                <w:b/>
                <w:i w:val="0"/>
                <w:color w:val="111827"/>
                <w:sz w:val="21"/>
              </w:rPr>
              <w:t>consegue calcular probabilidades matemáticas</w:t>
            </w:r>
            <w:r>
              <w:rPr>
                <w:rFonts w:ascii="Arial" w:hAnsi="Arial"/>
                <w:b w:val="0"/>
                <w:i w:val="0"/>
                <w:color w:val="111827"/>
                <w:sz w:val="21"/>
              </w:rPr>
              <w:t xml:space="preserve"> associadas aos eventos futuros porque dispõe de séries históricas e dados estatísticos.</w:t>
            </w:r>
          </w:p>
          <w:p>
            <w:pPr>
              <w:spacing w:line="288" w:lineRule="auto" w:before="40" w:after="40"/>
            </w:pPr>
            <w:r>
              <w:rPr>
                <w:rFonts w:ascii="Arial" w:hAnsi="Arial"/>
                <w:b w:val="0"/>
                <w:i w:val="0"/>
                <w:color w:val="111827"/>
                <w:sz w:val="21"/>
              </w:rPr>
              <w:t xml:space="preserve">- Em ambiente de </w:t>
            </w:r>
            <w:r>
              <w:rPr>
                <w:rFonts w:ascii="Arial" w:hAnsi="Arial"/>
                <w:b/>
                <w:i w:val="0"/>
                <w:color w:val="111827"/>
                <w:sz w:val="21"/>
              </w:rPr>
              <w:t>INCERTEZA</w:t>
            </w:r>
            <w:r>
              <w:rPr>
                <w:rFonts w:ascii="Arial" w:hAnsi="Arial"/>
                <w:b w:val="0"/>
                <w:i w:val="0"/>
                <w:color w:val="111827"/>
                <w:sz w:val="21"/>
              </w:rPr>
              <w:t xml:space="preserve">, os dados são precários ou inexistentes, sendo </w:t>
            </w:r>
            <w:r>
              <w:rPr>
                <w:rFonts w:ascii="Arial" w:hAnsi="Arial"/>
                <w:b/>
                <w:i w:val="0"/>
                <w:color w:val="111827"/>
                <w:sz w:val="21"/>
              </w:rPr>
              <w:t>impossível estimar probabilidades matemáticas confiáveis</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3. Visão Sistêmica, Pensamento Holístico e Silos Organizacionais</w:t>
      </w:r>
    </w:p>
    <w:p>
      <w:pPr>
        <w:spacing w:line="360" w:lineRule="auto" w:before="0" w:after="80"/>
        <w:jc w:val="both"/>
      </w:pPr>
      <w:r>
        <w:rPr>
          <w:rFonts w:ascii="Arial" w:hAnsi="Arial"/>
          <w:b w:val="0"/>
          <w:i w:val="0"/>
          <w:color w:val="111827"/>
          <w:sz w:val="24"/>
        </w:rPr>
        <w:t xml:space="preserve">A abordagem sistêmica concebe a instituição pública como um </w:t>
      </w:r>
      <w:r>
        <w:rPr>
          <w:rFonts w:ascii="Arial" w:hAnsi="Arial"/>
          <w:b/>
          <w:i w:val="0"/>
          <w:color w:val="111827"/>
          <w:sz w:val="24"/>
        </w:rPr>
        <w:t>sistema aberto</w:t>
      </w:r>
      <w:r>
        <w:rPr>
          <w:rFonts w:ascii="Arial" w:hAnsi="Arial"/>
          <w:b w:val="0"/>
          <w:i w:val="0"/>
          <w:color w:val="111827"/>
          <w:sz w:val="24"/>
        </w:rPr>
        <w:t xml:space="preserve"> composto por partes dinamicamente interconectadas e em constante intercâmbio com a sociedade:</w:t>
      </w:r>
    </w:p>
    <w:p>
      <w:pPr>
        <w:spacing w:line="276" w:lineRule="auto" w:before="20" w:after="40"/>
        <w:ind w:left="425"/>
      </w:pPr>
      <w:r>
        <w:rPr>
          <w:rFonts w:ascii="Arial" w:hAnsi="Arial"/>
          <w:b/>
          <w:color w:val="1B365D"/>
          <w:sz w:val="22"/>
        </w:rPr>
        <w:t xml:space="preserve">1. </w:t>
      </w:r>
      <w:r>
        <w:rPr>
          <w:rFonts w:ascii="Arial" w:hAnsi="Arial"/>
          <w:b/>
          <w:i w:val="0"/>
          <w:color w:val="111827"/>
          <w:sz w:val="22"/>
        </w:rPr>
        <w:t>Superação dos Silos Organizacionais (Feudos Administrativos):</w:t>
      </w:r>
      <w:r>
        <w:rPr>
          <w:rFonts w:ascii="Arial" w:hAnsi="Arial"/>
          <w:b w:val="0"/>
          <w:i w:val="0"/>
          <w:color w:val="111827"/>
          <w:sz w:val="22"/>
        </w:rPr>
        <w:t xml:space="preserve"> Na abordagem burocrática mecanicista tradicional, cada diretoria ou setor funcionava como um "feudo isolado" (</w:t>
      </w:r>
      <w:r>
        <w:rPr>
          <w:rFonts w:ascii="Arial" w:hAnsi="Arial"/>
          <w:b w:val="0"/>
          <w:i/>
          <w:color w:val="111827"/>
          <w:sz w:val="22"/>
        </w:rPr>
        <w:t>silo organizacional</w:t>
      </w:r>
      <w:r>
        <w:rPr>
          <w:rFonts w:ascii="Arial" w:hAnsi="Arial"/>
          <w:b w:val="0"/>
          <w:i w:val="0"/>
          <w:color w:val="111827"/>
          <w:sz w:val="22"/>
        </w:rPr>
        <w:t xml:space="preserve">), preocupado exclusivamente com suas próprias metas setoriais e cego aos impactos no restante do órgão. O </w:t>
      </w:r>
      <w:r>
        <w:rPr>
          <w:rFonts w:ascii="Arial" w:hAnsi="Arial"/>
          <w:b/>
          <w:i w:val="0"/>
          <w:color w:val="111827"/>
          <w:sz w:val="22"/>
        </w:rPr>
        <w:t>pensamento holístico</w:t>
      </w:r>
      <w:r>
        <w:rPr>
          <w:rFonts w:ascii="Arial" w:hAnsi="Arial"/>
          <w:b w:val="0"/>
          <w:i w:val="0"/>
          <w:color w:val="111827"/>
          <w:sz w:val="22"/>
        </w:rPr>
        <w:t xml:space="preserve"> supera essa fragmentação, integrando as unidades em torno do propósito público comum.</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Sinergia Organizacional:</w:t>
      </w:r>
      <w:r>
        <w:rPr>
          <w:rFonts w:ascii="Arial" w:hAnsi="Arial"/>
          <w:b w:val="0"/>
          <w:i w:val="0"/>
          <w:color w:val="111827"/>
          <w:sz w:val="22"/>
        </w:rPr>
        <w:t xml:space="preserve"> Fenômeno pelo qual a ação cooperativa e coordenada dos subsistemas integrados produz um resultado global significativamente superior à mera soma dos resultados obtidos por cada unidade isoladamente (</w:t>
      </w:r>
      <w:r>
        <w:rPr>
          <w:rFonts w:ascii="Cambria Math" w:hAnsi="Cambria Math"/>
          <w:i/>
          <w:color w:val="1B365D"/>
          <w:sz w:val="22"/>
        </w:rPr>
        <w:t>1 + 1 &gt; 2</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Os Cinco Subsistemas Organizacionais de Kast e Rosenzweig:</w:t>
      </w:r>
    </w:p>
    <w:p>
      <w:pPr>
        <w:spacing w:line="276" w:lineRule="auto" w:before="20" w:after="40"/>
        <w:ind w:left="992"/>
      </w:pPr>
      <w:r>
        <w:rPr>
          <w:rFonts w:ascii="Arial" w:hAnsi="Arial"/>
          <w:b/>
          <w:color w:val="2B6CB0"/>
          <w:sz w:val="22"/>
        </w:rPr>
        <w:t xml:space="preserve">• </w:t>
      </w:r>
      <w:r>
        <w:rPr>
          <w:rFonts w:ascii="Arial" w:hAnsi="Arial"/>
          <w:b/>
          <w:i w:val="0"/>
          <w:color w:val="111827"/>
          <w:sz w:val="22"/>
        </w:rPr>
        <w:t>Subsistema de Objetivos e Valores:</w:t>
      </w:r>
      <w:r>
        <w:rPr>
          <w:rFonts w:ascii="Arial" w:hAnsi="Arial"/>
          <w:b w:val="0"/>
          <w:i w:val="0"/>
          <w:color w:val="111827"/>
          <w:sz w:val="22"/>
        </w:rPr>
        <w:t xml:space="preserve"> Missão institucional, visão de futuro e cultura ética do órgão.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Subsistema Técnico:</w:t>
      </w:r>
      <w:r>
        <w:rPr>
          <w:rFonts w:ascii="Arial" w:hAnsi="Arial"/>
          <w:b w:val="0"/>
          <w:i w:val="0"/>
          <w:color w:val="111827"/>
          <w:sz w:val="22"/>
        </w:rPr>
        <w:t xml:space="preserve"> Instalações físicas, softwares, métodos de fiscalização, equipamentos e conhecimentos aplicados.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Subsistema Estrutural:</w:t>
      </w:r>
      <w:r>
        <w:rPr>
          <w:rFonts w:ascii="Arial" w:hAnsi="Arial"/>
          <w:b w:val="0"/>
          <w:i w:val="0"/>
          <w:color w:val="111827"/>
          <w:sz w:val="22"/>
        </w:rPr>
        <w:t xml:space="preserve"> Desenho do organograma, divisão do trabalho, regimentos internos e linhas de subordinação hierárquica.</w:t>
      </w:r>
    </w:p>
    <w:p>
      <w:pPr>
        <w:spacing w:line="276" w:lineRule="auto" w:before="20" w:after="40"/>
        <w:ind w:left="992"/>
      </w:pPr>
      <w:r>
        <w:rPr>
          <w:rFonts w:ascii="Arial" w:hAnsi="Arial"/>
          <w:b/>
          <w:color w:val="2B6CB0"/>
          <w:sz w:val="22"/>
        </w:rPr>
        <w:t xml:space="preserve">• </w:t>
      </w:r>
      <w:r>
        <w:rPr>
          <w:rFonts w:ascii="Arial" w:hAnsi="Arial"/>
          <w:b/>
          <w:i w:val="0"/>
          <w:color w:val="111827"/>
          <w:sz w:val="22"/>
        </w:rPr>
        <w:t>Subsistema Psicossocial:</w:t>
      </w:r>
      <w:r>
        <w:rPr>
          <w:rFonts w:ascii="Arial" w:hAnsi="Arial"/>
          <w:b w:val="0"/>
          <w:i w:val="0"/>
          <w:color w:val="111827"/>
          <w:sz w:val="22"/>
        </w:rPr>
        <w:t xml:space="preserve"> Relações humanas interpessoais, clima de trabalho, dinâmica de grupos, motivação e liderança.</w:t>
      </w:r>
    </w:p>
    <w:p>
      <w:pPr>
        <w:spacing w:line="276" w:lineRule="auto" w:before="20" w:after="40"/>
        <w:ind w:left="992"/>
      </w:pPr>
      <w:r>
        <w:rPr>
          <w:rFonts w:ascii="Arial" w:hAnsi="Arial"/>
          <w:b/>
          <w:color w:val="2B6CB0"/>
          <w:sz w:val="22"/>
        </w:rPr>
        <w:t xml:space="preserve">• </w:t>
      </w:r>
      <w:r>
        <w:rPr>
          <w:rFonts w:ascii="Arial" w:hAnsi="Arial"/>
          <w:b/>
          <w:i w:val="0"/>
          <w:color w:val="111827"/>
          <w:sz w:val="22"/>
        </w:rPr>
        <w:t>Subsistema Gerencial:</w:t>
      </w:r>
      <w:r>
        <w:rPr>
          <w:rFonts w:ascii="Arial" w:hAnsi="Arial"/>
          <w:b w:val="0"/>
          <w:i w:val="0"/>
          <w:color w:val="111827"/>
          <w:sz w:val="22"/>
        </w:rPr>
        <w:t xml:space="preserve"> Função integradora superior que conecta e direciona todos os outros subsistemas através do planejamento, organização, comando, coordenação e controle.</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(O CONCEITO DE SINERGIA):</w:t>
            </w:r>
          </w:p>
          <w:p>
            <w:pPr>
              <w:spacing w:line="288" w:lineRule="auto" w:before="40" w:after="40"/>
            </w:pPr>
            <w:r>
              <w:rPr>
                <w:rFonts w:ascii="Arial" w:hAnsi="Arial"/>
                <w:b w:val="0"/>
                <w:i w:val="0"/>
                <w:color w:val="111827"/>
                <w:sz w:val="21"/>
              </w:rPr>
              <w:t>Na abordagem sistêmica, sinergia significa que as unidades interdependentes cooperando de forma harmônica geram um valor total que excede a simples soma de seus desempenhos isolados (</w:t>
            </w:r>
            <w:r>
              <w:rPr>
                <w:rFonts w:ascii="Cambria Math" w:hAnsi="Cambria Math"/>
                <w:i/>
                <w:color w:val="1B365D"/>
                <w:sz w:val="21"/>
              </w:rPr>
              <w:t>1 + 1 &gt; 2</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4. Gerenciamento de Projetos: Restrição Tripla, Gantt, CPM e PERT</w:t>
      </w:r>
    </w:p>
    <w:p>
      <w:pPr>
        <w:spacing w:line="360" w:lineRule="auto" w:before="0" w:after="80"/>
        <w:jc w:val="both"/>
      </w:pPr>
      <w:r>
        <w:rPr>
          <w:rFonts w:ascii="Arial" w:hAnsi="Arial"/>
          <w:b w:val="0"/>
          <w:i w:val="0"/>
          <w:color w:val="111827"/>
          <w:sz w:val="24"/>
        </w:rPr>
        <w:t xml:space="preserve">Segundo o Project Management Institute (PMI/PMBOK), um </w:t>
      </w:r>
      <w:r>
        <w:rPr>
          <w:rFonts w:ascii="Arial" w:hAnsi="Arial"/>
          <w:b/>
          <w:i w:val="0"/>
          <w:color w:val="111827"/>
          <w:sz w:val="24"/>
        </w:rPr>
        <w:t>projeto</w:t>
      </w:r>
      <w:r>
        <w:rPr>
          <w:rFonts w:ascii="Arial" w:hAnsi="Arial"/>
          <w:b w:val="0"/>
          <w:i w:val="0"/>
          <w:color w:val="111827"/>
          <w:sz w:val="24"/>
        </w:rPr>
        <w:t xml:space="preserve"> é um empreendimento temporário (possui início e fim previamente definidos) desenvolvido para criar um produto, serviço ou resultado único e exclusivo. Diferencia-se dos </w:t>
      </w:r>
      <w:r>
        <w:rPr>
          <w:rFonts w:ascii="Arial" w:hAnsi="Arial"/>
          <w:b/>
          <w:i w:val="0"/>
          <w:color w:val="111827"/>
          <w:sz w:val="24"/>
        </w:rPr>
        <w:t>processos</w:t>
      </w:r>
      <w:r>
        <w:rPr>
          <w:rFonts w:ascii="Arial" w:hAnsi="Arial"/>
          <w:b w:val="0"/>
          <w:i w:val="0"/>
          <w:color w:val="111827"/>
          <w:sz w:val="24"/>
        </w:rPr>
        <w:t>, que são operações contínuas, rotineiras e padronizadas.</w:t>
      </w:r>
    </w:p>
    <w:p>
      <w:pPr>
        <w:spacing w:after="120"/>
      </w:pPr>
    </w:p>
    <w:p>
      <w:pPr>
        <w:keepNext/>
        <w:spacing w:before="120" w:after="40"/>
      </w:pPr>
      <w:r>
        <w:rPr>
          <w:rFonts w:ascii="Arial" w:hAnsi="Arial"/>
          <w:b/>
          <w:i/>
          <w:color w:val="334155"/>
          <w:sz w:val="22"/>
        </w:rPr>
        <w:t>As Ferramentas de Planejamento e Controle de Cronograma: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Gráfico de Gantt: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Representação visual bidimensional de barras horizontais em que o eixo vertical elenca as tarefas e o eixo horizontal projeta a linha do tempo (dias, semanas ou meses).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Proporciona acompanhamento visual imediato do avanço das tarefas e de suas datas de início e término.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 xml:space="preserve">**Método do Caminho Crítico (CPM - </w:t>
      </w:r>
      <w:r>
        <w:rPr>
          <w:rFonts w:ascii="Arial" w:hAnsi="Arial"/>
          <w:b w:val="0"/>
          <w:i/>
          <w:color w:val="111827"/>
          <w:sz w:val="22"/>
        </w:rPr>
        <w:t>Critical Path Method</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Mapeia o diagrama de rede de dependências e precedências lógicas entre todas as atividades do projeto.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Caminho Crítico é a </w:t>
      </w:r>
      <w:r>
        <w:rPr>
          <w:rFonts w:ascii="Arial" w:hAnsi="Arial"/>
          <w:b/>
          <w:i w:val="0"/>
          <w:color w:val="111827"/>
          <w:sz w:val="22"/>
        </w:rPr>
        <w:t>sequência mais longa de atividades interdependentes</w:t>
      </w:r>
      <w:r>
        <w:rPr>
          <w:rFonts w:ascii="Arial" w:hAnsi="Arial"/>
          <w:b w:val="0"/>
          <w:i w:val="0"/>
          <w:color w:val="111827"/>
          <w:sz w:val="22"/>
        </w:rPr>
        <w:t xml:space="preserve"> do início ao final do projeto, determinando a sua duração total mínima.</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Regra Mandatória de Prova:</w:t>
      </w:r>
      <w:r>
        <w:rPr>
          <w:rFonts w:ascii="Arial" w:hAnsi="Arial"/>
          <w:b w:val="0"/>
          <w:i w:val="0"/>
          <w:color w:val="111827"/>
          <w:sz w:val="22"/>
        </w:rPr>
        <w:t xml:space="preserve"> Todas as atividades situadas no caminho crítico possuem </w:t>
      </w:r>
      <w:r>
        <w:rPr>
          <w:rFonts w:ascii="Arial" w:hAnsi="Arial"/>
          <w:b/>
          <w:i w:val="0"/>
          <w:color w:val="111827"/>
          <w:sz w:val="22"/>
        </w:rPr>
        <w:t>FOLGA TEMPORAL NULA (FOLGA ZERO)</w:t>
      </w:r>
      <w:r>
        <w:rPr>
          <w:rFonts w:ascii="Arial" w:hAnsi="Arial"/>
          <w:b w:val="0"/>
          <w:i w:val="0"/>
          <w:color w:val="111827"/>
          <w:sz w:val="22"/>
        </w:rPr>
        <w:t>. Qualquer atraso em uma tarefa do caminho crítico acarreta automaticamente o atraso na entrega final de todo o projeto!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**Técnica PERT (</w:t>
      </w:r>
      <w:r>
        <w:rPr>
          <w:rFonts w:ascii="Arial" w:hAnsi="Arial"/>
          <w:b w:val="0"/>
          <w:i/>
          <w:color w:val="111827"/>
          <w:sz w:val="22"/>
        </w:rPr>
        <w:t>Program Evaluation and Review Technique</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Ferramenta probabilística empregada em projetos complexos ou inovadores com alto grau de incerteza quanto à duração das atividades.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Utiliza a distribuição beta baseada em três estimativas temporais fornecidas pelos especialistas: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O (Otimista):</w:t>
      </w:r>
      <w:r>
        <w:rPr>
          <w:rFonts w:ascii="Arial" w:hAnsi="Arial"/>
          <w:b w:val="0"/>
          <w:i w:val="0"/>
          <w:color w:val="111827"/>
          <w:sz w:val="22"/>
        </w:rPr>
        <w:t xml:space="preserve"> Tempo mínimo em que a atividade pode ser concluída em condições ideais.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**M (Mais Provável / </w:t>
      </w:r>
      <w:r>
        <w:rPr>
          <w:rFonts w:ascii="Arial" w:hAnsi="Arial"/>
          <w:b w:val="0"/>
          <w:i/>
          <w:color w:val="111827"/>
          <w:sz w:val="22"/>
        </w:rPr>
        <w:t>Most Likely</w:t>
      </w:r>
      <w:r>
        <w:rPr>
          <w:rFonts w:ascii="Arial" w:hAnsi="Arial"/>
          <w:b w:val="0"/>
          <w:i w:val="0"/>
          <w:color w:val="111827"/>
          <w:sz w:val="22"/>
        </w:rPr>
        <w:t>):** Tempo esperado em circunstâncias normais de trabalho.</w:t>
      </w:r>
    </w:p>
    <w:p>
      <w:pPr>
        <w:spacing w:line="276" w:lineRule="auto" w:before="20" w:after="40"/>
        <w:ind w:left="992"/>
      </w:pPr>
      <w:r>
        <w:rPr>
          <w:rFonts w:ascii="Arial" w:hAnsi="Arial"/>
          <w:b/>
          <w:color w:val="2B6CB0"/>
          <w:sz w:val="22"/>
        </w:rPr>
        <w:t xml:space="preserve">• </w:t>
      </w:r>
      <w:r>
        <w:rPr>
          <w:rFonts w:ascii="Arial" w:hAnsi="Arial"/>
          <w:b/>
          <w:i w:val="0"/>
          <w:color w:val="111827"/>
          <w:sz w:val="22"/>
        </w:rPr>
        <w:t>P (Pessimista):</w:t>
      </w:r>
      <w:r>
        <w:rPr>
          <w:rFonts w:ascii="Arial" w:hAnsi="Arial"/>
          <w:b w:val="0"/>
          <w:i w:val="0"/>
          <w:color w:val="111827"/>
          <w:sz w:val="22"/>
        </w:rPr>
        <w:t xml:space="preserve"> Tempo máximo exigido na pior hipótese concebível (quando tudo dá errado).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Fórmula da Média Ponderada PERT (Tempo Esperado):</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\mathbf{\text{Tempo Esperado (TE)} = \frac{O + 4M + P}{6}}</w:t>
      </w:r>
      <w:r>
        <w:rPr>
          <w:rFonts w:ascii="Arial" w:hAnsi="Arial"/>
          <w:b w:val="0"/>
          <w:i w:val="0"/>
          <w:color w:val="111827"/>
          <w:sz w:val="24"/>
        </w:rPr>
        <w:t>$</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(FOLGA DO CAMINHO CRÍTICO):</w:t>
            </w:r>
          </w:p>
          <w:p>
            <w:pPr>
              <w:spacing w:line="288" w:lineRule="auto" w:before="40" w:after="40"/>
            </w:pPr>
            <w:r>
              <w:rPr>
                <w:rFonts w:ascii="Arial" w:hAnsi="Arial"/>
                <w:b w:val="0"/>
                <w:i w:val="0"/>
                <w:color w:val="111827"/>
                <w:sz w:val="21"/>
              </w:rPr>
              <w:t xml:space="preserve">Questão clássica da FCC: perguntar qual é o valor da folga de tempo das atividades que integram o caminho crítico (CPM) de um projeto. A resposta é taxativa: </w:t>
            </w:r>
            <w:r>
              <w:rPr>
                <w:rFonts w:ascii="Arial" w:hAnsi="Arial"/>
                <w:b/>
                <w:i w:val="0"/>
                <w:color w:val="111827"/>
                <w:sz w:val="21"/>
              </w:rPr>
              <w:t>FOLGA ZERO (FOLGA NULA)</w:t>
            </w:r>
            <w:r>
              <w:rPr>
                <w:rFonts w:ascii="Arial" w:hAnsi="Arial"/>
                <w:b w:val="0"/>
                <w:i w:val="0"/>
                <w:color w:val="111827"/>
                <w:sz w:val="21"/>
              </w:rPr>
              <w:t>! As tarefas críticas não admitem nenhum dia de atraso sem comprometer a data de entrega final de todo o empreendimento!</w:t>
            </w:r>
          </w:p>
        </w:tc>
      </w:tr>
    </w:tbl>
    <w:p>
      <w:pPr>
        <w:spacing w:before="0" w:after="120"/>
      </w:pPr>
    </w:p>
    <w:p>
      <w:pPr>
        <w:keepNext/>
        <w:spacing w:before="200" w:after="80"/>
      </w:pPr>
      <w:r>
        <w:rPr>
          <w:rFonts w:ascii="Arial" w:hAnsi="Arial"/>
          <w:b/>
          <w:i w:val="0"/>
          <w:color w:val="2B6CB0"/>
          <w:sz w:val="24"/>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MAXIMIANO, Antonio Cesar Amaru. Administração para Projetos: como transformar ideias em resultados. Editora Atlas.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SIMON, Herbert A. Comportamento Administrativo: estudo dos processos decisórios nas organizações. FGV.</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Project Management Institute (PMI) - Um Guia do Conhecimento em Gerenciamento de Projetos (Guia PMBOK 7ª Edição)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KAST, Fremont E.; ROSENZWEIG, James E. Organização e Administração: um enfoque sistêmico e contingencial. Pioneira.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CHIAVENATO, Idalberto. Teoria Geral da Administração: abordagens contemporâneas. Atlas.</w:t>
      </w:r>
      <w:r>
        <w:rPr>
          <w:rFonts w:ascii="Arial" w:hAnsi="Arial"/>
          <w:b w:val="0"/>
          <w:i w:val="0"/>
          <w:color w:val="111827"/>
          <w:sz w:val="22"/>
        </w:rPr>
        <w:t>.</w:t>
      </w:r>
    </w:p>
    <w:p>
      <w:pPr>
        <w:keepNext/>
        <w:spacing w:before="200" w:after="80"/>
      </w:pPr>
      <w:r>
        <w:rPr>
          <w:rFonts w:ascii="Arial" w:hAnsi="Arial"/>
          <w:b/>
          <w:i w:val="0"/>
          <w:color w:val="2B6CB0"/>
          <w:sz w:val="24"/>
        </w:rPr>
        <w:t>6.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A respeito das técnicas de planejamento e cronograma utilizadas no gerenciamento de projetos, o Método do Caminho Crítico (CPM) caracteriza-se fundamentalmente por: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Indicar a sequência de atividades com maior número de folgas temporais disponíveis para remanejamento de equipe.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Identificar a sequência de atividades dependentes de maior duração total do projeto, cujas tarefas possuem folga temporal nula.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Consistir em um método exclusivo para orçamentação financeira que desconsidera os prazos de entrega das tarefas.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Representar uma estrutura analítica de decomposição hierárquica do escopo sem vinculação temporal.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Substituir o uso de diagramas de rede pela elaboração isolada de matrizes SWOT de contingência.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As tarefas do caminho crítico não admitem folga de tempo; quem tem folga são as atividades fora do caminho crítico.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w:t>
            </w:r>
            <w:r>
              <w:rPr>
                <w:rFonts w:ascii="Arial" w:hAnsi="Arial"/>
                <w:b/>
                <w:i w:val="0"/>
                <w:color w:val="111827"/>
                <w:sz w:val="21"/>
              </w:rPr>
              <w:t>Caminho Crítico (CPM)</w:t>
            </w:r>
            <w:r>
              <w:rPr>
                <w:rFonts w:ascii="Arial" w:hAnsi="Arial"/>
                <w:b w:val="0"/>
                <w:i w:val="0"/>
                <w:color w:val="111827"/>
                <w:sz w:val="21"/>
              </w:rPr>
              <w:t xml:space="preserve"> é precisamente a sequência de atividades dependentes de maior duração total contínua no diagrama de rede que define o tempo mínimo para a conclusão do projeto; todas as atividades que o compõem possuem </w:t>
            </w:r>
            <w:r>
              <w:rPr>
                <w:rFonts w:ascii="Arial" w:hAnsi="Arial"/>
                <w:b/>
                <w:i w:val="0"/>
                <w:color w:val="111827"/>
                <w:sz w:val="21"/>
              </w:rPr>
              <w:t>folga temporal zero (nula)</w:t>
            </w:r>
            <w:r>
              <w:rPr>
                <w:rFonts w:ascii="Arial" w:hAnsi="Arial"/>
                <w:b w:val="0"/>
                <w:i w:val="0"/>
                <w:color w:val="111827"/>
                <w:sz w:val="21"/>
              </w:rPr>
              <w:t>, de maneira que qualquer atraso nelas acarreta automaticamente o atraso de todo o projeto.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CPM é uma ferramenta de gestão temporal de prazos e dependências em rede.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decomposição do escopo em entregas é a EAP (WBS), que não se confunde com o CPM.</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CPM decorre compulsoriamente da montagem do diagrama de rede de precedências lógicas.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TCE-RS – Auditor de Controle Externo)</w:t>
      </w:r>
    </w:p>
    <w:p>
      <w:pPr>
        <w:spacing w:line="360" w:lineRule="auto" w:before="0" w:after="80"/>
        <w:jc w:val="both"/>
      </w:pPr>
      <w:r>
        <w:rPr>
          <w:rFonts w:ascii="Arial" w:hAnsi="Arial"/>
          <w:b w:val="0"/>
          <w:i w:val="0"/>
          <w:color w:val="111827"/>
          <w:sz w:val="24"/>
        </w:rPr>
        <w:t>Determinado setor administrativo de um Tribunal de Contas analisa diariamente dezenas de pedidos de prorrogação de prazo protocolados por jurisdicionados. O procedimento para deferimento ou indeferimento do pedido segue critérios estritos, pré-fixados de forma taxativa em resolução normativa do Tribunal, avaliando-se apenas a tempestividade do protocolo e o anexo do atestado médico. Nos termos da tipologia do processo decisório formulada por Herbert Simon, a deliberação do chefe do setor constitui típica: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Decisão não programada.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Decisão intuitiva em condição de ambiguidade.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Decisão programada.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Decisão holística sob incerteza extrema.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Decisão estratégica de ruptura.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Decisões não programadas são tomadas perante fatos inéditos, complexos e que demandam soluções inovadoras.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Ambiguidade é a ausência de metas ou clareza sobre o problema; na hipótese narrada, as regras e dados são claros.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As </w:t>
            </w:r>
            <w:r>
              <w:rPr>
                <w:rFonts w:ascii="Arial" w:hAnsi="Arial"/>
                <w:b/>
                <w:i w:val="0"/>
                <w:color w:val="111827"/>
                <w:sz w:val="21"/>
              </w:rPr>
              <w:t>decisões programadas</w:t>
            </w:r>
            <w:r>
              <w:rPr>
                <w:rFonts w:ascii="Arial" w:hAnsi="Arial"/>
                <w:b w:val="0"/>
                <w:i w:val="0"/>
                <w:color w:val="111827"/>
                <w:sz w:val="21"/>
              </w:rPr>
              <w:t xml:space="preserve"> são aquelas que tratam de problemas rotineiros, estruturados e repetitivos, cuja resposta é automática e amparada em normas regimentais, resoluções, regras fixas ou procedimentos operacionais padrão (POPs) preestabelecidos pela organização.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Os parâmetros são plenamente conhecidos, inexistindo incerteza extrema.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análise de pedidos de prazo de rotina é tarefa operacional, e não decisão estratégica de ruptura.</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TRT-2ª Região – Analista Judiciário: Área Administrativa)</w:t>
      </w:r>
    </w:p>
    <w:p>
      <w:pPr>
        <w:spacing w:line="360" w:lineRule="auto" w:before="0" w:after="80"/>
        <w:jc w:val="both"/>
      </w:pPr>
      <w:r>
        <w:rPr>
          <w:rFonts w:ascii="Arial" w:hAnsi="Arial"/>
          <w:b w:val="0"/>
          <w:i w:val="0"/>
          <w:color w:val="111827"/>
          <w:sz w:val="24"/>
        </w:rPr>
        <w:t>No âmbito da gestão estratégica de projetos governamentais, uma equipe necessita estimar a duração provável de uma atividade inédita de digitalização de acervo histórico. Os especialistas estimaram que, no melhor cenário possível (otimista), a tarefa demandará 10 dias; no cenário mais provável, exigirá 16 dias; e, no pior cenário concebível (pessimista), demandará 28 dias. Utilizando a consagrada técnica probabilística PERT (</w:t>
      </w:r>
      <w:r>
        <w:rPr>
          <w:rFonts w:ascii="Arial" w:hAnsi="Arial"/>
          <w:b w:val="0"/>
          <w:i/>
          <w:color w:val="111827"/>
          <w:sz w:val="24"/>
        </w:rPr>
        <w:t>Program Evaluation and Review Technique</w:t>
      </w:r>
      <w:r>
        <w:rPr>
          <w:rFonts w:ascii="Arial" w:hAnsi="Arial"/>
          <w:b w:val="0"/>
          <w:i w:val="0"/>
          <w:color w:val="111827"/>
          <w:sz w:val="24"/>
        </w:rPr>
        <w:t>), a estimativa de tempo esperado (TE) para essa atividade é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18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16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17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20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15 dias.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 A técnica PERT adota a média ponderada com peso 4 para a estimativa mais provável:</w:t>
            </w:r>
          </w:p>
          <w:p>
            <w:pPr>
              <w:spacing w:line="288" w:lineRule="auto" w:before="40" w:after="40"/>
            </w:pPr>
            <w:r>
              <w:rPr>
                <w:rFonts w:ascii="Arial" w:hAnsi="Arial"/>
                <w:b w:val="0"/>
                <w:i w:val="0"/>
                <w:color w:val="111827"/>
                <w:sz w:val="21"/>
              </w:rPr>
              <w:t xml:space="preserve">- </w:t>
            </w:r>
            <w:r>
              <w:rPr>
                <w:rFonts w:ascii="Cambria Math" w:hAnsi="Cambria Math"/>
                <w:i/>
                <w:color w:val="1B365D"/>
                <w:sz w:val="21"/>
              </w:rPr>
              <w:t>\text{TE} = \frac{O + 4M + P}{6}</w:t>
            </w:r>
          </w:p>
          <w:p>
            <w:pPr>
              <w:spacing w:line="288" w:lineRule="auto" w:before="40" w:after="40"/>
            </w:pPr>
            <w:r>
              <w:rPr>
                <w:rFonts w:ascii="Arial" w:hAnsi="Arial"/>
                <w:b w:val="0"/>
                <w:i w:val="0"/>
                <w:color w:val="111827"/>
                <w:sz w:val="21"/>
              </w:rPr>
              <w:t xml:space="preserve">- Substituindo os valores do enunciado: </w:t>
            </w:r>
            <w:r>
              <w:rPr>
                <w:rFonts w:ascii="Cambria Math" w:hAnsi="Cambria Math"/>
                <w:i/>
                <w:color w:val="1B365D"/>
                <w:sz w:val="21"/>
              </w:rPr>
              <w:t>\text{TE} = \frac{10 + (4 \times 16) + 28}{6} = \frac{10 + 64 + 28}{6} = \frac{102}{6} = 17\text{ dias}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Logo, a resposta exata é </w:t>
            </w:r>
            <w:r>
              <w:rPr>
                <w:rFonts w:ascii="Arial" w:hAnsi="Arial"/>
                <w:b/>
                <w:i w:val="0"/>
                <w:color w:val="111827"/>
                <w:sz w:val="21"/>
              </w:rPr>
              <w:t>17 dias</w:t>
            </w:r>
            <w:r>
              <w:rPr>
                <w:rFonts w:ascii="Arial" w:hAnsi="Arial"/>
                <w:b w:val="0"/>
                <w:i w:val="0"/>
                <w:color w:val="111827"/>
                <w:sz w:val="21"/>
              </w:rPr>
              <w:t xml:space="preserve"> (Alternativa C).</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DPE-RS – Analista: Área Administrativa)</w:t>
      </w:r>
    </w:p>
    <w:p>
      <w:pPr>
        <w:spacing w:line="360" w:lineRule="auto" w:before="0" w:after="80"/>
        <w:jc w:val="both"/>
      </w:pPr>
      <w:r>
        <w:rPr>
          <w:rFonts w:ascii="Arial" w:hAnsi="Arial"/>
          <w:b w:val="0"/>
          <w:i w:val="0"/>
          <w:color w:val="111827"/>
          <w:sz w:val="24"/>
        </w:rPr>
        <w:t>A respeito da tomada de decisão em ambientes organizacionais e das condições de certeza, risco, incerteza e ambiguidade,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Na condição de risco, o tomador de decisão possui informações completas e sabe com absoluta precisão o desfecho de cada alternativa de 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condição de ambiguidade caracteriza-se pelo domínio pleno de dados históricos que permitem calcular probabilidades estatísticas exatas de insucesso.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condição de certeza é a situação em que o decisor atua sem informações preliminares, confiando unicamente na sorte e na intuição.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Na condição de risco, o tomador de decisão desconhece com certeza o resultado final, contudo dispõe de dados suficientes para calcular probabilidades estatísticas associadas a cada alternativa.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condição de incerteza permite ao gestor modelar todas as variáveis futuras por meio de equações determinísticas de causa e efeito imediato.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Informações completas e resultado exato definem a condição de </w:t>
            </w:r>
            <w:r>
              <w:rPr>
                <w:rFonts w:ascii="Arial" w:hAnsi="Arial"/>
                <w:b/>
                <w:i w:val="0"/>
                <w:color w:val="111827"/>
                <w:sz w:val="21"/>
              </w:rPr>
              <w:t>certeza</w:t>
            </w:r>
            <w:r>
              <w:rPr>
                <w:rFonts w:ascii="Arial" w:hAnsi="Arial"/>
                <w:b w:val="0"/>
                <w:i w:val="0"/>
                <w:color w:val="111827"/>
                <w:sz w:val="21"/>
              </w:rPr>
              <w:t>, e não de risco.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Na ambiguidade, as metas são desconhecidas e os dados são obscuros, sendo impossível calcular probabilidades.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Na certeza, o resultado é deterministicamente conhecido.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CORRETA.</w:t>
            </w:r>
            <w:r>
              <w:rPr>
                <w:rFonts w:ascii="Arial" w:hAnsi="Arial"/>
                <w:b w:val="0"/>
                <w:i w:val="0"/>
                <w:color w:val="111827"/>
                <w:sz w:val="21"/>
              </w:rPr>
              <w:t xml:space="preserve"> Na condição de </w:t>
            </w:r>
            <w:r>
              <w:rPr>
                <w:rFonts w:ascii="Arial" w:hAnsi="Arial"/>
                <w:b/>
                <w:i w:val="0"/>
                <w:color w:val="111827"/>
                <w:sz w:val="21"/>
              </w:rPr>
              <w:t>risco</w:t>
            </w:r>
            <w:r>
              <w:rPr>
                <w:rFonts w:ascii="Arial" w:hAnsi="Arial"/>
                <w:b w:val="0"/>
                <w:i w:val="0"/>
                <w:color w:val="111827"/>
                <w:sz w:val="21"/>
              </w:rPr>
              <w:t xml:space="preserve">, o resultado concreto de cada escolha é incerto, mas a organização possui informações e base histórica que tornam viável atribuir </w:t>
            </w:r>
            <w:r>
              <w:rPr>
                <w:rFonts w:ascii="Arial" w:hAnsi="Arial"/>
                <w:b/>
                <w:i w:val="0"/>
                <w:color w:val="111827"/>
                <w:sz w:val="21"/>
              </w:rPr>
              <w:t>probabilidades matemáticas ou estatísticas</w:t>
            </w:r>
            <w:r>
              <w:rPr>
                <w:rFonts w:ascii="Arial" w:hAnsi="Arial"/>
                <w:b w:val="0"/>
                <w:i w:val="0"/>
                <w:color w:val="111827"/>
                <w:sz w:val="21"/>
              </w:rPr>
              <w:t xml:space="preserve"> de ocorrência a cada alternativa.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Na incerteza, as informações são escassas e as probabilidades matemáticas não podem ser calculadas com segurança.</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ARTESP – Especialista em Regulação de Transportes)</w:t>
      </w:r>
    </w:p>
    <w:p>
      <w:pPr>
        <w:spacing w:line="360" w:lineRule="auto" w:before="0" w:after="80"/>
        <w:jc w:val="both"/>
      </w:pPr>
      <w:r>
        <w:rPr>
          <w:rFonts w:ascii="Arial" w:hAnsi="Arial"/>
          <w:b w:val="0"/>
          <w:i w:val="0"/>
          <w:color w:val="111827"/>
          <w:sz w:val="24"/>
        </w:rPr>
        <w:t>O modelo de administração contemporâneo valoriza o pensamento holístico e a visão sistêmica em oposição aos tradicionais modelos mecanicistas burocráticos. A respeito da visão sistêmica aplicada às organizações públicas,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Sustenta que cada setor deve priorizar exclusivamente suas metas individuais de departamento, competindo com as demais unidades pelo orçamento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Concebe a instituição como uma rede interdependente de subsistemas integrados, na qual as decisões adotadas em uma unidade provocam impactos diretos sobre todo o organismo institucional.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Elimina a necessidade de controle e avaliação de desempenho, pois presume que os servidores agem de forma espontânea em perfeita sincronia com o ambiente.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Restringe a atuação do órgão público à preservação de fronteiras rígidas e impenetráveis, impedindo qualquer intercâmbio de dados com a sociedade externa.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Rejeita o conceito de sinergia por considerá-lo incompatível com a estrita divisão formal de trabalho prescrita em leis administrativas.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Priorizar o próprio setor em detrimento do todo caracteriza a visão míope dos "silos organizacionais", combatida pela abordagem sistêmica.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w:t>
            </w:r>
            <w:r>
              <w:rPr>
                <w:rFonts w:ascii="Arial" w:hAnsi="Arial"/>
                <w:b/>
                <w:i w:val="0"/>
                <w:color w:val="111827"/>
                <w:sz w:val="21"/>
              </w:rPr>
              <w:t>visão sistêmica (ou holística)</w:t>
            </w:r>
            <w:r>
              <w:rPr>
                <w:rFonts w:ascii="Arial" w:hAnsi="Arial"/>
                <w:b w:val="0"/>
                <w:i w:val="0"/>
                <w:color w:val="111827"/>
                <w:sz w:val="21"/>
              </w:rPr>
              <w:t xml:space="preserve"> enxerga a organização como um sistema aberto composto por subsistemas reciprocamente dependentes e interconectados; assim, qualquer alteração em um subsistema repercute em todos os demais e no resultado final entregue à sociedade.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controle (retroalimentação/feedback) é elemento vital da teoria sistêmica para manter a homeostase dinâmica.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As organizações são sistemas </w:t>
            </w:r>
            <w:r>
              <w:rPr>
                <w:rFonts w:ascii="Arial" w:hAnsi="Arial"/>
                <w:b/>
                <w:i w:val="0"/>
                <w:color w:val="111827"/>
                <w:sz w:val="21"/>
              </w:rPr>
              <w:t>abertos</w:t>
            </w:r>
            <w:r>
              <w:rPr>
                <w:rFonts w:ascii="Arial" w:hAnsi="Arial"/>
                <w:b w:val="0"/>
                <w:i w:val="0"/>
                <w:color w:val="111827"/>
                <w:sz w:val="21"/>
              </w:rPr>
              <w:t>, com fronteiras permeáveis que realizam intercâmbio contínuo de recursos e dados com o meio externo.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sinergia (</w:t>
            </w:r>
            <w:r>
              <w:rPr>
                <w:rFonts w:ascii="Cambria Math" w:hAnsi="Cambria Math"/>
                <w:i/>
                <w:color w:val="1B365D"/>
                <w:sz w:val="21"/>
              </w:rPr>
              <w:t>1 + 1 &gt; 2</w:t>
            </w:r>
            <w:r>
              <w:rPr>
                <w:rFonts w:ascii="Arial" w:hAnsi="Arial"/>
                <w:b w:val="0"/>
                <w:i w:val="0"/>
                <w:color w:val="111827"/>
                <w:sz w:val="21"/>
              </w:rPr>
              <w:t>) é um dos pilares centrais da teoria de sistemas.</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01 - Planejamento Estratégico: Missão, Visão, Valores e Escolas Estratégicas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Administração Estratégica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01_planejamento_estrategico_missao_visao_valores_e_escolas.md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Planejamento estratégico: conceitos, características, objetivos e evolução conceitual;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tríade fundamental da identidade institucional: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Missão:</w:t>
      </w:r>
      <w:r>
        <w:rPr>
          <w:rFonts w:ascii="Arial" w:hAnsi="Arial"/>
          <w:b w:val="0"/>
          <w:i w:val="0"/>
          <w:color w:val="111827"/>
          <w:sz w:val="22"/>
        </w:rPr>
        <w:t xml:space="preserve"> a razão de existir da organização no presente, seu propósito essencial, competências e público atendido;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Visão:</w:t>
      </w:r>
      <w:r>
        <w:rPr>
          <w:rFonts w:ascii="Arial" w:hAnsi="Arial"/>
          <w:b w:val="0"/>
          <w:i w:val="0"/>
          <w:color w:val="111827"/>
          <w:sz w:val="22"/>
        </w:rPr>
        <w:t xml:space="preserve"> a aspiração de futuro da instituição, onde ela pretende chegar no horizonte temporal delimitado;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Valores:</w:t>
      </w:r>
      <w:r>
        <w:rPr>
          <w:rFonts w:ascii="Arial" w:hAnsi="Arial"/>
          <w:b w:val="0"/>
          <w:i w:val="0"/>
          <w:color w:val="111827"/>
          <w:sz w:val="22"/>
        </w:rPr>
        <w:t xml:space="preserve"> princípios morais, crenças fundamentais e padrões éticos inegociáveis que orientam a conduta organizacional;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ciclo da gestão estratégica integrada: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1. Diagnóstico Estratégico (análise ambiental externa e interna);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2. Formulação da Estratégia (estabelecimento de objetivos, metas e iniciativas estratégicas);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3. Implementação e Execução (alocação orçamentária, planos de ação e governança);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4. Controle e Avaliação da Estratégia (monitoramento por indicadores, RAE e retroalimentação);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Tipologias de estratégias segundo Henry Mintzberg:</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Estratégia Pretendida, Deliberada, Não Realizada, Emergente e Realizada;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As Dez Escolas do Pensamento Estratégico (</w:t>
      </w:r>
      <w:r>
        <w:rPr>
          <w:rFonts w:ascii="Arial" w:hAnsi="Arial"/>
          <w:b w:val="0"/>
          <w:i/>
          <w:color w:val="111827"/>
          <w:sz w:val="22"/>
        </w:rPr>
        <w:t>Safári de Estratégia</w:t>
      </w:r>
      <w:r>
        <w:rPr>
          <w:rFonts w:ascii="Arial" w:hAnsi="Arial"/>
          <w:b w:val="0"/>
          <w:i w:val="0"/>
          <w:color w:val="111827"/>
          <w:sz w:val="22"/>
        </w:rPr>
        <w:t xml:space="preserve"> - Henry Mintzberg, Bruce Ahlstrand e Joseph Lampel):</w:t>
      </w:r>
    </w:p>
    <w:p>
      <w:pPr>
        <w:spacing w:line="276" w:lineRule="auto" w:before="20" w:after="40"/>
        <w:ind w:left="992"/>
      </w:pPr>
      <w:r>
        <w:rPr>
          <w:rFonts w:ascii="Arial" w:hAnsi="Arial"/>
          <w:b/>
          <w:color w:val="2B6CB0"/>
          <w:sz w:val="22"/>
        </w:rPr>
        <w:t xml:space="preserve">• </w:t>
      </w:r>
      <w:r>
        <w:rPr>
          <w:rFonts w:ascii="Arial" w:hAnsi="Arial"/>
          <w:b/>
          <w:i w:val="0"/>
          <w:color w:val="111827"/>
          <w:sz w:val="22"/>
        </w:rPr>
        <w:t>Escolas Prescritivas / Normativas:</w:t>
      </w:r>
      <w:r>
        <w:rPr>
          <w:rFonts w:ascii="Arial" w:hAnsi="Arial"/>
          <w:b w:val="0"/>
          <w:i w:val="0"/>
          <w:color w:val="111827"/>
          <w:sz w:val="22"/>
        </w:rPr>
        <w:t xml:space="preserve"> Escola do Design (ajuste interno/externo e SWOT), Escola do Planejamento (formalismo mecanicista e etapas sequenciais) e Escola do Posicionamento (análise setorial e matrizes de Porter);</w:t>
      </w:r>
    </w:p>
    <w:p>
      <w:pPr>
        <w:spacing w:line="276" w:lineRule="auto" w:before="20" w:after="40"/>
        <w:ind w:left="992"/>
      </w:pPr>
      <w:r>
        <w:rPr>
          <w:rFonts w:ascii="Arial" w:hAnsi="Arial"/>
          <w:b/>
          <w:color w:val="2B6CB0"/>
          <w:sz w:val="22"/>
        </w:rPr>
        <w:t xml:space="preserve">• </w:t>
      </w:r>
      <w:r>
        <w:rPr>
          <w:rFonts w:ascii="Arial" w:hAnsi="Arial"/>
          <w:b/>
          <w:i w:val="0"/>
          <w:color w:val="111827"/>
          <w:sz w:val="22"/>
        </w:rPr>
        <w:t>Escolas Descritivas:</w:t>
      </w:r>
      <w:r>
        <w:rPr>
          <w:rFonts w:ascii="Arial" w:hAnsi="Arial"/>
          <w:b w:val="0"/>
          <w:i w:val="0"/>
          <w:color w:val="111827"/>
          <w:sz w:val="22"/>
        </w:rPr>
        <w:t xml:space="preserve"> Escola Empreendedora (visão intuitiva do líder), Escola Cognitiva (processamento mental e vieses), Escola do Aprendizado (estratégias emergentes e tentativa e erro), Escola do Poder (negociação, jogos de poder e coalizões), Escola Cultural (crenças coletivas e mitos) e Escola Ambiental (adaptação passiva às pressões externas);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Escola Integrativa:</w:t>
      </w:r>
      <w:r>
        <w:rPr>
          <w:rFonts w:ascii="Arial" w:hAnsi="Arial"/>
          <w:b w:val="0"/>
          <w:i w:val="0"/>
          <w:color w:val="111827"/>
          <w:sz w:val="22"/>
        </w:rPr>
        <w:t xml:space="preserve"> Escola da Configuração (estabilidade pontuada por transformações estruturais quânticas).</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A Tríade da Identidade Estratégica: Missão, Visão e Valores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 Ciclo da Gestão Estratégica Integrada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Estratégias Deliberadas vs. Estratégias Emergentes (Henry Mintzberg)</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As Dez Escolas do Pensamento Estratégico (Safári de Estratégia)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de Concurso FCC Comentadas</w:t>
      </w:r>
    </w:p>
    <w:p>
      <w:pPr>
        <w:keepNext/>
        <w:spacing w:before="280" w:after="120"/>
      </w:pPr>
      <w:r>
        <w:rPr>
          <w:rFonts w:ascii="Arial" w:hAnsi="Arial"/>
          <w:b/>
          <w:i w:val="0"/>
          <w:color w:val="2C5282"/>
          <w:sz w:val="28"/>
        </w:rPr>
        <w:t>📖 Resumo Teórico Aprofundado &amp; Esquematizado</w:t>
      </w:r>
    </w:p>
    <w:p>
      <w:pPr>
        <w:keepNext/>
        <w:spacing w:before="200" w:after="80"/>
      </w:pPr>
      <w:r>
        <w:rPr>
          <w:rFonts w:ascii="Arial" w:hAnsi="Arial"/>
          <w:b/>
          <w:i w:val="0"/>
          <w:color w:val="2B6CB0"/>
          <w:sz w:val="24"/>
        </w:rPr>
        <w:t>1. A Tríade da Identidade Estratégica: Missão, Visão e Valores</w:t>
      </w:r>
    </w:p>
    <w:p>
      <w:pPr>
        <w:spacing w:line="360" w:lineRule="auto" w:before="0" w:after="80"/>
        <w:jc w:val="both"/>
      </w:pPr>
      <w:r>
        <w:rPr>
          <w:rFonts w:ascii="Arial" w:hAnsi="Arial"/>
          <w:b w:val="0"/>
          <w:i w:val="0"/>
          <w:color w:val="111827"/>
          <w:sz w:val="24"/>
        </w:rPr>
        <w:t>A construção da identidade organizacional representa o marco fundador do planejamento estratégico, orientando a tomada de decisão da alta cúpula até a base operacional:</w:t>
      </w:r>
    </w:p>
    <w:p>
      <w:pPr>
        <w:spacing w:after="120"/>
      </w:pPr>
    </w:p>
    <w:p>
      <w:pPr>
        <w:keepNext/>
        <w:spacing w:before="120" w:after="40"/>
      </w:pPr>
      <w:r>
        <w:rPr>
          <w:rFonts w:ascii="Arial" w:hAnsi="Arial"/>
          <w:b/>
          <w:i/>
          <w:color w:val="334155"/>
          <w:sz w:val="22"/>
        </w:rPr>
        <w:t>Quadro Analítico Comparativo:</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Componente</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 Temporal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Foco Central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Exemplo Prático no Setor Público (TCE-GO)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Missão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Presente</w:t>
            </w:r>
            <w:r>
              <w:rPr>
                <w:rFonts w:ascii="Arial" w:hAnsi="Arial"/>
                <w:b w:val="0"/>
                <w:i w:val="0"/>
                <w:color w:val="111827"/>
                <w:sz w:val="19"/>
              </w:rPr>
              <w:t xml:space="preserve"> (contínuo).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razão de existir hoje; a entrega fundamental que justifica a existência do órgão perante a sociedade.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"Exercer o controle externo com excelência, assegurando a regular aplicação dos recursos públicos em benefício da sociedade."</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Visão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Futuro</w:t>
            </w:r>
            <w:r>
              <w:rPr>
                <w:rFonts w:ascii="Arial" w:hAnsi="Arial"/>
                <w:b w:val="0"/>
                <w:i w:val="0"/>
                <w:color w:val="111827"/>
                <w:sz w:val="19"/>
              </w:rPr>
              <w:t xml:space="preserve"> (longo prazo delimitado).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estado almejado; onde a instituição projeta e quer estar em um marco temporal futuro.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"Ser reconhecido pela sociedade, até 2030, como referência nacional em inovação e eficácia no controle governamental."</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Valores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Atemporal</w:t>
            </w:r>
            <w:r>
              <w:rPr>
                <w:rFonts w:ascii="Arial" w:hAnsi="Arial"/>
                <w:b w:val="0"/>
                <w:i w:val="0"/>
                <w:color w:val="111827"/>
                <w:sz w:val="19"/>
              </w:rPr>
              <w:t xml:space="preserve"> (permanente).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Os mandamentos morais e éticos inegociáveis que norteiam a conduta funcional e as decisões diárias.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Ética, Transparência, Independência Funcional, Inovação, Tempestividade e Comprometimento Social.</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(MISSÃO VS. VISÃO NAS QUESTÕES):</w:t>
            </w:r>
          </w:p>
          <w:p>
            <w:pPr>
              <w:spacing w:line="288" w:lineRule="auto" w:before="40" w:after="40"/>
            </w:pPr>
            <w:r>
              <w:rPr>
                <w:rFonts w:ascii="Arial" w:hAnsi="Arial"/>
                <w:b w:val="0"/>
                <w:i w:val="0"/>
                <w:color w:val="111827"/>
                <w:sz w:val="21"/>
              </w:rPr>
              <w:t>Identifique imediatamente a temporalidade da assertiva no enunciado:</w:t>
            </w:r>
          </w:p>
          <w:p>
            <w:pPr>
              <w:spacing w:line="288" w:lineRule="auto" w:before="40" w:after="40"/>
            </w:pPr>
            <w:r>
              <w:rPr>
                <w:rFonts w:ascii="Arial" w:hAnsi="Arial"/>
                <w:b w:val="0"/>
                <w:i w:val="0"/>
                <w:color w:val="111827"/>
                <w:sz w:val="21"/>
              </w:rPr>
              <w:t xml:space="preserve">- Se o texto afirma o que a instituição é ou faz no </w:t>
            </w:r>
            <w:r>
              <w:rPr>
                <w:rFonts w:ascii="Arial" w:hAnsi="Arial"/>
                <w:b/>
                <w:i w:val="0"/>
                <w:color w:val="111827"/>
                <w:sz w:val="21"/>
              </w:rPr>
              <w:t>PRESENTE</w:t>
            </w:r>
            <w:r>
              <w:rPr>
                <w:rFonts w:ascii="Arial" w:hAnsi="Arial"/>
                <w:b w:val="0"/>
                <w:i w:val="0"/>
                <w:color w:val="111827"/>
                <w:sz w:val="21"/>
              </w:rPr>
              <w:t xml:space="preserve"> ("prestar controle externo de qualidade para a sociedade"): trata-se de </w:t>
            </w:r>
            <w:r>
              <w:rPr>
                <w:rFonts w:ascii="Arial" w:hAnsi="Arial"/>
                <w:b/>
                <w:i w:val="0"/>
                <w:color w:val="111827"/>
                <w:sz w:val="21"/>
              </w:rPr>
              <w:t>MISSÃO</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Se o texto traz uma ambição de </w:t>
            </w:r>
            <w:r>
              <w:rPr>
                <w:rFonts w:ascii="Arial" w:hAnsi="Arial"/>
                <w:b/>
                <w:i w:val="0"/>
                <w:color w:val="111827"/>
                <w:sz w:val="21"/>
              </w:rPr>
              <w:t>FUTURO</w:t>
            </w:r>
            <w:r>
              <w:rPr>
                <w:rFonts w:ascii="Arial" w:hAnsi="Arial"/>
                <w:b w:val="0"/>
                <w:i w:val="0"/>
                <w:color w:val="111827"/>
                <w:sz w:val="21"/>
              </w:rPr>
              <w:t xml:space="preserve"> com prazo determinado ("ser reconhecido até 2030 como centro de excelência"): trata-se de </w:t>
            </w:r>
            <w:r>
              <w:rPr>
                <w:rFonts w:ascii="Arial" w:hAnsi="Arial"/>
                <w:b/>
                <w:i w:val="0"/>
                <w:color w:val="111827"/>
                <w:sz w:val="21"/>
              </w:rPr>
              <w:t>VISÃO</w:t>
            </w:r>
            <w:r>
              <w:rPr>
                <w:rFonts w:ascii="Arial" w:hAnsi="Arial"/>
                <w:b w:val="0"/>
                <w:i w:val="0"/>
                <w:color w:val="111827"/>
                <w:sz w:val="21"/>
              </w:rPr>
              <w:t>.</w:t>
            </w:r>
          </w:p>
        </w:tc>
      </w:tr>
    </w:tbl>
    <w:p>
      <w:pPr>
        <w:spacing w:before="0"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(VALORES INSTITUCIONAIS):</w:t>
            </w:r>
          </w:p>
          <w:p>
            <w:pPr>
              <w:spacing w:line="288" w:lineRule="auto" w:before="40" w:after="40"/>
            </w:pPr>
            <w:r>
              <w:rPr>
                <w:rFonts w:ascii="Arial" w:hAnsi="Arial"/>
                <w:b w:val="0"/>
                <w:i w:val="0"/>
                <w:color w:val="111827"/>
                <w:sz w:val="21"/>
              </w:rPr>
              <w:t>Os valores institucionais atuam como balizas e limites éticos inderrogáveis. Nenhuma meta estratégica arrojada pode ser legitimamente cumprida se para tanto for violado qualquer valor ético fixado pela instituição.</w:t>
            </w:r>
          </w:p>
        </w:tc>
      </w:tr>
    </w:tbl>
    <w:p>
      <w:pPr>
        <w:spacing w:before="0" w:after="120"/>
      </w:pPr>
    </w:p>
    <w:p>
      <w:pPr>
        <w:keepNext/>
        <w:spacing w:before="200" w:after="80"/>
      </w:pPr>
      <w:r>
        <w:rPr>
          <w:rFonts w:ascii="Arial" w:hAnsi="Arial"/>
          <w:b/>
          <w:i w:val="0"/>
          <w:color w:val="2B6CB0"/>
          <w:sz w:val="24"/>
        </w:rPr>
        <w:t>2. O Ciclo da Gestão Estratégica Integrada</w:t>
      </w:r>
    </w:p>
    <w:p>
      <w:pPr>
        <w:spacing w:line="360" w:lineRule="auto" w:before="0" w:after="80"/>
        <w:jc w:val="both"/>
      </w:pPr>
      <w:r>
        <w:rPr>
          <w:rFonts w:ascii="Arial" w:hAnsi="Arial"/>
          <w:b w:val="0"/>
          <w:i w:val="0"/>
          <w:color w:val="111827"/>
          <w:sz w:val="24"/>
        </w:rPr>
        <w:t>A gestão estratégica contemporânea não é um evento isolado quadrienal, mas um ciclo administrativo contínuo, dinâmico e retroalimentado composto por quatro etapas estruturadas: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Diagnóstico Estratégico:</w:t>
      </w:r>
      <w:r>
        <w:rPr>
          <w:rFonts w:ascii="Arial" w:hAnsi="Arial"/>
          <w:b w:val="0"/>
          <w:i w:val="0"/>
          <w:color w:val="111827"/>
          <w:sz w:val="22"/>
        </w:rPr>
        <w:t xml:space="preserve"> Mapeamento sistemático do ambiente externo (oportunidades e ameaças incontroláveis) e do ambiente interno (forças e fraquezas controláveis), permitindo compreender a posição real da organização.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Formulação Estratégica:</w:t>
      </w:r>
      <w:r>
        <w:rPr>
          <w:rFonts w:ascii="Arial" w:hAnsi="Arial"/>
          <w:b w:val="0"/>
          <w:i w:val="0"/>
          <w:color w:val="111827"/>
          <w:sz w:val="22"/>
        </w:rPr>
        <w:t xml:space="preserve"> Estabelecimento dos macro-objetivos, indicadores de desempenho, metas quantificadas e programas de ação prioritários alinhados à missão e visão.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Implementação da Estratégia:</w:t>
      </w:r>
      <w:r>
        <w:rPr>
          <w:rFonts w:ascii="Arial" w:hAnsi="Arial"/>
          <w:b w:val="0"/>
          <w:i w:val="0"/>
          <w:color w:val="111827"/>
          <w:sz w:val="22"/>
        </w:rPr>
        <w:t xml:space="preserve"> Desdobramento tático-operacional, alocação de recursos financeiros pelo orçamento público (PPA, LDO e LOA), designação formal de responsáveis e governança das ações.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Monitoramento e Controle:</w:t>
      </w:r>
      <w:r>
        <w:rPr>
          <w:rFonts w:ascii="Arial" w:hAnsi="Arial"/>
          <w:b w:val="0"/>
          <w:i w:val="0"/>
          <w:color w:val="111827"/>
          <w:sz w:val="22"/>
        </w:rPr>
        <w:t xml:space="preserve"> Acompanhamento tempestivo dos indicadores de resultado, identificação precoce de desvios e realização periódica de Reuniões de Avaliação da Estratégia (RAE) para calibragem de rotas.</w:t>
      </w:r>
    </w:p>
    <w:p>
      <w:pPr>
        <w:keepNext/>
        <w:spacing w:before="200" w:after="80"/>
      </w:pPr>
      <w:r>
        <w:rPr>
          <w:rFonts w:ascii="Arial" w:hAnsi="Arial"/>
          <w:b/>
          <w:i w:val="0"/>
          <w:color w:val="2B6CB0"/>
          <w:sz w:val="24"/>
        </w:rPr>
        <w:t>3. Estratégias Deliberadas vs. Estratégias Emergentes (Henry Mintzberg)</w:t>
      </w:r>
    </w:p>
    <w:p>
      <w:pPr>
        <w:spacing w:line="360" w:lineRule="auto" w:before="0" w:after="80"/>
        <w:jc w:val="both"/>
      </w:pPr>
      <w:r>
        <w:rPr>
          <w:rFonts w:ascii="Arial" w:hAnsi="Arial"/>
          <w:b w:val="0"/>
          <w:i w:val="0"/>
          <w:color w:val="111827"/>
          <w:sz w:val="24"/>
        </w:rPr>
        <w:t>Henry Mintzberg revolucionou os estudos de estratégia organizacional ao demonstrar que a estratégia executada na prática raramente corresponde de forma idêntica àquela planejada nos gabinetes da diretoria:</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Estratégia Pretendida:</w:t>
      </w:r>
      <w:r>
        <w:rPr>
          <w:rFonts w:ascii="Arial" w:hAnsi="Arial"/>
          <w:b w:val="0"/>
          <w:i w:val="0"/>
          <w:color w:val="111827"/>
          <w:sz w:val="22"/>
        </w:rPr>
        <w:t xml:space="preserve"> O plano estratégico inicial concebido formalmente pela liderança institucional.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Estratégia Deliberada:</w:t>
      </w:r>
      <w:r>
        <w:rPr>
          <w:rFonts w:ascii="Arial" w:hAnsi="Arial"/>
          <w:b w:val="0"/>
          <w:i w:val="0"/>
          <w:color w:val="111827"/>
          <w:sz w:val="22"/>
        </w:rPr>
        <w:t xml:space="preserve"> A parcela das intenções estratégicas originais que foi executada exatamente como planejada.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Estratégia Não Realizada:</w:t>
      </w:r>
      <w:r>
        <w:rPr>
          <w:rFonts w:ascii="Arial" w:hAnsi="Arial"/>
          <w:b w:val="0"/>
          <w:i w:val="0"/>
          <w:color w:val="111827"/>
          <w:sz w:val="22"/>
        </w:rPr>
        <w:t xml:space="preserve"> Os objetivos e projetos que, devido a contingências econômicas, cortes orçamentários, alterações legais ou inviabilidade técnica, foram formalmente abandonados.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Estratégia Emergente:</w:t>
      </w:r>
      <w:r>
        <w:rPr>
          <w:rFonts w:ascii="Arial" w:hAnsi="Arial"/>
          <w:b w:val="0"/>
          <w:i w:val="0"/>
          <w:color w:val="111827"/>
          <w:sz w:val="22"/>
        </w:rPr>
        <w:t xml:space="preserve"> Padrões de conduta e soluções práticas que surgem espontaneamente no dia a dia da base operacional, em resposta a contingências imprevistas do ambiente.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Estratégia Realizada:</w:t>
      </w:r>
      <w:r>
        <w:rPr>
          <w:rFonts w:ascii="Arial" w:hAnsi="Arial"/>
          <w:b w:val="0"/>
          <w:i w:val="0"/>
          <w:color w:val="111827"/>
          <w:sz w:val="22"/>
        </w:rPr>
        <w:t xml:space="preserve"> A estratégia que efetivamente ocorreu no mundo dos fatos, configurando a síntese harmonizada entre as estratégias deliberadas da cúpula e as estratégias emergentes da base.</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ATENÇÃO (ESTRATÉGIAS EMERGENTES NO DIA A DIA):</w:t>
            </w:r>
          </w:p>
          <w:p>
            <w:pPr>
              <w:spacing w:line="288" w:lineRule="auto" w:before="40" w:after="40"/>
            </w:pPr>
            <w:r>
              <w:rPr>
                <w:rFonts w:ascii="Arial" w:hAnsi="Arial"/>
                <w:b w:val="0"/>
                <w:i w:val="0"/>
                <w:color w:val="111827"/>
                <w:sz w:val="21"/>
              </w:rPr>
              <w:t xml:space="preserve">As estratégias emergentes </w:t>
            </w:r>
            <w:r>
              <w:rPr>
                <w:rFonts w:ascii="Arial" w:hAnsi="Arial"/>
                <w:b/>
                <w:i w:val="0"/>
                <w:color w:val="111827"/>
                <w:sz w:val="21"/>
              </w:rPr>
              <w:t>não brotam nas reuniões formais da cúpula diretiva</w:t>
            </w:r>
            <w:r>
              <w:rPr>
                <w:rFonts w:ascii="Arial" w:hAnsi="Arial"/>
                <w:b w:val="0"/>
                <w:i w:val="0"/>
                <w:color w:val="111827"/>
                <w:sz w:val="21"/>
              </w:rPr>
              <w:t>. Elas nascem na base de execução (no chão de fábrica ou nas rotinas diárias dos analistas) como soluções práticas, criativas e espontâneas diante de contingências reais não antecipadas no planejamento original.</w:t>
            </w:r>
          </w:p>
        </w:tc>
      </w:tr>
    </w:tbl>
    <w:p>
      <w:pPr>
        <w:spacing w:before="0" w:after="120"/>
      </w:pPr>
    </w:p>
    <w:p>
      <w:pPr>
        <w:keepNext/>
        <w:spacing w:before="200" w:after="80"/>
      </w:pPr>
      <w:r>
        <w:rPr>
          <w:rFonts w:ascii="Arial" w:hAnsi="Arial"/>
          <w:b/>
          <w:i w:val="0"/>
          <w:color w:val="2B6CB0"/>
          <w:sz w:val="24"/>
        </w:rPr>
        <w:t>4. As Dez Escolas do Pensamento Estratégico (</w:t>
      </w:r>
      <w:r>
        <w:rPr>
          <w:rFonts w:ascii="Arial" w:hAnsi="Arial"/>
          <w:b/>
          <w:i/>
          <w:color w:val="2B6CB0"/>
          <w:sz w:val="24"/>
        </w:rPr>
        <w:t>Safári de Estratégia</w:t>
      </w:r>
      <w:r>
        <w:rPr>
          <w:rFonts w:ascii="Arial" w:hAnsi="Arial"/>
          <w:b/>
          <w:i w:val="0"/>
          <w:color w:val="2B6CB0"/>
          <w:sz w:val="24"/>
        </w:rPr>
        <w:t>)</w:t>
      </w:r>
    </w:p>
    <w:p>
      <w:pPr>
        <w:spacing w:line="360" w:lineRule="auto" w:before="0" w:after="80"/>
        <w:jc w:val="both"/>
      </w:pPr>
      <w:r>
        <w:rPr>
          <w:rFonts w:ascii="Arial" w:hAnsi="Arial"/>
          <w:b w:val="0"/>
          <w:i w:val="0"/>
          <w:color w:val="111827"/>
          <w:sz w:val="24"/>
        </w:rPr>
        <w:t xml:space="preserve">Na consagrada obra </w:t>
      </w:r>
      <w:r>
        <w:rPr>
          <w:rFonts w:ascii="Arial" w:hAnsi="Arial"/>
          <w:b w:val="0"/>
          <w:i/>
          <w:color w:val="111827"/>
          <w:sz w:val="24"/>
        </w:rPr>
        <w:t>Safári de Estratégia</w:t>
      </w:r>
      <w:r>
        <w:rPr>
          <w:rFonts w:ascii="Arial" w:hAnsi="Arial"/>
          <w:b w:val="0"/>
          <w:i w:val="0"/>
          <w:color w:val="111827"/>
          <w:sz w:val="24"/>
        </w:rPr>
        <w:t>, Henry Mintzberg, Bruce Ahlstrand e Joseph Lampel organizaram a evolução do pensamento estratégico em dez escolas, categorizadas em prescritivas, descritivas e integrativas:</w:t>
      </w:r>
    </w:p>
    <w:p>
      <w:pPr>
        <w:spacing w:after="120"/>
      </w:pPr>
    </w:p>
    <w:p>
      <w:pPr>
        <w:keepNext/>
        <w:spacing w:before="120" w:after="40"/>
      </w:pPr>
      <w:r>
        <w:rPr>
          <w:rFonts w:ascii="Arial" w:hAnsi="Arial"/>
          <w:b/>
          <w:i/>
          <w:color w:val="334155"/>
          <w:sz w:val="22"/>
        </w:rPr>
        <w:t>A) Escolas Prescritivas (Normativas - Foco em prescrever o modelo ideal):</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Escola do Design:</w:t>
      </w:r>
      <w:r>
        <w:rPr>
          <w:rFonts w:ascii="Arial" w:hAnsi="Arial"/>
          <w:b w:val="0"/>
          <w:i w:val="0"/>
          <w:color w:val="111827"/>
          <w:sz w:val="22"/>
        </w:rPr>
        <w:t xml:space="preserve"> A pioneira (década de 1960). Enxerga a formulação como um processo de concepção mental deliberada cujo objetivo supremo é o **ajuste (</w:t>
      </w:r>
      <w:r>
        <w:rPr>
          <w:rFonts w:ascii="Arial" w:hAnsi="Arial"/>
          <w:b w:val="0"/>
          <w:i/>
          <w:color w:val="111827"/>
          <w:sz w:val="22"/>
        </w:rPr>
        <w:t>fit</w:t>
      </w:r>
      <w:r>
        <w:rPr>
          <w:rFonts w:ascii="Arial" w:hAnsi="Arial"/>
          <w:b w:val="0"/>
          <w:i w:val="0"/>
          <w:color w:val="111827"/>
          <w:sz w:val="22"/>
        </w:rPr>
        <w:t>) essencial** entre as capacidades internas da organização (Forças e Fraquezas) e as condições externas do ambiente (Oportunidades e Ameaças) – base da Matriz SWOT.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Escola do Planejamento:</w:t>
      </w:r>
      <w:r>
        <w:rPr>
          <w:rFonts w:ascii="Arial" w:hAnsi="Arial"/>
          <w:b w:val="0"/>
          <w:i w:val="0"/>
          <w:color w:val="111827"/>
          <w:sz w:val="22"/>
        </w:rPr>
        <w:t xml:space="preserve"> Liderada por H. Igor Ansoff. Concebe a formulação como um processo altamente formal, metódico e sequencial, desdobrado em manuais exaustivos, cronogramas e orçamentos operados por analistas de planejamento.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Escola do Posicionamento:</w:t>
      </w:r>
      <w:r>
        <w:rPr>
          <w:rFonts w:ascii="Arial" w:hAnsi="Arial"/>
          <w:b w:val="0"/>
          <w:i w:val="0"/>
          <w:color w:val="111827"/>
          <w:sz w:val="22"/>
        </w:rPr>
        <w:t xml:space="preserve"> Liderada por Michael Porter (anos 1980). A estratégia é vista como um processo analítico de escolha de posições competitivas genéricas (Liderança em Custo, Diferenciação ou Enfoque) dentro da estrutura da indústria concorrencial.</w:t>
      </w:r>
    </w:p>
    <w:p>
      <w:pPr>
        <w:keepNext/>
        <w:spacing w:before="120" w:after="40"/>
      </w:pPr>
      <w:r>
        <w:rPr>
          <w:rFonts w:ascii="Arial" w:hAnsi="Arial"/>
          <w:b/>
          <w:i/>
          <w:color w:val="334155"/>
          <w:sz w:val="22"/>
        </w:rPr>
        <w:t>B) Escolas Descritivas (Foco em descrever como a estratégia ocorre na prática real):</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Escola Empreendedora:</w:t>
      </w:r>
      <w:r>
        <w:rPr>
          <w:rFonts w:ascii="Arial" w:hAnsi="Arial"/>
          <w:b w:val="0"/>
          <w:i w:val="0"/>
          <w:color w:val="111827"/>
          <w:sz w:val="22"/>
        </w:rPr>
        <w:t xml:space="preserve"> Enxerga a formulação estratégica como um processo visionário personalizado, centrado na intuição, experiência e liderança carismática do governante ou fundador.</w:t>
      </w:r>
    </w:p>
    <w:p>
      <w:pPr>
        <w:spacing w:line="276" w:lineRule="auto" w:before="20" w:after="40"/>
        <w:ind w:left="425"/>
      </w:pPr>
      <w:r>
        <w:rPr>
          <w:rFonts w:ascii="Arial" w:hAnsi="Arial"/>
          <w:b/>
          <w:color w:val="1B365D"/>
          <w:sz w:val="22"/>
        </w:rPr>
        <w:t xml:space="preserve">5. </w:t>
      </w:r>
      <w:r>
        <w:rPr>
          <w:rFonts w:ascii="Arial" w:hAnsi="Arial"/>
          <w:b/>
          <w:i w:val="0"/>
          <w:color w:val="111827"/>
          <w:sz w:val="22"/>
        </w:rPr>
        <w:t>Escola Cognitiva:</w:t>
      </w:r>
      <w:r>
        <w:rPr>
          <w:rFonts w:ascii="Arial" w:hAnsi="Arial"/>
          <w:b w:val="0"/>
          <w:i w:val="0"/>
          <w:color w:val="111827"/>
          <w:sz w:val="22"/>
        </w:rPr>
        <w:t xml:space="preserve"> Analisa a estratégia como um processo mental no cérebro do tomador de decisão, investigando como os modelos mentais e vieses cognitivos filtram ou distorcem as informações do ambiente.</w:t>
      </w:r>
    </w:p>
    <w:p>
      <w:pPr>
        <w:spacing w:line="276" w:lineRule="auto" w:before="20" w:after="40"/>
        <w:ind w:left="425"/>
      </w:pPr>
      <w:r>
        <w:rPr>
          <w:rFonts w:ascii="Arial" w:hAnsi="Arial"/>
          <w:b/>
          <w:color w:val="1B365D"/>
          <w:sz w:val="22"/>
        </w:rPr>
        <w:t xml:space="preserve">6. </w:t>
      </w:r>
      <w:r>
        <w:rPr>
          <w:rFonts w:ascii="Arial" w:hAnsi="Arial"/>
          <w:b/>
          <w:i w:val="0"/>
          <w:color w:val="111827"/>
          <w:sz w:val="22"/>
        </w:rPr>
        <w:t>Escola do Aprendizado:</w:t>
      </w:r>
      <w:r>
        <w:rPr>
          <w:rFonts w:ascii="Arial" w:hAnsi="Arial"/>
          <w:b w:val="0"/>
          <w:i w:val="0"/>
          <w:color w:val="111827"/>
          <w:sz w:val="22"/>
        </w:rPr>
        <w:t xml:space="preserve"> Sustenta que o ambiente é excessivamente dinâmico para planejamentos rígidos; a estratégia emerge de forma incremental e contínua à medida que a organização "aprende fazendo" (</w:t>
      </w:r>
      <w:r>
        <w:rPr>
          <w:rFonts w:ascii="Arial" w:hAnsi="Arial"/>
          <w:b w:val="0"/>
          <w:i/>
          <w:color w:val="111827"/>
          <w:sz w:val="22"/>
        </w:rPr>
        <w:t>learning organizations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7. </w:t>
      </w:r>
      <w:r>
        <w:rPr>
          <w:rFonts w:ascii="Arial" w:hAnsi="Arial"/>
          <w:b/>
          <w:i w:val="0"/>
          <w:color w:val="111827"/>
          <w:sz w:val="22"/>
        </w:rPr>
        <w:t>Escola do Poder:</w:t>
      </w:r>
      <w:r>
        <w:rPr>
          <w:rFonts w:ascii="Arial" w:hAnsi="Arial"/>
          <w:b w:val="0"/>
          <w:i w:val="0"/>
          <w:color w:val="111827"/>
          <w:sz w:val="22"/>
        </w:rPr>
        <w:t xml:space="preserve"> Enxerga a estratégia como um processo de negociação política, jogos de influência e coalizões entre grupos rivais pelo controle do orçamento e das decisões institucionais.</w:t>
      </w:r>
    </w:p>
    <w:p>
      <w:pPr>
        <w:spacing w:line="276" w:lineRule="auto" w:before="20" w:after="40"/>
        <w:ind w:left="425"/>
      </w:pPr>
      <w:r>
        <w:rPr>
          <w:rFonts w:ascii="Arial" w:hAnsi="Arial"/>
          <w:b/>
          <w:color w:val="1B365D"/>
          <w:sz w:val="22"/>
        </w:rPr>
        <w:t xml:space="preserve">8. </w:t>
      </w:r>
      <w:r>
        <w:rPr>
          <w:rFonts w:ascii="Arial" w:hAnsi="Arial"/>
          <w:b/>
          <w:i w:val="0"/>
          <w:color w:val="111827"/>
          <w:sz w:val="22"/>
        </w:rPr>
        <w:t>Escola Cultural:</w:t>
      </w:r>
      <w:r>
        <w:rPr>
          <w:rFonts w:ascii="Arial" w:hAnsi="Arial"/>
          <w:b w:val="0"/>
          <w:i w:val="0"/>
          <w:color w:val="111827"/>
          <w:sz w:val="22"/>
        </w:rPr>
        <w:t xml:space="preserve"> Trata a estratégia como um processo social coletivo enraizado nos valores, símbolos, rituais e crenças compartilhadas pelos servidores.</w:t>
      </w:r>
    </w:p>
    <w:p>
      <w:pPr>
        <w:spacing w:line="276" w:lineRule="auto" w:before="20" w:after="40"/>
        <w:ind w:left="425"/>
      </w:pPr>
      <w:r>
        <w:rPr>
          <w:rFonts w:ascii="Arial" w:hAnsi="Arial"/>
          <w:b/>
          <w:color w:val="1B365D"/>
          <w:sz w:val="22"/>
        </w:rPr>
        <w:t xml:space="preserve">9. </w:t>
      </w:r>
      <w:r>
        <w:rPr>
          <w:rFonts w:ascii="Arial" w:hAnsi="Arial"/>
          <w:b/>
          <w:i w:val="0"/>
          <w:color w:val="111827"/>
          <w:sz w:val="22"/>
        </w:rPr>
        <w:t>Escola Ambiental:</w:t>
      </w:r>
      <w:r>
        <w:rPr>
          <w:rFonts w:ascii="Arial" w:hAnsi="Arial"/>
          <w:b w:val="0"/>
          <w:i w:val="0"/>
          <w:color w:val="111827"/>
          <w:sz w:val="22"/>
        </w:rPr>
        <w:t xml:space="preserve"> Trata a organização como um agente relativamente passivo, cuja estratégia é moldada e determinada pelas pressões impositivas do ambiente externo.</w:t>
      </w:r>
    </w:p>
    <w:p>
      <w:pPr>
        <w:keepNext/>
        <w:spacing w:before="120" w:after="40"/>
      </w:pPr>
      <w:r>
        <w:rPr>
          <w:rFonts w:ascii="Arial" w:hAnsi="Arial"/>
          <w:b/>
          <w:i/>
          <w:color w:val="334155"/>
          <w:sz w:val="22"/>
        </w:rPr>
        <w:t>C) Escola Integrativa:</w:t>
      </w:r>
    </w:p>
    <w:p>
      <w:pPr>
        <w:spacing w:line="276" w:lineRule="auto" w:before="20" w:after="40"/>
        <w:ind w:left="425"/>
      </w:pPr>
      <w:r>
        <w:rPr>
          <w:rFonts w:ascii="Arial" w:hAnsi="Arial"/>
          <w:b/>
          <w:color w:val="1B365D"/>
          <w:sz w:val="22"/>
        </w:rPr>
        <w:t xml:space="preserve">10. </w:t>
      </w:r>
      <w:r>
        <w:rPr>
          <w:rFonts w:ascii="Arial" w:hAnsi="Arial"/>
          <w:b/>
          <w:i w:val="0"/>
          <w:color w:val="111827"/>
          <w:sz w:val="22"/>
        </w:rPr>
        <w:t>Escola da Configuração:</w:t>
      </w:r>
      <w:r>
        <w:rPr>
          <w:rFonts w:ascii="Arial" w:hAnsi="Arial"/>
          <w:b w:val="0"/>
          <w:i w:val="0"/>
          <w:color w:val="111827"/>
          <w:sz w:val="22"/>
        </w:rPr>
        <w:t xml:space="preserve"> Sintetiza as visões anteriores, compreendendo que a organização atravessa longos períodos de estabilidade estrutural coerente (configurações), interrompidos periodicamente por transformações revolucionárias e saltos quânticos de ruptura (</w:t>
      </w:r>
      <w:r>
        <w:rPr>
          <w:rFonts w:ascii="Arial" w:hAnsi="Arial"/>
          <w:b w:val="0"/>
          <w:i/>
          <w:color w:val="111827"/>
          <w:sz w:val="22"/>
        </w:rPr>
        <w:t>turnaround</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(ESCOLAS PRESCRITIVAS VS. DESCRITIVAS):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Escolas Prescritivas (Design, Planejamento e Posicionamento):</w:t>
            </w:r>
            <w:r>
              <w:rPr>
                <w:rFonts w:ascii="Arial" w:hAnsi="Arial"/>
                <w:b w:val="0"/>
                <w:i w:val="0"/>
                <w:color w:val="111827"/>
                <w:sz w:val="21"/>
              </w:rPr>
              <w:t xml:space="preserve"> Preocupam-se em prescrever </w:t>
            </w:r>
            <w:r>
              <w:rPr>
                <w:rFonts w:ascii="Arial" w:hAnsi="Arial"/>
                <w:b/>
                <w:i w:val="0"/>
                <w:color w:val="111827"/>
                <w:sz w:val="21"/>
              </w:rPr>
              <w:t>COMO AS ESTRATÉGIAS DEVEM SER FEITAS</w:t>
            </w:r>
            <w:r>
              <w:rPr>
                <w:rFonts w:ascii="Arial" w:hAnsi="Arial"/>
                <w:b w:val="0"/>
                <w:i w:val="0"/>
                <w:color w:val="111827"/>
                <w:sz w:val="21"/>
              </w:rPr>
              <w:t xml:space="preserve"> (foco normativo do modelo ideal).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Escolas Descritivas (Aprendizado, Poder, Cultural, etc.):</w:t>
            </w:r>
            <w:r>
              <w:rPr>
                <w:rFonts w:ascii="Arial" w:hAnsi="Arial"/>
                <w:b w:val="0"/>
                <w:i w:val="0"/>
                <w:color w:val="111827"/>
                <w:sz w:val="21"/>
              </w:rPr>
              <w:t xml:space="preserve"> Preocupam-se em descrever </w:t>
            </w:r>
            <w:r>
              <w:rPr>
                <w:rFonts w:ascii="Arial" w:hAnsi="Arial"/>
                <w:b/>
                <w:i w:val="0"/>
                <w:color w:val="111827"/>
                <w:sz w:val="21"/>
              </w:rPr>
              <w:t>COMO AS ESTRATÉGIAS EFETIVAMENTE ACONTECEM NA PRÁTICA</w:t>
            </w:r>
            <w:r>
              <w:rPr>
                <w:rFonts w:ascii="Arial" w:hAnsi="Arial"/>
                <w:b w:val="0"/>
                <w:i w:val="0"/>
                <w:color w:val="111827"/>
                <w:sz w:val="21"/>
              </w:rPr>
              <w:t xml:space="preserve"> (foco empírico real).</w:t>
            </w:r>
          </w:p>
        </w:tc>
      </w:tr>
    </w:tbl>
    <w:p>
      <w:pPr>
        <w:spacing w:before="0" w:after="120"/>
      </w:pPr>
    </w:p>
    <w:p>
      <w:pPr>
        <w:keepNext/>
        <w:spacing w:before="200" w:after="80"/>
      </w:pPr>
      <w:r>
        <w:rPr>
          <w:rFonts w:ascii="Arial" w:hAnsi="Arial"/>
          <w:b/>
          <w:i w:val="0"/>
          <w:color w:val="2B6CB0"/>
          <w:sz w:val="24"/>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MINTZBERG, Henry; AHLSTRAND, Bruce; LAMPEL, Joseph. Safári de Estratégia: um roteiro pela selva do planejamento estratégico. Editora Bookman.</w:t>
      </w:r>
      <w:r>
        <w:rPr>
          <w:rFonts w:ascii="Arial" w:hAnsi="Arial"/>
          <w:b w:val="0"/>
          <w:i w:val="0"/>
          <w:color w:val="111827"/>
          <w:sz w:val="22"/>
        </w:rPr>
        <w:t xml:space="preserve"> - As dez escolas do pensamento estratégico.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OLIVEIRA, Djalma de Pinho Rebouças de. Planejamento Estratégico: conceitos, metodologia e práticas. Editora Atlas.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Plano Estratégico Institucional do TCE-GO 2021-2030</w:t>
      </w:r>
      <w:r>
        <w:rPr>
          <w:rFonts w:ascii="Arial" w:hAnsi="Arial"/>
          <w:b w:val="0"/>
          <w:i w:val="0"/>
          <w:color w:val="111827"/>
          <w:sz w:val="22"/>
        </w:rPr>
        <w:t xml:space="preserve"> - Declaração oficial de Missão, Visão e Valores institucionais.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ANSOFF, H. Igor. Estratégia Corporativa. Editora Atlas.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PORTER, Michael E. Estratégia Competitiva: técnicas para análise de indústrias e da concorrência. Campus.</w:t>
      </w:r>
      <w:r>
        <w:rPr>
          <w:rFonts w:ascii="Arial" w:hAnsi="Arial"/>
          <w:b w:val="0"/>
          <w:i w:val="0"/>
          <w:color w:val="111827"/>
          <w:sz w:val="22"/>
        </w:rPr>
        <w:t>.</w:t>
      </w:r>
    </w:p>
    <w:p>
      <w:pPr>
        <w:keepNext/>
        <w:spacing w:before="200" w:after="80"/>
      </w:pPr>
      <w:r>
        <w:rPr>
          <w:rFonts w:ascii="Arial" w:hAnsi="Arial"/>
          <w:b/>
          <w:i w:val="0"/>
          <w:color w:val="2B6CB0"/>
          <w:sz w:val="24"/>
        </w:rPr>
        <w:t>6.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Determinado Tribunal de Contas publicou seu Plano Estratégico com os seguintes enunciados institucionais:</w:t>
      </w:r>
    </w:p>
    <w:p>
      <w:pPr>
        <w:spacing w:line="360" w:lineRule="auto" w:before="0" w:after="80"/>
        <w:jc w:val="both"/>
      </w:pPr>
      <w:r>
        <w:rPr>
          <w:rFonts w:ascii="Arial" w:hAnsi="Arial"/>
          <w:b w:val="0"/>
          <w:i w:val="0"/>
          <w:color w:val="111827"/>
          <w:sz w:val="24"/>
        </w:rPr>
        <w:t>I. "Garantir a adequada aplicação dos recursos públicos em benefício da sociedade por meio do controle externo tempestivo e orientador."</w:t>
      </w:r>
    </w:p>
    <w:p>
      <w:pPr>
        <w:spacing w:line="360" w:lineRule="auto" w:before="0" w:after="80"/>
        <w:jc w:val="both"/>
      </w:pPr>
      <w:r>
        <w:rPr>
          <w:rFonts w:ascii="Arial" w:hAnsi="Arial"/>
          <w:b w:val="0"/>
          <w:i w:val="0"/>
          <w:color w:val="111827"/>
          <w:sz w:val="24"/>
        </w:rPr>
        <w:t>II. "Ser reconhecido pela sociedade, até o ano de 2030, como órgão de controle de excelência, moderno e indispensável à integridade governamental."</w:t>
      </w:r>
    </w:p>
    <w:p>
      <w:pPr>
        <w:spacing w:line="360" w:lineRule="auto" w:before="0" w:after="80"/>
        <w:jc w:val="both"/>
      </w:pPr>
      <w:r>
        <w:rPr>
          <w:rFonts w:ascii="Arial" w:hAnsi="Arial"/>
          <w:b w:val="0"/>
          <w:i w:val="0"/>
          <w:color w:val="111827"/>
          <w:sz w:val="24"/>
        </w:rPr>
        <w:t>Nos termos da teoria do planejamento estratégico, os enunciados I e II correspondem, respectivamente, à:</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Visão e Missão.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Missão e Valores.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Missão e Visão.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Meta Operacional e Diretriz Tática.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Valores e Visão.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pPr>
            <w:r>
              <w:rPr>
                <w:rFonts w:ascii="Arial" w:hAnsi="Arial"/>
                <w:b w:val="0"/>
                <w:i w:val="0"/>
                <w:color w:val="111827"/>
                <w:sz w:val="21"/>
              </w:rPr>
              <w:t xml:space="preserve">- O </w:t>
            </w:r>
            <w:r>
              <w:rPr>
                <w:rFonts w:ascii="Arial" w:hAnsi="Arial"/>
                <w:b/>
                <w:i w:val="0"/>
                <w:color w:val="111827"/>
                <w:sz w:val="21"/>
              </w:rPr>
              <w:t>Enunciado I</w:t>
            </w:r>
            <w:r>
              <w:rPr>
                <w:rFonts w:ascii="Arial" w:hAnsi="Arial"/>
                <w:b w:val="0"/>
                <w:i w:val="0"/>
                <w:color w:val="111827"/>
                <w:sz w:val="21"/>
              </w:rPr>
              <w:t xml:space="preserve"> expressa a razão de ser primordial do órgão no presente, identificando sua atividade-fim e o benefício gerado para a sociedade, configurando formalmente a </w:t>
            </w:r>
            <w:r>
              <w:rPr>
                <w:rFonts w:ascii="Arial" w:hAnsi="Arial"/>
                <w:b/>
                <w:i w:val="0"/>
                <w:color w:val="111827"/>
                <w:sz w:val="21"/>
              </w:rPr>
              <w:t>Missão</w:t>
            </w:r>
            <w:r>
              <w:rPr>
                <w:rFonts w:ascii="Arial" w:hAnsi="Arial"/>
                <w:b w:val="0"/>
                <w:i w:val="0"/>
                <w:color w:val="111827"/>
                <w:sz w:val="21"/>
              </w:rPr>
              <w:t xml:space="preserve"> institucional.</w:t>
            </w:r>
          </w:p>
          <w:p>
            <w:pPr>
              <w:spacing w:line="288" w:lineRule="auto" w:before="40" w:after="40"/>
            </w:pPr>
            <w:r>
              <w:rPr>
                <w:rFonts w:ascii="Arial" w:hAnsi="Arial"/>
                <w:b w:val="0"/>
                <w:i w:val="0"/>
                <w:color w:val="111827"/>
                <w:sz w:val="21"/>
              </w:rPr>
              <w:t xml:space="preserve">- O </w:t>
            </w:r>
            <w:r>
              <w:rPr>
                <w:rFonts w:ascii="Arial" w:hAnsi="Arial"/>
                <w:b/>
                <w:i w:val="0"/>
                <w:color w:val="111827"/>
                <w:sz w:val="21"/>
              </w:rPr>
              <w:t>Enunciado II</w:t>
            </w:r>
            <w:r>
              <w:rPr>
                <w:rFonts w:ascii="Arial" w:hAnsi="Arial"/>
                <w:b w:val="0"/>
                <w:i w:val="0"/>
                <w:color w:val="111827"/>
                <w:sz w:val="21"/>
              </w:rPr>
              <w:t xml:space="preserve"> estabelece um horizonte temporal futuro bem delimitado (até 2030) e delineia o estado aspiracional almejado pela instituição, configurando a </w:t>
            </w:r>
            <w:r>
              <w:rPr>
                <w:rFonts w:ascii="Arial" w:hAnsi="Arial"/>
                <w:b/>
                <w:i w:val="0"/>
                <w:color w:val="111827"/>
                <w:sz w:val="21"/>
              </w:rPr>
              <w:t>Visão</w:t>
            </w:r>
            <w:r>
              <w:rPr>
                <w:rFonts w:ascii="Arial" w:hAnsi="Arial"/>
                <w:b w:val="0"/>
                <w:i w:val="0"/>
                <w:color w:val="111827"/>
                <w:sz w:val="21"/>
              </w:rPr>
              <w:t xml:space="preserve"> de futuro.</w:t>
            </w:r>
          </w:p>
          <w:p>
            <w:pPr>
              <w:spacing w:line="288" w:lineRule="auto" w:before="40" w:after="40"/>
            </w:pPr>
            <w:r>
              <w:rPr>
                <w:rFonts w:ascii="Arial" w:hAnsi="Arial"/>
                <w:b w:val="0"/>
                <w:i w:val="0"/>
                <w:color w:val="111827"/>
                <w:sz w:val="21"/>
              </w:rPr>
              <w:t>- Portanto, trata-se de Missão e Visão, respectivamente (Alternativa C).</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TCE-RS – Auditor de Controle Externo)</w:t>
      </w:r>
    </w:p>
    <w:p>
      <w:pPr>
        <w:spacing w:line="360" w:lineRule="auto" w:before="0" w:after="80"/>
        <w:jc w:val="both"/>
      </w:pPr>
      <w:r>
        <w:rPr>
          <w:rFonts w:ascii="Arial" w:hAnsi="Arial"/>
          <w:b w:val="0"/>
          <w:i w:val="0"/>
          <w:color w:val="111827"/>
          <w:sz w:val="24"/>
        </w:rPr>
        <w:t xml:space="preserve">Em sua clássica taxonomia do pensamento estratégico exposta no livro </w:t>
      </w:r>
      <w:r>
        <w:rPr>
          <w:rFonts w:ascii="Arial" w:hAnsi="Arial"/>
          <w:b w:val="0"/>
          <w:i/>
          <w:color w:val="111827"/>
          <w:sz w:val="24"/>
        </w:rPr>
        <w:t>Safári de Estratégia</w:t>
      </w:r>
      <w:r>
        <w:rPr>
          <w:rFonts w:ascii="Arial" w:hAnsi="Arial"/>
          <w:b w:val="0"/>
          <w:i w:val="0"/>
          <w:color w:val="111827"/>
          <w:sz w:val="24"/>
        </w:rPr>
        <w:t>, Henry Mintzberg e colaboradores classificam as escolas da estratégia em prescritivas e descritivas. Dentre as escolas prescritivas, aquela que concebe a formulação estratégica como um processo analítico formal, decomposto em etapas sequenciais rígidas e operado prioritariamente por técnicos e analistas de planejamento, é 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Escola do Aprendizado.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Escola do Planejamento.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Escola Empreendedora.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Escola Cultural.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Escola do Poder.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Escola do Aprendizado é descritiva e concebe a estratégia emergindo de forma incremental ao longo do tempo.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w:t>
            </w:r>
            <w:r>
              <w:rPr>
                <w:rFonts w:ascii="Arial" w:hAnsi="Arial"/>
                <w:b/>
                <w:i w:val="0"/>
                <w:color w:val="111827"/>
                <w:sz w:val="21"/>
              </w:rPr>
              <w:t>Escola do Planejamento</w:t>
            </w:r>
            <w:r>
              <w:rPr>
                <w:rFonts w:ascii="Arial" w:hAnsi="Arial"/>
                <w:b w:val="0"/>
                <w:i w:val="0"/>
                <w:color w:val="111827"/>
                <w:sz w:val="21"/>
              </w:rPr>
              <w:t xml:space="preserve"> (liderada por Igor Ansoff) é uma escola prescritiva que encara a estratégia como um processo altamente formalizado, programado e subdividido em etapas analíticas rígidas, com orçamentos detalhados preparados por planejadores profissionais da organização.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Escola Empreendedora é descritiva e fundamenta-se na visão e intuição individual do líder.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Escola Cultural é descritiva e baseia-se em crenças e valores coletivos.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Escola do Poder é descritiva e foca em jogos políticos e disputas de recursos.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TRT-2ª Região – Analista Judiciário: Área Administrativa)</w:t>
      </w:r>
    </w:p>
    <w:p>
      <w:pPr>
        <w:spacing w:line="360" w:lineRule="auto" w:before="0" w:after="80"/>
        <w:jc w:val="both"/>
      </w:pPr>
      <w:r>
        <w:rPr>
          <w:rFonts w:ascii="Arial" w:hAnsi="Arial"/>
          <w:b w:val="0"/>
          <w:i w:val="0"/>
          <w:color w:val="111827"/>
          <w:sz w:val="24"/>
        </w:rPr>
        <w:t>De acordo com os conceitos desenvolvidos por Henry Mintzberg sobre a dinâmica da formulação e implementação estratégica, as ações e padrões de conduta que emergem espontaneamente na rotina operacional da organização, sem terem sido previamente previstos no plano formal deliberado pela cúpula, são denominadas: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Estratégias Pretendidas.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Estratégias Emergentes.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Estratégias Não Realizadas.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Estratégias Deliberadas.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Estratégias Mecanicistas.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estratégia pretendida é o plano formal inicial traçado pela liderança.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Para Mintzberg, as </w:t>
            </w:r>
            <w:r>
              <w:rPr>
                <w:rFonts w:ascii="Arial" w:hAnsi="Arial"/>
                <w:b/>
                <w:i w:val="0"/>
                <w:color w:val="111827"/>
                <w:sz w:val="21"/>
              </w:rPr>
              <w:t>estratégias emergentes</w:t>
            </w:r>
            <w:r>
              <w:rPr>
                <w:rFonts w:ascii="Arial" w:hAnsi="Arial"/>
                <w:b w:val="0"/>
                <w:i w:val="0"/>
                <w:color w:val="111827"/>
                <w:sz w:val="21"/>
              </w:rPr>
              <w:t xml:space="preserve"> são aquelas que não foram concebidas no plano formal deliberado, mas surgem espontaneamente da base organizacional a partir da resposta prática dos colaboradores a desafios e oportunidades cotidianas não previstos.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estratégia não realizada é a parcela do plano que foi descartada ou abandonada.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estratégia deliberada é o plano formal que foi executado exatamente conforme o planejado.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Categoria inexistente na taxonomia de Mintzberg.</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DPE-RS – Analista: Área Administrativa)</w:t>
      </w:r>
    </w:p>
    <w:p>
      <w:pPr>
        <w:spacing w:line="360" w:lineRule="auto" w:before="0" w:after="80"/>
        <w:jc w:val="both"/>
      </w:pPr>
      <w:r>
        <w:rPr>
          <w:rFonts w:ascii="Arial" w:hAnsi="Arial"/>
          <w:b w:val="0"/>
          <w:i w:val="0"/>
          <w:color w:val="111827"/>
          <w:sz w:val="24"/>
        </w:rPr>
        <w:t>Ao formular seu planejamento plurianual, determinada defensoria pública incluiu expressamente em seu documento diretor os seguintes postulados: "Independência funcional, defesa irrestrita dos direitos humanos, transparência e urbanidade no atendimento aos cidadãos vulneráveis". Sob a perspectiva da teoria da administração estratégica, esses postulados representam: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Visão de futuro da defensoria para os próximos dez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As Metas táticas quantitativas dos núcleos regionais.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Valores institucionais que norteiam as condutas e estabelecem balizas éticas indeclináveis.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As Estratégias não realizadas do exercício anterior.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 Oportunidades captadas no ambiente externo através da análise PESTEL.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Visão é uma imagem de futuro onde a instituição quer chegar, com prazo delimitado.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Metas táticas são alvos quantitativos mensuráveis (ex.: realizar 5.000 atendimentos).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Os princípios éticos, mandamentos morais e diretrizes de conduta que direcionam as atitudes dos membros de uma instituição e expressam o que é inegociável na cultura organizacional constituem os </w:t>
            </w:r>
            <w:r>
              <w:rPr>
                <w:rFonts w:ascii="Arial" w:hAnsi="Arial"/>
                <w:b/>
                <w:i w:val="0"/>
                <w:color w:val="111827"/>
                <w:sz w:val="21"/>
              </w:rPr>
              <w:t>Valores</w:t>
            </w:r>
            <w:r>
              <w:rPr>
                <w:rFonts w:ascii="Arial" w:hAnsi="Arial"/>
                <w:b w:val="0"/>
                <w:i w:val="0"/>
                <w:color w:val="111827"/>
                <w:sz w:val="21"/>
              </w:rPr>
              <w:t xml:space="preserve"> da organização.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Estratégias não realizadas são planos que foram formalmente descontinuados.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Oportunidades são eventos externos favoráveis do mercado/ambiente político.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ARTESP – Especialista em Regulação de Transportes)</w:t>
      </w:r>
    </w:p>
    <w:p>
      <w:pPr>
        <w:spacing w:line="360" w:lineRule="auto" w:before="0" w:after="80"/>
        <w:jc w:val="both"/>
      </w:pPr>
      <w:r>
        <w:rPr>
          <w:rFonts w:ascii="Arial" w:hAnsi="Arial"/>
          <w:b w:val="0"/>
          <w:i w:val="0"/>
          <w:color w:val="111827"/>
          <w:sz w:val="24"/>
        </w:rPr>
        <w:t xml:space="preserve">Dentre as dez escolas do pensamento estratégico catalogadas na obra </w:t>
      </w:r>
      <w:r>
        <w:rPr>
          <w:rFonts w:ascii="Arial" w:hAnsi="Arial"/>
          <w:b w:val="0"/>
          <w:i/>
          <w:color w:val="111827"/>
          <w:sz w:val="24"/>
        </w:rPr>
        <w:t>Safári de Estratégia</w:t>
      </w:r>
      <w:r>
        <w:rPr>
          <w:rFonts w:ascii="Arial" w:hAnsi="Arial"/>
          <w:b w:val="0"/>
          <w:i w:val="0"/>
          <w:color w:val="111827"/>
          <w:sz w:val="24"/>
        </w:rPr>
        <w:t>, a Escola do Design destaca-se historicamente por defender que a estratégia deve ser concebida por meio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Ensaios laboratoriais e simulações estocásticas operadas por inteligência artificial.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Um processo deliberado de ajuste e adequação mútua entre as capacidades internas da organização (forças e fraquezas) e as condições do ambiente externo (oportunidades e ameaças).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Jogos de barganha política e manobras coercitivas promovidas por sindicatos corporativos.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Respostas puramente passivas e reativas ditadas pelas forças demográficas e climáticas do ambiente ecológico.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Vieses cognitivos inconscientes e restrições biológicas da capacidade de memória dos diretores executivos.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Simulações matemáticas pertencem a abordagens analíticas quantitativas ou de pesquisa operacional.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w:t>
            </w:r>
            <w:r>
              <w:rPr>
                <w:rFonts w:ascii="Arial" w:hAnsi="Arial"/>
                <w:b/>
                <w:i w:val="0"/>
                <w:color w:val="111827"/>
                <w:sz w:val="21"/>
              </w:rPr>
              <w:t>Escola do Design</w:t>
            </w:r>
            <w:r>
              <w:rPr>
                <w:rFonts w:ascii="Arial" w:hAnsi="Arial"/>
                <w:b w:val="0"/>
                <w:i w:val="0"/>
                <w:color w:val="111827"/>
                <w:sz w:val="21"/>
              </w:rPr>
              <w:t xml:space="preserve"> é a escola clássica (pioneira nos anos 1960) que propõe a estratégia como um processo deliberado de concepção mental cujo núcleo é o **ajuste (</w:t>
            </w:r>
            <w:r>
              <w:rPr>
                <w:rFonts w:ascii="Arial" w:hAnsi="Arial"/>
                <w:b w:val="0"/>
                <w:i/>
                <w:color w:val="111827"/>
                <w:sz w:val="21"/>
              </w:rPr>
              <w:t>fit</w:t>
            </w:r>
            <w:r>
              <w:rPr>
                <w:rFonts w:ascii="Arial" w:hAnsi="Arial"/>
                <w:b w:val="0"/>
                <w:i w:val="0"/>
                <w:color w:val="111827"/>
                <w:sz w:val="21"/>
              </w:rPr>
              <w:t>)** essencial entre a análise interna da organização (pontos fortes e fracos) e a análise externa do ambiente (oportunidades e ameaças), constituindo a base conceitual da famosa matriz SWOT.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Jogos de barganha e política caracterizam a Escola do Poder.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Adaptação reativa às forças externas caracteriza a Escola Ambiental.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Vieses mentais e processos cerebrais caracterizam a Escola Cognitiva.</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02 - Ferramentas de Diagnóstico Estratégico: SWOT, Cinco Forças de Porter, RBV e Canvas</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Administração Estratégica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02_ferramentas_de_diagnostico_estrategico_swot_porter_rbv_canvas.md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Diagnóstico do ambiente estratégico interno e externo;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Análise SWOT (Matriz FOFA):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Mapeamento de Forças e Fraquezas (ambiente interno controlável) e Oportunidades e Ameaças (ambiente externo incontrolável);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Matriz de Cruzamento Estratégico e as quatro posturas organizacionais: Alavancagem/Ofensiva, Reforço/Crescimento, Confronto/Manutenção e Sobrevivência;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As Cinco Forças Competitivas de Michael Porter: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1. Rivalidade entre os concorrentes estabelecidos na indústria;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2. Ameaça de novos entrantes e as barreiras à entrada (economias de escala, diferenciação de produto, capital inicial, custos de mudança e políticas estatais);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3. Poder de barganha dos compradores / clientes;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4. Poder de barganha dos fornecedores de insumos;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5. Ameaça de produtos ou serviços substitutos (soluções de outros setores);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As três Estratégias Genéricas de Michael Porter: Liderança em Custo Total, Diferenciação e Enfoque/Foco (e o risco do meio-termo / </w:t>
      </w:r>
      <w:r>
        <w:rPr>
          <w:rFonts w:ascii="Arial" w:hAnsi="Arial"/>
          <w:b w:val="0"/>
          <w:i/>
          <w:color w:val="111827"/>
          <w:sz w:val="22"/>
        </w:rPr>
        <w:t>stuck in the middle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**Visão Baseada em Recursos (RBV - </w:t>
      </w:r>
      <w:r>
        <w:rPr>
          <w:rFonts w:ascii="Arial" w:hAnsi="Arial"/>
          <w:b w:val="0"/>
          <w:i/>
          <w:color w:val="111827"/>
          <w:sz w:val="22"/>
        </w:rPr>
        <w:t>Resource-Based View</w:t>
      </w:r>
      <w:r>
        <w:rPr>
          <w:rFonts w:ascii="Arial" w:hAnsi="Arial"/>
          <w:b w:val="0"/>
          <w:i w:val="0"/>
          <w:color w:val="111827"/>
          <w:sz w:val="22"/>
        </w:rPr>
        <w:t xml:space="preserve"> - Jay Barney):**</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Recursos tangíveis versus recursos intangíveis; premissas de heterogeneidade e imobilidade imperfeita;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Framework </w:t>
      </w:r>
      <w:r>
        <w:rPr>
          <w:rFonts w:ascii="Arial" w:hAnsi="Arial"/>
          <w:b/>
          <w:i w:val="0"/>
          <w:color w:val="111827"/>
          <w:sz w:val="22"/>
        </w:rPr>
        <w:t>VRIO:</w:t>
      </w:r>
      <w:r>
        <w:rPr>
          <w:rFonts w:ascii="Arial" w:hAnsi="Arial"/>
          <w:b w:val="0"/>
          <w:i w:val="0"/>
          <w:color w:val="111827"/>
          <w:sz w:val="22"/>
        </w:rPr>
        <w:t xml:space="preserve"> Valor, Raridade, Inimitabilidade e Organização;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Consequências competitivas: Desvantagem, Paridade, Vantagem Temporária e Vantagem Competitiva Sustentável;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Business Model Canvas (Alexander Osterwalder):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Os nove blocos de geração de valor organizacional: Proposta de Valor, Segmentos de Clientes, Canais, Relacionamento com Clientes, Fontes de Receita, Recursos Principais, Atividades-Chave, Parcerias Principais e Estrutura de Custos.</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Análise SWOT Cruzada (FOFA) e as Quatro Posturas Estratégicas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 Modelo das Cinco Forças e as Estratégias Genéricas de Michael Porter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A Visão Baseada em Recursos (RBV) e o Framework VRIO (Jay Barney)</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O Business Model Canvas (Alexander Osterwalder)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de Concurso FCC Comentadas</w:t>
      </w:r>
    </w:p>
    <w:p>
      <w:pPr>
        <w:keepNext/>
        <w:spacing w:before="280" w:after="120"/>
      </w:pPr>
      <w:r>
        <w:rPr>
          <w:rFonts w:ascii="Arial" w:hAnsi="Arial"/>
          <w:b/>
          <w:i w:val="0"/>
          <w:color w:val="2C5282"/>
          <w:sz w:val="28"/>
        </w:rPr>
        <w:t>📖 Resumo Teórico Aprofundado &amp; Esquematizado</w:t>
      </w:r>
    </w:p>
    <w:p>
      <w:pPr>
        <w:keepNext/>
        <w:spacing w:before="200" w:after="80"/>
      </w:pPr>
      <w:r>
        <w:rPr>
          <w:rFonts w:ascii="Arial" w:hAnsi="Arial"/>
          <w:b/>
          <w:i w:val="0"/>
          <w:color w:val="2B6CB0"/>
          <w:sz w:val="24"/>
        </w:rPr>
        <w:t>1. Análise SWOT Cruzada (FOFA) e as Quatro Posturas Estratégicas</w:t>
      </w:r>
    </w:p>
    <w:p>
      <w:pPr>
        <w:spacing w:line="360" w:lineRule="auto" w:before="0" w:after="80"/>
        <w:jc w:val="both"/>
      </w:pPr>
      <w:r>
        <w:rPr>
          <w:rFonts w:ascii="Arial" w:hAnsi="Arial"/>
          <w:b w:val="0"/>
          <w:i w:val="0"/>
          <w:color w:val="111827"/>
          <w:sz w:val="24"/>
        </w:rPr>
        <w:t xml:space="preserve">A análise SWOT (acrônimo para </w:t>
      </w:r>
      <w:r>
        <w:rPr>
          <w:rFonts w:ascii="Arial" w:hAnsi="Arial"/>
          <w:b w:val="0"/>
          <w:i/>
          <w:color w:val="111827"/>
          <w:sz w:val="24"/>
        </w:rPr>
        <w:t>Strengths, Weaknesses, Opportunities e Threats</w:t>
      </w:r>
      <w:r>
        <w:rPr>
          <w:rFonts w:ascii="Arial" w:hAnsi="Arial"/>
          <w:b w:val="0"/>
          <w:i w:val="0"/>
          <w:color w:val="111827"/>
          <w:sz w:val="24"/>
        </w:rPr>
        <w:t xml:space="preserve"> / Matriz FOFA em português) combina as variáveis do ambiente interno e externo para subsidiar a escolha da postura estratégica mais adequada:</w:t>
      </w:r>
    </w:p>
    <w:p>
      <w:pPr>
        <w:spacing w:after="120"/>
      </w:pPr>
    </w:p>
    <w:p>
      <w:pPr>
        <w:keepNext/>
        <w:spacing w:before="120" w:after="40"/>
      </w:pPr>
      <w:r>
        <w:rPr>
          <w:rFonts w:ascii="Arial" w:hAnsi="Arial"/>
          <w:b/>
          <w:i/>
          <w:color w:val="334155"/>
          <w:sz w:val="22"/>
        </w:rPr>
        <w:t>Tabela Analítica das Quatro Posturas Estratégicas:</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Postura Estratégica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Quadrante Cruzado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Diagnóstico Situacional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Ação Estratégica Primordial</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Alavancagem / Ofensiva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Forças + Oportunidades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organização é sólida internamente e o ambiente externo abre oportunidades vantajosas.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Expansão de atuação, modernização tecnológica e consolidação de liderança.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Reorientação / Reforço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Fraquezas + Oportunidades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ambiente externo é favorável, mas a organização possui carências internas que limitam seu aproveitamento.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Capacitação de pessoal, reestruturação de processos e correção de deficiências.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Manutenção / Confronto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Forças + Ameaças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órgão possui excelente capacidade interna, contudo enfrenta hostilidade ou riscos no ambiente externo.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Adoção de postura defensiva, preservação de competências essenciais e blindagem.</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Sobrevivência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Fraquezas + Ameaças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Situação crítica: a instituição acumula vulnerabilidades internas sob severas pressões e ameaças externas.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Contenção extrema de despesas, enxugamento de rotinas e abandono de ações secundárias.</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(FORÇAS VS. OPORTUNIDADES NA SWOT):</w:t>
            </w:r>
          </w:p>
          <w:p>
            <w:pPr>
              <w:spacing w:line="288" w:lineRule="auto" w:before="40" w:after="40"/>
            </w:pPr>
            <w:r>
              <w:rPr>
                <w:rFonts w:ascii="Arial" w:hAnsi="Arial"/>
                <w:b w:val="0"/>
                <w:i w:val="0"/>
                <w:color w:val="111827"/>
                <w:sz w:val="21"/>
              </w:rPr>
              <w:t xml:space="preserve">Questão garantida de prova: a FCC coloca no enunciado que "o quadro de pessoal do tribunal possui excelente qualificação técnica e os sistemas informatizados são modernos" e pergunta se isso é uma Oportunidade. </w:t>
            </w:r>
            <w:r>
              <w:rPr>
                <w:rFonts w:ascii="Arial" w:hAnsi="Arial"/>
                <w:b/>
                <w:i w:val="0"/>
                <w:color w:val="111827"/>
                <w:sz w:val="21"/>
              </w:rPr>
              <w:t>NÃO!</w:t>
            </w:r>
            <w:r>
              <w:rPr>
                <w:rFonts w:ascii="Arial" w:hAnsi="Arial"/>
                <w:b w:val="0"/>
                <w:i w:val="0"/>
                <w:color w:val="111827"/>
                <w:sz w:val="21"/>
              </w:rPr>
              <w:t xml:space="preserve"> Isso é uma </w:t>
            </w:r>
            <w:r>
              <w:rPr>
                <w:rFonts w:ascii="Arial" w:hAnsi="Arial"/>
                <w:b/>
                <w:i w:val="0"/>
                <w:color w:val="111827"/>
                <w:sz w:val="21"/>
              </w:rPr>
              <w:t>FORÇA (ambiente interno controlável)</w:t>
            </w:r>
            <w:r>
              <w:rPr>
                <w:rFonts w:ascii="Arial" w:hAnsi="Arial"/>
                <w:b w:val="0"/>
                <w:i w:val="0"/>
                <w:color w:val="111827"/>
                <w:sz w:val="21"/>
              </w:rPr>
              <w:t xml:space="preserve">! Oportunidades são eventos </w:t>
            </w:r>
            <w:r>
              <w:rPr>
                <w:rFonts w:ascii="Arial" w:hAnsi="Arial"/>
                <w:b/>
                <w:i w:val="0"/>
                <w:color w:val="111827"/>
                <w:sz w:val="21"/>
              </w:rPr>
              <w:t>estritamente externos</w:t>
            </w:r>
            <w:r>
              <w:rPr>
                <w:rFonts w:ascii="Arial" w:hAnsi="Arial"/>
                <w:b w:val="0"/>
                <w:i w:val="0"/>
                <w:color w:val="111827"/>
                <w:sz w:val="21"/>
              </w:rPr>
              <w:t xml:space="preserve"> que o órgão não controla (ex.: aprovação de linha federal de crédito para modernização ou surgimento de novas ferramentas abertas de IA).</w:t>
            </w:r>
          </w:p>
        </w:tc>
      </w:tr>
    </w:tbl>
    <w:p>
      <w:pPr>
        <w:spacing w:before="0"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(POSTURA DE SOBREVIVÊNCIA NA SWOT):</w:t>
            </w:r>
          </w:p>
          <w:p>
            <w:pPr>
              <w:spacing w:line="288" w:lineRule="auto" w:before="40" w:after="40"/>
            </w:pPr>
            <w:r>
              <w:rPr>
                <w:rFonts w:ascii="Arial" w:hAnsi="Arial"/>
                <w:b w:val="0"/>
                <w:i w:val="0"/>
                <w:color w:val="111827"/>
                <w:sz w:val="21"/>
              </w:rPr>
              <w:t xml:space="preserve">No cruzamento SWOT, a postura de sobrevivência decorre da convergência entre </w:t>
            </w:r>
            <w:r>
              <w:rPr>
                <w:rFonts w:ascii="Arial" w:hAnsi="Arial"/>
                <w:b/>
                <w:i w:val="0"/>
                <w:color w:val="111827"/>
                <w:sz w:val="21"/>
              </w:rPr>
              <w:t>Fraquezas internas predominantes</w:t>
            </w:r>
            <w:r>
              <w:rPr>
                <w:rFonts w:ascii="Arial" w:hAnsi="Arial"/>
                <w:b w:val="0"/>
                <w:i w:val="0"/>
                <w:color w:val="111827"/>
                <w:sz w:val="21"/>
              </w:rPr>
              <w:t xml:space="preserve"> e </w:t>
            </w:r>
            <w:r>
              <w:rPr>
                <w:rFonts w:ascii="Arial" w:hAnsi="Arial"/>
                <w:b/>
                <w:i w:val="0"/>
                <w:color w:val="111827"/>
                <w:sz w:val="21"/>
              </w:rPr>
              <w:t>Ameaças externas graves</w:t>
            </w:r>
            <w:r>
              <w:rPr>
                <w:rFonts w:ascii="Arial" w:hAnsi="Arial"/>
                <w:b w:val="0"/>
                <w:i w:val="0"/>
                <w:color w:val="111827"/>
                <w:sz w:val="21"/>
              </w:rPr>
              <w:t>, demandando corte imediato de gastos, redução de projetos e contenção rigorosa de danos.</w:t>
            </w:r>
          </w:p>
        </w:tc>
      </w:tr>
    </w:tbl>
    <w:p>
      <w:pPr>
        <w:spacing w:before="0" w:after="120"/>
      </w:pPr>
    </w:p>
    <w:p>
      <w:pPr>
        <w:keepNext/>
        <w:spacing w:before="200" w:after="80"/>
      </w:pPr>
      <w:r>
        <w:rPr>
          <w:rFonts w:ascii="Arial" w:hAnsi="Arial"/>
          <w:b/>
          <w:i w:val="0"/>
          <w:color w:val="2B6CB0"/>
          <w:sz w:val="24"/>
        </w:rPr>
        <w:t>2. O Modelo das Cinco Forças e as Estratégias Genéricas de Michael Porter</w:t>
      </w:r>
    </w:p>
    <w:p>
      <w:pPr>
        <w:spacing w:line="360" w:lineRule="auto" w:before="0" w:after="80"/>
        <w:jc w:val="both"/>
      </w:pPr>
      <w:r>
        <w:rPr>
          <w:rFonts w:ascii="Arial" w:hAnsi="Arial"/>
          <w:b w:val="0"/>
          <w:i w:val="0"/>
          <w:color w:val="111827"/>
          <w:sz w:val="24"/>
        </w:rPr>
        <w:t>Michael Porter desenvolveu um clássico referencial para explicar como as forças estruturais de uma indústria determinam sua intensidade competitiva e seu nível de atratividade:</w:t>
      </w:r>
    </w:p>
    <w:p>
      <w:pPr>
        <w:spacing w:after="120"/>
      </w:pPr>
    </w:p>
    <w:p>
      <w:pPr>
        <w:keepNext/>
        <w:spacing w:before="120" w:after="40"/>
      </w:pPr>
      <w:r>
        <w:rPr>
          <w:rFonts w:ascii="Arial" w:hAnsi="Arial"/>
          <w:b/>
          <w:i/>
          <w:color w:val="334155"/>
          <w:sz w:val="22"/>
        </w:rPr>
        <w:t>As Cinco Forças Competitivas: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Rivalidade entre Concorrentes Estabelecidos:</w:t>
      </w:r>
      <w:r>
        <w:rPr>
          <w:rFonts w:ascii="Arial" w:hAnsi="Arial"/>
          <w:b w:val="0"/>
          <w:i w:val="0"/>
          <w:color w:val="111827"/>
          <w:sz w:val="22"/>
        </w:rPr>
        <w:t xml:space="preserve"> Ponto central do modelo. Intensificada por fatores como: elevado número de concorrentes com forças semelhantes, lento crescimento do mercado, custos fixos altos e elevadas barreiras de saída (custos para abandonar o negócio).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Ameaça de Novos Entrantes:</w:t>
      </w:r>
      <w:r>
        <w:rPr>
          <w:rFonts w:ascii="Arial" w:hAnsi="Arial"/>
          <w:b w:val="0"/>
          <w:i w:val="0"/>
          <w:color w:val="111827"/>
          <w:sz w:val="22"/>
        </w:rPr>
        <w:t xml:space="preserve"> Determinada pela solidez das </w:t>
      </w:r>
      <w:r>
        <w:rPr>
          <w:rFonts w:ascii="Arial" w:hAnsi="Arial"/>
          <w:b/>
          <w:i w:val="0"/>
          <w:color w:val="111827"/>
          <w:sz w:val="22"/>
        </w:rPr>
        <w:t>barreiras à entrada</w:t>
      </w:r>
      <w:r>
        <w:rPr>
          <w:rFonts w:ascii="Arial" w:hAnsi="Arial"/>
          <w:b w:val="0"/>
          <w:i w:val="0"/>
          <w:color w:val="111827"/>
          <w:sz w:val="22"/>
        </w:rPr>
        <w:t>, que representam dificuldades e custos impostos aos novatos, tais como: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Economias de escala alcançadas pelas empresas consolidadas;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Requisitos elevados de investimento de capital inicial;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Custos de mudança (</w:t>
      </w:r>
      <w:r>
        <w:rPr>
          <w:rFonts w:ascii="Arial" w:hAnsi="Arial"/>
          <w:b w:val="0"/>
          <w:i/>
          <w:color w:val="111827"/>
          <w:sz w:val="22"/>
        </w:rPr>
        <w:t>switching costs</w:t>
      </w:r>
      <w:r>
        <w:rPr>
          <w:rFonts w:ascii="Arial" w:hAnsi="Arial"/>
          <w:b w:val="0"/>
          <w:i w:val="0"/>
          <w:color w:val="111827"/>
          <w:sz w:val="22"/>
        </w:rPr>
        <w:t>) incorridos pelo cliente ao trocar de marca;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Políticas e regulamentações governamentais protetivas.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Poder de Barganha dos Compradores (Clientes):</w:t>
      </w:r>
      <w:r>
        <w:rPr>
          <w:rFonts w:ascii="Arial" w:hAnsi="Arial"/>
          <w:b w:val="0"/>
          <w:i w:val="0"/>
          <w:color w:val="111827"/>
          <w:sz w:val="22"/>
        </w:rPr>
        <w:t xml:space="preserve"> Alto quando os clientes compram em grandes volumes, os produtos oferecidos são padronizados/comoditizados e os custos de migração para outra empresa são insignificantes.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Poder de Barganha dos Fornecedores:</w:t>
      </w:r>
      <w:r>
        <w:rPr>
          <w:rFonts w:ascii="Arial" w:hAnsi="Arial"/>
          <w:b w:val="0"/>
          <w:i w:val="0"/>
          <w:color w:val="111827"/>
          <w:sz w:val="22"/>
        </w:rPr>
        <w:t xml:space="preserve"> Elevado quando os fornecedores operam em mercado concentrado, o insumo fornecido é exclusivo ou crítico e inexistem produtos substitutos no mercado.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Ameaça de Produtos Substitutos:</w:t>
      </w:r>
      <w:r>
        <w:rPr>
          <w:rFonts w:ascii="Arial" w:hAnsi="Arial"/>
          <w:b w:val="0"/>
          <w:i w:val="0"/>
          <w:color w:val="111827"/>
          <w:sz w:val="22"/>
        </w:rPr>
        <w:t xml:space="preserve"> Produtos ou serviços oriundos de </w:t>
      </w:r>
      <w:r>
        <w:rPr>
          <w:rFonts w:ascii="Arial" w:hAnsi="Arial"/>
          <w:b/>
          <w:i w:val="0"/>
          <w:color w:val="111827"/>
          <w:sz w:val="22"/>
        </w:rPr>
        <w:t>outros setores/indústrias</w:t>
      </w:r>
      <w:r>
        <w:rPr>
          <w:rFonts w:ascii="Arial" w:hAnsi="Arial"/>
          <w:b w:val="0"/>
          <w:i w:val="0"/>
          <w:color w:val="111827"/>
          <w:sz w:val="22"/>
        </w:rPr>
        <w:t xml:space="preserve"> que desempenham a mesma função básica a um custo inferior ou com maior conveniência para o usuário.</w:t>
      </w:r>
    </w:p>
    <w:p>
      <w:pPr>
        <w:keepNext/>
        <w:spacing w:before="120" w:after="40"/>
      </w:pPr>
      <w:r>
        <w:rPr>
          <w:rFonts w:ascii="Arial" w:hAnsi="Arial"/>
          <w:b/>
          <w:i/>
          <w:color w:val="334155"/>
          <w:sz w:val="22"/>
        </w:rPr>
        <w:t>As Três Estratégias Genéricas de Michael Porter: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Liderança em Custo Total:</w:t>
      </w:r>
      <w:r>
        <w:rPr>
          <w:rFonts w:ascii="Arial" w:hAnsi="Arial"/>
          <w:b w:val="0"/>
          <w:i w:val="0"/>
          <w:color w:val="111827"/>
          <w:sz w:val="22"/>
        </w:rPr>
        <w:t xml:space="preserve"> A organização estrutura-se para produzir e operar com o menor custo unitário da indústria, valendo-se de economias de escala, rígido controle de despesas e processos padronizados.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Diferenciação:</w:t>
      </w:r>
      <w:r>
        <w:rPr>
          <w:rFonts w:ascii="Arial" w:hAnsi="Arial"/>
          <w:b w:val="0"/>
          <w:i w:val="0"/>
          <w:color w:val="111827"/>
          <w:sz w:val="22"/>
        </w:rPr>
        <w:t xml:space="preserve"> A organização busca criar produtos ou serviços percebidos no mercado como singulares, únicos e de qualidade superior, conquistando fidelidade à marca e viabilizando a cobrança de um preço superior (</w:t>
      </w:r>
      <w:r>
        <w:rPr>
          <w:rFonts w:ascii="Arial" w:hAnsi="Arial"/>
          <w:b w:val="0"/>
          <w:i/>
          <w:color w:val="111827"/>
          <w:sz w:val="22"/>
        </w:rPr>
        <w:t>premium price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Enfoque / Foco:</w:t>
      </w:r>
      <w:r>
        <w:rPr>
          <w:rFonts w:ascii="Arial" w:hAnsi="Arial"/>
          <w:b w:val="0"/>
          <w:i w:val="0"/>
          <w:color w:val="111827"/>
          <w:sz w:val="22"/>
        </w:rPr>
        <w:t xml:space="preserve"> A organização canaliza seus esforços para atender de forma estrita e especializada a um nicho de mercado específico, aplicando ou a liderança em custo ou a diferenciação restrita àquele segmento.</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(PRODUTOS SUBSTITUTOS DE PORTER):</w:t>
            </w:r>
          </w:p>
          <w:p>
            <w:pPr>
              <w:spacing w:line="288" w:lineRule="auto" w:before="40" w:after="40"/>
            </w:pPr>
            <w:r>
              <w:rPr>
                <w:rFonts w:ascii="Arial" w:hAnsi="Arial"/>
                <w:b w:val="0"/>
                <w:i w:val="0"/>
                <w:color w:val="111827"/>
                <w:sz w:val="21"/>
              </w:rPr>
              <w:t xml:space="preserve">Cuidado: produtos substitutos na visão de Porter </w:t>
            </w:r>
            <w:r>
              <w:rPr>
                <w:rFonts w:ascii="Arial" w:hAnsi="Arial"/>
                <w:b/>
                <w:i w:val="0"/>
                <w:color w:val="111827"/>
                <w:sz w:val="21"/>
              </w:rPr>
              <w:t>NÃO SÃO produtos de concorrentes diretos da mesma indústria</w:t>
            </w:r>
            <w:r>
              <w:rPr>
                <w:rFonts w:ascii="Arial" w:hAnsi="Arial"/>
                <w:b w:val="0"/>
                <w:i w:val="0"/>
                <w:color w:val="111827"/>
                <w:sz w:val="21"/>
              </w:rPr>
              <w:t xml:space="preserve"> (ex.: Pepsi e Coca-Cola são concorrentes diretos no setor de refrigerantes). Produtos substitutos pertencem a </w:t>
            </w:r>
            <w:r>
              <w:rPr>
                <w:rFonts w:ascii="Arial" w:hAnsi="Arial"/>
                <w:b/>
                <w:i w:val="0"/>
                <w:color w:val="111827"/>
                <w:sz w:val="21"/>
              </w:rPr>
              <w:t>outras indústrias</w:t>
            </w:r>
            <w:r>
              <w:rPr>
                <w:rFonts w:ascii="Arial" w:hAnsi="Arial"/>
                <w:b w:val="0"/>
                <w:i w:val="0"/>
                <w:color w:val="111827"/>
                <w:sz w:val="21"/>
              </w:rPr>
              <w:t xml:space="preserve"> que atendem à mesma necessidade essencial por meio de solução alternativa (ex.: ônibus interestadual substituindo passagens aéreas em trechos regionais).</w:t>
            </w:r>
          </w:p>
        </w:tc>
      </w:tr>
    </w:tbl>
    <w:p>
      <w:pPr>
        <w:spacing w:before="0" w:after="120"/>
      </w:pPr>
    </w:p>
    <w:p>
      <w:pPr>
        <w:keepNext/>
        <w:spacing w:before="200" w:after="80"/>
      </w:pPr>
      <w:r>
        <w:rPr>
          <w:rFonts w:ascii="Arial" w:hAnsi="Arial"/>
          <w:b/>
          <w:i w:val="0"/>
          <w:color w:val="2B6CB0"/>
          <w:sz w:val="24"/>
        </w:rPr>
        <w:t>3. A Visão Baseada em Recursos (RBV) e o Framework VRIO (Jay Barney)</w:t>
      </w:r>
    </w:p>
    <w:p>
      <w:pPr>
        <w:spacing w:line="360" w:lineRule="auto" w:before="0" w:after="80"/>
        <w:jc w:val="both"/>
      </w:pPr>
      <w:r>
        <w:rPr>
          <w:rFonts w:ascii="Arial" w:hAnsi="Arial"/>
          <w:b w:val="0"/>
          <w:i w:val="0"/>
          <w:color w:val="111827"/>
          <w:sz w:val="24"/>
        </w:rPr>
        <w:t xml:space="preserve">Ao contrário dos modelos que olham prioritariamente para o mercado exterior (como Porter), a **Visão Baseada em Recursos (RBV - </w:t>
      </w:r>
      <w:r>
        <w:rPr>
          <w:rFonts w:ascii="Arial" w:hAnsi="Arial"/>
          <w:b w:val="0"/>
          <w:i/>
          <w:color w:val="111827"/>
          <w:sz w:val="24"/>
        </w:rPr>
        <w:t>Resource-Based View</w:t>
      </w:r>
      <w:r>
        <w:rPr>
          <w:rFonts w:ascii="Arial" w:hAnsi="Arial"/>
          <w:b w:val="0"/>
          <w:i w:val="0"/>
          <w:color w:val="111827"/>
          <w:sz w:val="24"/>
        </w:rPr>
        <w:t>)</w:t>
      </w:r>
      <w:r>
        <w:rPr>
          <w:rFonts w:ascii="Arial" w:hAnsi="Arial"/>
          <w:b/>
          <w:i w:val="0"/>
          <w:color w:val="111827"/>
          <w:sz w:val="24"/>
        </w:rPr>
        <w:t xml:space="preserve"> sustenta que a fonte de vantagem competitiva sustentada e de desempenho superior das organizações reside em seu </w:t>
      </w:r>
      <w:r>
        <w:rPr>
          <w:rFonts w:ascii="Arial" w:hAnsi="Arial"/>
          <w:b w:val="0"/>
          <w:i w:val="0"/>
          <w:color w:val="111827"/>
          <w:sz w:val="24"/>
        </w:rPr>
        <w:t>ambiente interno**: nos recursos e capacidades que a organização possui e controla.</w:t>
      </w:r>
    </w:p>
    <w:p>
      <w:pPr>
        <w:spacing w:line="360" w:lineRule="auto" w:before="0" w:after="80"/>
        <w:jc w:val="both"/>
      </w:pPr>
      <w:r>
        <w:rPr>
          <w:rFonts w:ascii="Arial" w:hAnsi="Arial"/>
          <w:b w:val="0"/>
          <w:i w:val="0"/>
          <w:color w:val="111827"/>
          <w:sz w:val="24"/>
        </w:rPr>
        <w:t>A teoria parte de duas premissas essenciais: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Heterogeneidade de Recursos:</w:t>
      </w:r>
      <w:r>
        <w:rPr>
          <w:rFonts w:ascii="Arial" w:hAnsi="Arial"/>
          <w:b w:val="0"/>
          <w:i w:val="0"/>
          <w:color w:val="111827"/>
          <w:sz w:val="22"/>
        </w:rPr>
        <w:t xml:space="preserve"> As organizações possuem feixes de recursos e competências distintos entre si.</w:t>
      </w:r>
    </w:p>
    <w:p>
      <w:pPr>
        <w:spacing w:line="276" w:lineRule="auto" w:before="20" w:after="40"/>
        <w:ind w:left="425"/>
      </w:pPr>
      <w:r>
        <w:rPr>
          <w:rFonts w:ascii="Arial" w:hAnsi="Arial"/>
          <w:b/>
          <w:color w:val="2B6CB0"/>
          <w:sz w:val="22"/>
        </w:rPr>
        <w:t xml:space="preserve">• </w:t>
      </w:r>
      <w:r>
        <w:rPr>
          <w:rFonts w:ascii="Arial" w:hAnsi="Arial"/>
          <w:b/>
          <w:i w:val="0"/>
          <w:color w:val="111827"/>
          <w:sz w:val="22"/>
        </w:rPr>
        <w:t>Imobilidade Imperfeita de Recursos:</w:t>
      </w:r>
      <w:r>
        <w:rPr>
          <w:rFonts w:ascii="Arial" w:hAnsi="Arial"/>
          <w:b w:val="0"/>
          <w:i w:val="0"/>
          <w:color w:val="111827"/>
          <w:sz w:val="22"/>
        </w:rPr>
        <w:t xml:space="preserve"> Os recursos essenciais não podem ser transferidos ou comprados livre e instantaneamente de uma entidade para outra.</w:t>
      </w:r>
    </w:p>
    <w:p>
      <w:pPr>
        <w:spacing w:after="120"/>
      </w:pPr>
    </w:p>
    <w:p>
      <w:pPr>
        <w:keepNext/>
        <w:spacing w:before="120" w:after="40"/>
      </w:pPr>
      <w:r>
        <w:rPr>
          <w:rFonts w:ascii="Arial" w:hAnsi="Arial"/>
          <w:b/>
          <w:i/>
          <w:color w:val="334155"/>
          <w:sz w:val="22"/>
        </w:rPr>
        <w:t>Os Critérios do Framework VRIO: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V - Valor:</w:t>
      </w:r>
      <w:r>
        <w:rPr>
          <w:rFonts w:ascii="Arial" w:hAnsi="Arial"/>
          <w:b w:val="0"/>
          <w:i w:val="0"/>
          <w:color w:val="111827"/>
          <w:sz w:val="22"/>
        </w:rPr>
        <w:t xml:space="preserve"> O recurso permite à organização explorar uma oportunidade ambiental externa ou neutralizar uma ameaça?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R - Raridade:</w:t>
      </w:r>
      <w:r>
        <w:rPr>
          <w:rFonts w:ascii="Arial" w:hAnsi="Arial"/>
          <w:b w:val="0"/>
          <w:i w:val="0"/>
          <w:color w:val="111827"/>
          <w:sz w:val="22"/>
        </w:rPr>
        <w:t xml:space="preserve"> O recurso é escasso e controlado por poucas entidades concorrentes?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I - Inimitabilidade:</w:t>
      </w:r>
      <w:r>
        <w:rPr>
          <w:rFonts w:ascii="Arial" w:hAnsi="Arial"/>
          <w:b w:val="0"/>
          <w:i w:val="0"/>
          <w:color w:val="111827"/>
          <w:sz w:val="22"/>
        </w:rPr>
        <w:t xml:space="preserve"> As outras organizações enfrentam desvantagens de custo elevadas para reproduzir ou obter esse recurso? A inimitabilidade decorre de três barreiras clássicas:</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Condições históricas únicas:</w:t>
      </w:r>
      <w:r>
        <w:rPr>
          <w:rFonts w:ascii="Arial" w:hAnsi="Arial"/>
          <w:b w:val="0"/>
          <w:i w:val="0"/>
          <w:color w:val="111827"/>
          <w:sz w:val="22"/>
        </w:rPr>
        <w:t xml:space="preserve"> recursos desenvolvidos ao longo de trajetórias históricas irrepetíveis;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Ambiguidade causal:</w:t>
      </w:r>
      <w:r>
        <w:rPr>
          <w:rFonts w:ascii="Arial" w:hAnsi="Arial"/>
          <w:b w:val="0"/>
          <w:i w:val="0"/>
          <w:color w:val="111827"/>
          <w:sz w:val="22"/>
        </w:rPr>
        <w:t xml:space="preserve"> os competidores não conseguem decifrar exatamente qual fator específico causa o sucesso da organização;</w:t>
      </w:r>
    </w:p>
    <w:p>
      <w:pPr>
        <w:spacing w:line="276" w:lineRule="auto" w:before="20" w:after="40"/>
        <w:ind w:left="992"/>
      </w:pPr>
      <w:r>
        <w:rPr>
          <w:rFonts w:ascii="Arial" w:hAnsi="Arial"/>
          <w:b/>
          <w:color w:val="2B6CB0"/>
          <w:sz w:val="22"/>
        </w:rPr>
        <w:t xml:space="preserve">• </w:t>
      </w:r>
      <w:r>
        <w:rPr>
          <w:rFonts w:ascii="Arial" w:hAnsi="Arial"/>
          <w:b w:val="0"/>
          <w:i/>
          <w:color w:val="111827"/>
          <w:sz w:val="22"/>
        </w:rPr>
        <w:t>Complexidade social:</w:t>
      </w:r>
      <w:r>
        <w:rPr>
          <w:rFonts w:ascii="Arial" w:hAnsi="Arial"/>
          <w:b w:val="0"/>
          <w:i w:val="0"/>
          <w:color w:val="111827"/>
          <w:sz w:val="22"/>
        </w:rPr>
        <w:t xml:space="preserve"> recursos enraizados em relações humanas, reputação, confiança mútua e cultura institucional.</w:t>
      </w:r>
    </w:p>
    <w:p>
      <w:pPr>
        <w:spacing w:line="276" w:lineRule="auto" w:before="20" w:after="40"/>
        <w:ind w:left="425"/>
      </w:pPr>
      <w:r>
        <w:rPr>
          <w:rFonts w:ascii="Arial" w:hAnsi="Arial"/>
          <w:b/>
          <w:color w:val="1B365D"/>
          <w:sz w:val="22"/>
        </w:rPr>
        <w:t xml:space="preserve">4. </w:t>
      </w:r>
      <w:r>
        <w:rPr>
          <w:rFonts w:ascii="Arial" w:hAnsi="Arial"/>
          <w:b/>
          <w:i w:val="0"/>
          <w:color w:val="111827"/>
          <w:sz w:val="22"/>
        </w:rPr>
        <w:t>O - Organização:</w:t>
      </w:r>
      <w:r>
        <w:rPr>
          <w:rFonts w:ascii="Arial" w:hAnsi="Arial"/>
          <w:b w:val="0"/>
          <w:i w:val="0"/>
          <w:color w:val="111827"/>
          <w:sz w:val="22"/>
        </w:rPr>
        <w:t xml:space="preserve"> A instituição dispõe de desenho organizacional, sistemas de informação, liderança e governança estruturados para absorver e capitalizar plenamente o potencial desse recurso?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ATENÇÃO (VRIO E VANTAGEM SUSTENTÁVEL):</w:t>
            </w:r>
          </w:p>
          <w:p>
            <w:pPr>
              <w:spacing w:line="288" w:lineRule="auto" w:before="40" w:after="40"/>
            </w:pPr>
            <w:r>
              <w:rPr>
                <w:rFonts w:ascii="Arial" w:hAnsi="Arial"/>
                <w:b w:val="0"/>
                <w:i w:val="0"/>
                <w:color w:val="111827"/>
                <w:sz w:val="21"/>
              </w:rPr>
              <w:t xml:space="preserve">Se o recurso for Valioso e Raro, mas os competidores puderem copiá-lo rapidamente no mercado, ele gera unicamente </w:t>
            </w:r>
            <w:r>
              <w:rPr>
                <w:rFonts w:ascii="Arial" w:hAnsi="Arial"/>
                <w:b/>
                <w:i w:val="0"/>
                <w:color w:val="111827"/>
                <w:sz w:val="21"/>
              </w:rPr>
              <w:t>Vantagem Competitiva Temporária</w:t>
            </w:r>
            <w:r>
              <w:rPr>
                <w:rFonts w:ascii="Arial" w:hAnsi="Arial"/>
                <w:b w:val="0"/>
                <w:i w:val="0"/>
                <w:color w:val="111827"/>
                <w:sz w:val="21"/>
              </w:rPr>
              <w:t xml:space="preserve">. Para assegurar vantagem </w:t>
            </w:r>
            <w:r>
              <w:rPr>
                <w:rFonts w:ascii="Arial" w:hAnsi="Arial"/>
                <w:b/>
                <w:i w:val="0"/>
                <w:color w:val="111827"/>
                <w:sz w:val="21"/>
              </w:rPr>
              <w:t>Sustentável</w:t>
            </w:r>
            <w:r>
              <w:rPr>
                <w:rFonts w:ascii="Arial" w:hAnsi="Arial"/>
                <w:b w:val="0"/>
                <w:i w:val="0"/>
                <w:color w:val="111827"/>
                <w:sz w:val="21"/>
              </w:rPr>
              <w:t xml:space="preserve">, o recurso deve ser imperativamente </w:t>
            </w:r>
            <w:r>
              <w:rPr>
                <w:rFonts w:ascii="Arial" w:hAnsi="Arial"/>
                <w:b/>
                <w:i w:val="0"/>
                <w:color w:val="111827"/>
                <w:sz w:val="21"/>
              </w:rPr>
              <w:t>Inimitável</w:t>
            </w:r>
            <w:r>
              <w:rPr>
                <w:rFonts w:ascii="Arial" w:hAnsi="Arial"/>
                <w:b w:val="0"/>
                <w:i w:val="0"/>
                <w:color w:val="111827"/>
                <w:sz w:val="21"/>
              </w:rPr>
              <w:t xml:space="preserve"> e a entidade deve dispor de </w:t>
            </w:r>
            <w:r>
              <w:rPr>
                <w:rFonts w:ascii="Arial" w:hAnsi="Arial"/>
                <w:b/>
                <w:i w:val="0"/>
                <w:color w:val="111827"/>
                <w:sz w:val="21"/>
              </w:rPr>
              <w:t>Organização</w:t>
            </w:r>
            <w:r>
              <w:rPr>
                <w:rFonts w:ascii="Arial" w:hAnsi="Arial"/>
                <w:b w:val="0"/>
                <w:i w:val="0"/>
                <w:color w:val="111827"/>
                <w:sz w:val="21"/>
              </w:rPr>
              <w:t xml:space="preserve"> para explorá-lo!</w:t>
            </w:r>
          </w:p>
        </w:tc>
      </w:tr>
    </w:tbl>
    <w:p>
      <w:pPr>
        <w:spacing w:before="0" w:after="120"/>
      </w:pPr>
    </w:p>
    <w:p>
      <w:pPr>
        <w:keepNext/>
        <w:spacing w:before="200" w:after="80"/>
      </w:pPr>
      <w:r>
        <w:rPr>
          <w:rFonts w:ascii="Arial" w:hAnsi="Arial"/>
          <w:b/>
          <w:i w:val="0"/>
          <w:color w:val="2B6CB0"/>
          <w:sz w:val="24"/>
        </w:rPr>
        <w:t>4. O Business Model Canvas (Alexander Osterwalder)</w:t>
      </w:r>
    </w:p>
    <w:p>
      <w:pPr>
        <w:spacing w:line="360" w:lineRule="auto" w:before="0" w:after="80"/>
        <w:jc w:val="both"/>
      </w:pPr>
      <w:r>
        <w:rPr>
          <w:rFonts w:ascii="Arial" w:hAnsi="Arial"/>
          <w:b w:val="0"/>
          <w:i w:val="0"/>
          <w:color w:val="111827"/>
          <w:sz w:val="24"/>
        </w:rPr>
        <w:t xml:space="preserve">Desenvolvido por Alexander Osterwalder e Yves Pigneur, o </w:t>
      </w:r>
      <w:r>
        <w:rPr>
          <w:rFonts w:ascii="Arial" w:hAnsi="Arial"/>
          <w:b/>
          <w:i w:val="0"/>
          <w:color w:val="111827"/>
          <w:sz w:val="24"/>
        </w:rPr>
        <w:t>Business Model Canvas</w:t>
      </w:r>
      <w:r>
        <w:rPr>
          <w:rFonts w:ascii="Arial" w:hAnsi="Arial"/>
          <w:b w:val="0"/>
          <w:i w:val="0"/>
          <w:color w:val="111827"/>
          <w:sz w:val="24"/>
        </w:rPr>
        <w:t xml:space="preserve"> é uma ferramenta de gestão estratégica visual que sintetiza a arquitetura de negócios de uma instituição em um único painel composto por </w:t>
      </w:r>
      <w:r>
        <w:rPr>
          <w:rFonts w:ascii="Arial" w:hAnsi="Arial"/>
          <w:b/>
          <w:i w:val="0"/>
          <w:color w:val="111827"/>
          <w:sz w:val="24"/>
        </w:rPr>
        <w:t>nove blocos interdependentes</w:t>
      </w:r>
      <w:r>
        <w:rPr>
          <w:rFonts w:ascii="Arial" w:hAnsi="Arial"/>
          <w:b w:val="0"/>
          <w:i w:val="0"/>
          <w:color w:val="111827"/>
          <w:sz w:val="24"/>
        </w:rPr>
        <w:t>:</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Proposta de Valor:</w:t>
      </w:r>
      <w:r>
        <w:rPr>
          <w:rFonts w:ascii="Arial" w:hAnsi="Arial"/>
          <w:b w:val="0"/>
          <w:i w:val="0"/>
          <w:color w:val="111827"/>
          <w:sz w:val="22"/>
        </w:rPr>
        <w:t xml:space="preserve"> O núcleo central do Canvas; descreve o valor que a organização entrega ao cidadão-usuário, indicando que problemas resolve e que necessidades satisfaz.</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Segmentos de Clientes/Usuários:</w:t>
      </w:r>
      <w:r>
        <w:rPr>
          <w:rFonts w:ascii="Arial" w:hAnsi="Arial"/>
          <w:b w:val="0"/>
          <w:i w:val="0"/>
          <w:color w:val="111827"/>
          <w:sz w:val="22"/>
        </w:rPr>
        <w:t xml:space="preserve"> Identifica os diferentes públicos, nichos sociais ou jurisdicionados para os quais o valor é gerado.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Canais:</w:t>
      </w:r>
      <w:r>
        <w:rPr>
          <w:rFonts w:ascii="Arial" w:hAnsi="Arial"/>
          <w:b w:val="0"/>
          <w:i w:val="0"/>
          <w:color w:val="111827"/>
          <w:sz w:val="22"/>
        </w:rPr>
        <w:t xml:space="preserve"> Meios pelos quais a instituição divulga, disponibiliza e entrega sua proposta de valor (ex.: balcão presencial, portal eletrônico, aplicativo móvel).</w:t>
      </w:r>
    </w:p>
    <w:p>
      <w:pPr>
        <w:spacing w:line="276" w:lineRule="auto" w:before="20" w:after="40"/>
        <w:ind w:left="425"/>
      </w:pPr>
      <w:r>
        <w:rPr>
          <w:rFonts w:ascii="Arial" w:hAnsi="Arial"/>
          <w:b/>
          <w:color w:val="1B365D"/>
          <w:sz w:val="22"/>
        </w:rPr>
        <w:t xml:space="preserve">4. </w:t>
      </w:r>
      <w:r>
        <w:rPr>
          <w:rFonts w:ascii="Arial" w:hAnsi="Arial"/>
          <w:b/>
          <w:i w:val="0"/>
          <w:color w:val="111827"/>
          <w:sz w:val="22"/>
        </w:rPr>
        <w:t>Relacionamento com Clientes:</w:t>
      </w:r>
      <w:r>
        <w:rPr>
          <w:rFonts w:ascii="Arial" w:hAnsi="Arial"/>
          <w:b w:val="0"/>
          <w:i w:val="0"/>
          <w:color w:val="111827"/>
          <w:sz w:val="22"/>
        </w:rPr>
        <w:t xml:space="preserve"> Padrões de interação estabelecidos com os usuários (ex.: autoatendimento, atendimento personalizado, ouvidoria).</w:t>
      </w:r>
    </w:p>
    <w:p>
      <w:pPr>
        <w:spacing w:line="276" w:lineRule="auto" w:before="20" w:after="40"/>
        <w:ind w:left="425"/>
      </w:pPr>
      <w:r>
        <w:rPr>
          <w:rFonts w:ascii="Arial" w:hAnsi="Arial"/>
          <w:b/>
          <w:color w:val="1B365D"/>
          <w:sz w:val="22"/>
        </w:rPr>
        <w:t xml:space="preserve">5. </w:t>
      </w:r>
      <w:r>
        <w:rPr>
          <w:rFonts w:ascii="Arial" w:hAnsi="Arial"/>
          <w:b/>
          <w:i w:val="0"/>
          <w:color w:val="111827"/>
          <w:sz w:val="22"/>
        </w:rPr>
        <w:t>Fontes de Receita / Recursos:</w:t>
      </w:r>
      <w:r>
        <w:rPr>
          <w:rFonts w:ascii="Arial" w:hAnsi="Arial"/>
          <w:b w:val="0"/>
          <w:i w:val="0"/>
          <w:color w:val="111827"/>
          <w:sz w:val="22"/>
        </w:rPr>
        <w:t xml:space="preserve"> Como a entidade se sustenta financeiramente (no setor público: dotações orçamentárias, repasses constitucionais e taxas de fiscalização).</w:t>
      </w:r>
    </w:p>
    <w:p>
      <w:pPr>
        <w:spacing w:line="276" w:lineRule="auto" w:before="20" w:after="40"/>
        <w:ind w:left="425"/>
      </w:pPr>
      <w:r>
        <w:rPr>
          <w:rFonts w:ascii="Arial" w:hAnsi="Arial"/>
          <w:b/>
          <w:color w:val="1B365D"/>
          <w:sz w:val="22"/>
        </w:rPr>
        <w:t xml:space="preserve">6. </w:t>
      </w:r>
      <w:r>
        <w:rPr>
          <w:rFonts w:ascii="Arial" w:hAnsi="Arial"/>
          <w:b/>
          <w:i w:val="0"/>
          <w:color w:val="111827"/>
          <w:sz w:val="22"/>
        </w:rPr>
        <w:t>Recursos Principais:</w:t>
      </w:r>
      <w:r>
        <w:rPr>
          <w:rFonts w:ascii="Arial" w:hAnsi="Arial"/>
          <w:b w:val="0"/>
          <w:i w:val="0"/>
          <w:color w:val="111827"/>
          <w:sz w:val="22"/>
        </w:rPr>
        <w:t xml:space="preserve"> Ativos essenciais necessários para fazer o modelo funcionar (servidores qualificados, sistemas informatizados, imóveis e banco de dados).</w:t>
      </w:r>
    </w:p>
    <w:p>
      <w:pPr>
        <w:spacing w:line="276" w:lineRule="auto" w:before="20" w:after="40"/>
        <w:ind w:left="425"/>
      </w:pPr>
      <w:r>
        <w:rPr>
          <w:rFonts w:ascii="Arial" w:hAnsi="Arial"/>
          <w:b/>
          <w:color w:val="1B365D"/>
          <w:sz w:val="22"/>
        </w:rPr>
        <w:t xml:space="preserve">7. </w:t>
      </w:r>
      <w:r>
        <w:rPr>
          <w:rFonts w:ascii="Arial" w:hAnsi="Arial"/>
          <w:b/>
          <w:i w:val="0"/>
          <w:color w:val="111827"/>
          <w:sz w:val="22"/>
        </w:rPr>
        <w:t>Atividades-Chave:</w:t>
      </w:r>
      <w:r>
        <w:rPr>
          <w:rFonts w:ascii="Arial" w:hAnsi="Arial"/>
          <w:b w:val="0"/>
          <w:i w:val="0"/>
          <w:color w:val="111827"/>
          <w:sz w:val="22"/>
        </w:rPr>
        <w:t xml:space="preserve"> As ações e processos primordiais que a entidade precisa realizar com excelência (fiscalização contábil, julgamento de contas, auditorias de obras).</w:t>
      </w:r>
    </w:p>
    <w:p>
      <w:pPr>
        <w:spacing w:line="276" w:lineRule="auto" w:before="20" w:after="40"/>
        <w:ind w:left="425"/>
      </w:pPr>
      <w:r>
        <w:rPr>
          <w:rFonts w:ascii="Arial" w:hAnsi="Arial"/>
          <w:b/>
          <w:color w:val="1B365D"/>
          <w:sz w:val="22"/>
        </w:rPr>
        <w:t xml:space="preserve">8. </w:t>
      </w:r>
      <w:r>
        <w:rPr>
          <w:rFonts w:ascii="Arial" w:hAnsi="Arial"/>
          <w:b/>
          <w:i w:val="0"/>
          <w:color w:val="111827"/>
          <w:sz w:val="22"/>
        </w:rPr>
        <w:t>Parcerias Principais:</w:t>
      </w:r>
      <w:r>
        <w:rPr>
          <w:rFonts w:ascii="Arial" w:hAnsi="Arial"/>
          <w:b w:val="0"/>
          <w:i w:val="0"/>
          <w:color w:val="111827"/>
          <w:sz w:val="22"/>
        </w:rPr>
        <w:t xml:space="preserve"> A rede de cooperação interinstitucional (Ministério Público, Polícia Federal, universidades e outros Tribunais de Contas) que potencializa o alcance do órgão.</w:t>
      </w:r>
    </w:p>
    <w:p>
      <w:pPr>
        <w:spacing w:line="276" w:lineRule="auto" w:before="20" w:after="40"/>
        <w:ind w:left="425"/>
      </w:pPr>
      <w:r>
        <w:rPr>
          <w:rFonts w:ascii="Arial" w:hAnsi="Arial"/>
          <w:b/>
          <w:color w:val="1B365D"/>
          <w:sz w:val="22"/>
        </w:rPr>
        <w:t xml:space="preserve">9. </w:t>
      </w:r>
      <w:r>
        <w:rPr>
          <w:rFonts w:ascii="Arial" w:hAnsi="Arial"/>
          <w:b/>
          <w:i w:val="0"/>
          <w:color w:val="111827"/>
          <w:sz w:val="22"/>
        </w:rPr>
        <w:t>Estrutura de Custos:</w:t>
      </w:r>
      <w:r>
        <w:rPr>
          <w:rFonts w:ascii="Arial" w:hAnsi="Arial"/>
          <w:b w:val="0"/>
          <w:i w:val="0"/>
          <w:color w:val="111827"/>
          <w:sz w:val="22"/>
        </w:rPr>
        <w:t xml:space="preserve"> Todos os principais custos operacionais incorridos para manter o modelo em funcionamento (folha de pagamento, infraestrutura e licenças de software).</w:t>
      </w:r>
    </w:p>
    <w:p>
      <w:pPr>
        <w:keepNext/>
        <w:spacing w:before="200" w:after="80"/>
      </w:pPr>
      <w:r>
        <w:rPr>
          <w:rFonts w:ascii="Arial" w:hAnsi="Arial"/>
          <w:b/>
          <w:i w:val="0"/>
          <w:color w:val="2B6CB0"/>
          <w:sz w:val="24"/>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PORTER, Michael E. Estratégia Competitiva: técnicas para análise de indústrias e da concorrência. Campus.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BARNEY, Jay B. Gaining and Sustaining Competitive Advantage. Pearson.</w:t>
      </w:r>
      <w:r>
        <w:rPr>
          <w:rFonts w:ascii="Arial" w:hAnsi="Arial"/>
          <w:b w:val="0"/>
          <w:i w:val="0"/>
          <w:color w:val="111827"/>
          <w:sz w:val="22"/>
        </w:rPr>
        <w:t xml:space="preserve"> - A teoria RBV e o modelo VRIO.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OSTERWALDER, Alexander; PIGNEUR, Yves. Business Model Generation: Inovação em Modelos de Negócios. Editora Alta Books.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SERRA, Fernando; TORRES, Maria Cândida; TORRES, Alexandre. Administração Estratégica. Editora Pearson.</w:t>
      </w:r>
      <w:r>
        <w:rPr>
          <w:rFonts w:ascii="Arial" w:hAnsi="Arial"/>
          <w:b w:val="0"/>
          <w:i w:val="0"/>
          <w:color w:val="111827"/>
          <w:sz w:val="22"/>
        </w:rPr>
        <w:t>.</w:t>
      </w:r>
    </w:p>
    <w:p>
      <w:pPr>
        <w:keepNext/>
        <w:spacing w:before="200" w:after="80"/>
      </w:pPr>
      <w:r>
        <w:rPr>
          <w:rFonts w:ascii="Arial" w:hAnsi="Arial"/>
          <w:b/>
          <w:i w:val="0"/>
          <w:color w:val="2B6CB0"/>
          <w:sz w:val="24"/>
        </w:rPr>
        <w:t>6.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De acordo com o modelo de análise das Cinco Forças Competitivas desenvolvido por Michael Porter, a intensidade com que novas empresas ou organizações ameaçam ingressar em determinado setor de atividade econômica é contida fundamentalmente pela presença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Barreiras à entrada, tais como economias de escala consolidadas e elevados requisitos de capital inicial.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Alta rivalidade interna e ausência de regulamentação governamental setorial.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Facilidade de acesso aos canais de distribuição tradicionais pelos recém-chegados.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Baixo custo de mudança (</w:t>
      </w:r>
      <w:r>
        <w:rPr>
          <w:rFonts w:ascii="Arial" w:hAnsi="Arial"/>
          <w:b w:val="0"/>
          <w:i/>
          <w:color w:val="111827"/>
          <w:sz w:val="22"/>
        </w:rPr>
        <w:t>switching costs</w:t>
      </w:r>
      <w:r>
        <w:rPr>
          <w:rFonts w:ascii="Arial" w:hAnsi="Arial"/>
          <w:b w:val="0"/>
          <w:i w:val="0"/>
          <w:color w:val="111827"/>
          <w:sz w:val="22"/>
        </w:rPr>
        <w:t>) suportado pelos consumidores ao migrarem de fornecedor.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Existência de produtos substitutos com preços significativamente menores no mercado.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Segundo Michael Porter, a ameaça de novos concorrentes entrantes é diretamente atenuada pela existência de </w:t>
            </w:r>
            <w:r>
              <w:rPr>
                <w:rFonts w:ascii="Arial" w:hAnsi="Arial"/>
                <w:b/>
                <w:i w:val="0"/>
                <w:color w:val="111827"/>
                <w:sz w:val="21"/>
              </w:rPr>
              <w:t>barreiras à entrada</w:t>
            </w:r>
            <w:r>
              <w:rPr>
                <w:rFonts w:ascii="Arial" w:hAnsi="Arial"/>
                <w:b w:val="0"/>
                <w:i w:val="0"/>
                <w:color w:val="111827"/>
                <w:sz w:val="21"/>
              </w:rPr>
              <w:t>, que elevam os custos e riscos para quem deseja entrar no setor (ex.: economias de escala dos incumbentes, diferenciação de marcas, altos requisitos de investimento de capital, acesso restrito aos canais de distribuição e regulação pública).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Alta rivalidade é outra força competitiva; a ausência de barreiras facilita o ingresso.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Se os canais são de fácil acesso, a barreira é baixa, o que estimula a entrada de novos concorrentes.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Baixo custo de mudança (</w:t>
            </w:r>
            <w:r>
              <w:rPr>
                <w:rFonts w:ascii="Arial" w:hAnsi="Arial"/>
                <w:b w:val="0"/>
                <w:i/>
                <w:color w:val="111827"/>
                <w:sz w:val="21"/>
              </w:rPr>
              <w:t>switching costs</w:t>
            </w:r>
            <w:r>
              <w:rPr>
                <w:rFonts w:ascii="Arial" w:hAnsi="Arial"/>
                <w:b w:val="0"/>
                <w:i w:val="0"/>
                <w:color w:val="111827"/>
                <w:sz w:val="21"/>
              </w:rPr>
              <w:t>) estimula o consumidor a trocar de empresa, fragilizando a barreira.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ameaça de produtos substitutos é a quinta força do modelo de Porter, não se confundindo com as barreiras à entrada de concorrentes no mesmo setor.</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TCE-RS – Auditor de Controle Externo)</w:t>
      </w:r>
    </w:p>
    <w:p>
      <w:pPr>
        <w:spacing w:line="360" w:lineRule="auto" w:before="0" w:after="80"/>
        <w:jc w:val="both"/>
      </w:pPr>
      <w:r>
        <w:rPr>
          <w:rFonts w:ascii="Arial" w:hAnsi="Arial"/>
          <w:b w:val="0"/>
          <w:i w:val="0"/>
          <w:color w:val="111827"/>
          <w:sz w:val="24"/>
        </w:rPr>
        <w:t>Segundo a Visão Baseada em Recursos (RBV) e o modelo conceitual VRIO formulado por Jay Barney, um recurso organizacional que seja considerado valioso pela organização e raro no seu mercado de atuação, porém passível de imitação a baixo custo pelos demais concorrentes, proporciona à entidade: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Desvantagem competitiva prolongada.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Vantagem competitiva temporária.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Vantagem competitiva sustentável.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Paridade competitiva definitiva.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Ineficiência operacional estrutural.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Como o recurso é valioso e raro, a empresa obtém diferencial positivo, e não desvantagem.</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 framework VRIO:</w:t>
            </w:r>
          </w:p>
          <w:p>
            <w:pPr>
              <w:spacing w:line="288" w:lineRule="auto" w:before="40" w:after="40"/>
            </w:pPr>
            <w:r>
              <w:rPr>
                <w:rFonts w:ascii="Arial" w:hAnsi="Arial"/>
                <w:b w:val="0"/>
                <w:i w:val="0"/>
                <w:color w:val="111827"/>
                <w:sz w:val="21"/>
              </w:rPr>
              <w:t xml:space="preserve">- Recurso Valioso, mas não Raro </w:t>
            </w:r>
            <w:r>
              <w:rPr>
                <w:rFonts w:ascii="Cambria Math" w:hAnsi="Cambria Math"/>
                <w:i/>
                <w:color w:val="1B365D"/>
                <w:sz w:val="21"/>
              </w:rPr>
              <w:t>\rightarrow</w:t>
            </w:r>
            <w:r>
              <w:rPr>
                <w:rFonts w:ascii="Arial" w:hAnsi="Arial"/>
                <w:b w:val="0"/>
                <w:i w:val="0"/>
                <w:color w:val="111827"/>
                <w:sz w:val="21"/>
              </w:rPr>
              <w:t xml:space="preserve"> Paridade Competitiva;</w:t>
            </w:r>
          </w:p>
          <w:p>
            <w:pPr>
              <w:spacing w:line="288" w:lineRule="auto" w:before="40" w:after="40"/>
            </w:pPr>
            <w:r>
              <w:rPr>
                <w:rFonts w:ascii="Arial" w:hAnsi="Arial"/>
                <w:b w:val="0"/>
                <w:i w:val="0"/>
                <w:color w:val="111827"/>
                <w:sz w:val="21"/>
              </w:rPr>
              <w:t xml:space="preserve">- Recurso Valioso e Raro, mas </w:t>
            </w:r>
            <w:r>
              <w:rPr>
                <w:rFonts w:ascii="Arial" w:hAnsi="Arial"/>
                <w:b/>
                <w:i w:val="0"/>
                <w:color w:val="111827"/>
                <w:sz w:val="21"/>
              </w:rPr>
              <w:t>Imitável (fácil de copiar)</w:t>
            </w:r>
            <w:r>
              <w:rPr>
                <w:rFonts w:ascii="Arial" w:hAnsi="Arial"/>
                <w:b w:val="0"/>
                <w:i w:val="0"/>
                <w:color w:val="111827"/>
                <w:sz w:val="21"/>
              </w:rPr>
              <w:t xml:space="preserve"> </w:t>
            </w:r>
            <w:r>
              <w:rPr>
                <w:rFonts w:ascii="Cambria Math" w:hAnsi="Cambria Math"/>
                <w:i/>
                <w:color w:val="1B365D"/>
                <w:sz w:val="21"/>
              </w:rPr>
              <w:t>\rightarrow</w:t>
            </w:r>
            <w:r>
              <w:rPr>
                <w:rFonts w:ascii="Arial" w:hAnsi="Arial"/>
                <w:b w:val="0"/>
                <w:i w:val="0"/>
                <w:color w:val="111827"/>
                <w:sz w:val="21"/>
              </w:rPr>
              <w:t xml:space="preserve"> </w:t>
            </w:r>
            <w:r>
              <w:rPr>
                <w:rFonts w:ascii="Arial" w:hAnsi="Arial"/>
                <w:b/>
                <w:i w:val="0"/>
                <w:color w:val="111827"/>
                <w:sz w:val="21"/>
              </w:rPr>
              <w:t>Vantagem Competitiva Temporária</w:t>
            </w:r>
            <w:r>
              <w:rPr>
                <w:rFonts w:ascii="Arial" w:hAnsi="Arial"/>
                <w:b w:val="0"/>
                <w:i w:val="0"/>
                <w:color w:val="111827"/>
                <w:sz w:val="21"/>
              </w:rPr>
              <w:t>, visto que logo os rivais conseguirão reproduzi-lo, extinguindo o diferencial inicial.</w:t>
            </w:r>
          </w:p>
          <w:p>
            <w:pPr>
              <w:spacing w:line="288" w:lineRule="auto" w:before="40" w:after="40"/>
            </w:pPr>
            <w:r>
              <w:rPr>
                <w:rFonts w:ascii="Arial" w:hAnsi="Arial"/>
                <w:b w:val="0"/>
                <w:i w:val="0"/>
                <w:color w:val="111827"/>
                <w:sz w:val="21"/>
              </w:rPr>
              <w:t xml:space="preserve">- Apenas se for Inimitável e sustentado pela Organização é que se alcança a </w:t>
            </w:r>
            <w:r>
              <w:rPr>
                <w:rFonts w:ascii="Arial" w:hAnsi="Arial"/>
                <w:b/>
                <w:i w:val="0"/>
                <w:color w:val="111827"/>
                <w:sz w:val="21"/>
              </w:rPr>
              <w:t>Vantagem Competitiva Sustentável</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sustentabilidade requer obrigatoriamente que o recurso seja inimitável.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Paridade ocorre quando o recurso não é raro.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Não guarda pertinência com ineficiência estrutural.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TRT-20ª Região – Analista Judiciário: Área Administrativa)</w:t>
      </w:r>
    </w:p>
    <w:p>
      <w:pPr>
        <w:spacing w:line="360" w:lineRule="auto" w:before="0" w:after="80"/>
        <w:jc w:val="both"/>
      </w:pPr>
      <w:r>
        <w:rPr>
          <w:rFonts w:ascii="Arial" w:hAnsi="Arial"/>
          <w:b w:val="0"/>
          <w:i w:val="0"/>
          <w:color w:val="111827"/>
          <w:sz w:val="24"/>
        </w:rPr>
        <w:t>Determinada entidade governamental realizou o diagnóstico de seu ambiente por meio da matriz SWOT cruzada. A equipe constatou a existência concomitante de graves fragilidades operacionais internas (sistemas obsoletos e déficit crônico de servidores) associadas a um ambiente externo marcado por severas restrições orçamentárias impostas por lei e risco iminente de descontinuidade de convênios. Diante desse cenário de predomínio de fraquezas internas e ameaças externas, a postura estratégica recomendada pela teoria da administração é 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Postura de Alavancagem ou Ofensiva.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Postura de Sobrevivência.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Postura de Expansão Acelerada de Mercados.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Postura de Liderança em Diferenciação de Marca.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Postura de Reforço Baseada em Vantagem Sustentável.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postura ofensiva/alavancagem ocorre no quadrante Forças + Oportunidades.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 cruzamento da matriz SWOT, quando uma instituição acumula </w:t>
            </w:r>
            <w:r>
              <w:rPr>
                <w:rFonts w:ascii="Arial" w:hAnsi="Arial"/>
                <w:b/>
                <w:i w:val="0"/>
                <w:color w:val="111827"/>
                <w:sz w:val="21"/>
              </w:rPr>
              <w:t>Fraquezas internas</w:t>
            </w:r>
            <w:r>
              <w:rPr>
                <w:rFonts w:ascii="Arial" w:hAnsi="Arial"/>
                <w:b w:val="0"/>
                <w:i w:val="0"/>
                <w:color w:val="111827"/>
                <w:sz w:val="21"/>
              </w:rPr>
              <w:t xml:space="preserve"> diante de </w:t>
            </w:r>
            <w:r>
              <w:rPr>
                <w:rFonts w:ascii="Arial" w:hAnsi="Arial"/>
                <w:b/>
                <w:i w:val="0"/>
                <w:color w:val="111827"/>
                <w:sz w:val="21"/>
              </w:rPr>
              <w:t>Ameaças externas graves</w:t>
            </w:r>
            <w:r>
              <w:rPr>
                <w:rFonts w:ascii="Arial" w:hAnsi="Arial"/>
                <w:b w:val="0"/>
                <w:i w:val="0"/>
                <w:color w:val="111827"/>
                <w:sz w:val="21"/>
              </w:rPr>
              <w:t xml:space="preserve"> (quadrante WT), a estratégia mandatória é a </w:t>
            </w:r>
            <w:r>
              <w:rPr>
                <w:rFonts w:ascii="Arial" w:hAnsi="Arial"/>
                <w:b/>
                <w:i w:val="0"/>
                <w:color w:val="111827"/>
                <w:sz w:val="21"/>
              </w:rPr>
              <w:t>Postura de Sobrevivência</w:t>
            </w:r>
            <w:r>
              <w:rPr>
                <w:rFonts w:ascii="Arial" w:hAnsi="Arial"/>
                <w:b w:val="0"/>
                <w:i w:val="0"/>
                <w:color w:val="111827"/>
                <w:sz w:val="21"/>
              </w:rPr>
              <w:t>, caracterizada pela contenção drástica de despesas, eliminação de desperdícios, redução de escopo e reestruturação para evitar o colapso operacional da organização.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Expansão é postura ofensiva para momentos favoráveis.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Diferenciação é estratégia de posicionamento mercadológico de Porter.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momento é de mitigação extrema de riscos, e não de sustentação de vantagem.</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SEFAZ-PE – Auditor Fiscal do Tesouro Estadual)</w:t>
      </w:r>
    </w:p>
    <w:p>
      <w:pPr>
        <w:spacing w:line="360" w:lineRule="auto" w:before="0" w:after="80"/>
        <w:jc w:val="both"/>
      </w:pPr>
      <w:r>
        <w:rPr>
          <w:rFonts w:ascii="Arial" w:hAnsi="Arial"/>
          <w:b w:val="0"/>
          <w:i w:val="0"/>
          <w:color w:val="111827"/>
          <w:sz w:val="24"/>
        </w:rPr>
        <w:t>No modelo das Estratégias Genéricas formulado por Michael Porter, a organização que opta por desenvolver serviços ou produtos com atributos peculiares e exclusivos, fortemente reconhecidos pelo público-alvo pela sua excelência técnica, design inovador e credibilidade institucional, cobra preços diferenciados e busca fidelizar seus usuários, adota a estratégia genérica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Liderança em Custo Total.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Diferenciação.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Desinvestimento Operacional.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Conglomerado Diversificado.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Paridade Tecnológica Compulsória.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Liderança em custos busca operar com o menor custo unitário de produção da indústria com base em economias de escala.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estratégia genérica de </w:t>
            </w:r>
            <w:r>
              <w:rPr>
                <w:rFonts w:ascii="Arial" w:hAnsi="Arial"/>
                <w:b/>
                <w:i w:val="0"/>
                <w:color w:val="111827"/>
                <w:sz w:val="21"/>
              </w:rPr>
              <w:t>Diferenciação</w:t>
            </w:r>
            <w:r>
              <w:rPr>
                <w:rFonts w:ascii="Arial" w:hAnsi="Arial"/>
                <w:b w:val="0"/>
                <w:i w:val="0"/>
                <w:color w:val="111827"/>
                <w:sz w:val="21"/>
              </w:rPr>
              <w:t xml:space="preserve"> baseia-se na criação de um produto ou serviço percebido pelo mercado/usuário como exclusivo e singular em suas características, gerando lealdade à marca e permitindo que a organização cobre preços superiores (</w:t>
            </w:r>
            <w:r>
              <w:rPr>
                <w:rFonts w:ascii="Arial" w:hAnsi="Arial"/>
                <w:b w:val="0"/>
                <w:i/>
                <w:color w:val="111827"/>
                <w:sz w:val="21"/>
              </w:rPr>
              <w:t>preço premium</w:t>
            </w:r>
            <w:r>
              <w:rPr>
                <w:rFonts w:ascii="Arial" w:hAnsi="Arial"/>
                <w:b w:val="0"/>
                <w:i w:val="0"/>
                <w:color w:val="111827"/>
                <w:sz w:val="21"/>
              </w:rPr>
              <w:t>) ou atinja alto reconhecimento público.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Desinvestimento é manobra de redução de ativos, e não estratégia competitiva genérica.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Conglomerado é forma societária de diversificação corporativa.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Categoria inexistente na taxonomia de Porter.</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DPE-RS – Analista: Área Administrativa)</w:t>
      </w:r>
    </w:p>
    <w:p>
      <w:pPr>
        <w:spacing w:line="360" w:lineRule="auto" w:before="0" w:after="80"/>
        <w:jc w:val="both"/>
      </w:pPr>
      <w:r>
        <w:rPr>
          <w:rFonts w:ascii="Arial" w:hAnsi="Arial"/>
          <w:b w:val="0"/>
          <w:i w:val="0"/>
          <w:color w:val="111827"/>
          <w:sz w:val="24"/>
        </w:rPr>
        <w:t>A respeito da ferramenta Business Model Canvas desenvolvida por Alexander Osterwalder,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bloco da Proposta de Valor descreve detalhadamente o organograma hierárquico e as linhas formais de subordinação funcional da empresa.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bloco de Segmentos de Clientes situa-se no lado de infraestrutura interna (back-stage), ao lado da estrutura de custos e fornecedores.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modelo Canvas é composto por nove blocos interdependentes que descrevem a lógica de como uma organização cria, entrega e captura valor perante seu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ferramenta Canvas foi desenhada com a finalidade exclusiva de substituir as Demonstrações Contábeis Aplicadas ao Setor Público (DCASP).</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bloco das Parcerias Principais destina-se a mensurar os prazos cronológicos das tarefas críticas de projetos de curto prazo.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Proposta de Valor define o conjunto de benefícios, produtos e soluções que resolvem o problema ou atendem à necessidade do cliente, sem tratar de organogramas internos.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Segmentos de Clientes integra o lado direito do Canvas (front-stage / mercado e clientes).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w:t>
            </w:r>
            <w:r>
              <w:rPr>
                <w:rFonts w:ascii="Arial" w:hAnsi="Arial"/>
                <w:b/>
                <w:i w:val="0"/>
                <w:color w:val="111827"/>
                <w:sz w:val="21"/>
              </w:rPr>
              <w:t>Business Model Canvas</w:t>
            </w:r>
            <w:r>
              <w:rPr>
                <w:rFonts w:ascii="Arial" w:hAnsi="Arial"/>
                <w:b w:val="0"/>
                <w:i w:val="0"/>
                <w:color w:val="111827"/>
                <w:sz w:val="21"/>
              </w:rPr>
              <w:t xml:space="preserve"> é uma metodologia visual consagrada dividida em </w:t>
            </w:r>
            <w:r>
              <w:rPr>
                <w:rFonts w:ascii="Arial" w:hAnsi="Arial"/>
                <w:b/>
                <w:i w:val="0"/>
                <w:color w:val="111827"/>
                <w:sz w:val="21"/>
              </w:rPr>
              <w:t>nove blocos essenciais</w:t>
            </w:r>
            <w:r>
              <w:rPr>
                <w:rFonts w:ascii="Arial" w:hAnsi="Arial"/>
                <w:b w:val="0"/>
                <w:i w:val="0"/>
                <w:color w:val="111827"/>
                <w:sz w:val="21"/>
              </w:rPr>
              <w:t xml:space="preserve"> (Proposta de Valor, Segmentos de Clientes, Canais, Relacionamento com Clientes, Fontes de Receita, Recursos Principais, Atividades-Chave, Parcerias Principais e Estrutura de Custos), concebida para mapear de forma sistêmica como a entidade gera, entrega e captura valor.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Canvas é ferramenta de modelagem estratégica e de negócios, não tendo natureza de demonstrativo contábil.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Parcerias Principais mapeia a rede de fornecedores, aliados e parceiros estratégicos que viabilizam o funcionamento da instituição.</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03 - Cadeia de Valor, Alinhamento pelo BSC e Implementação Estratégica</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Administração Estratégica</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03_cadeia_de_valor_bsc_e_execucao_estrategica.md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Cadeia de Valor de Michael Porter: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Conceito de valor e agregação de valor ao usuário/cidadão;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Atividades Primárias:</w:t>
      </w:r>
      <w:r>
        <w:rPr>
          <w:rFonts w:ascii="Arial" w:hAnsi="Arial"/>
          <w:b w:val="0"/>
          <w:i w:val="0"/>
          <w:color w:val="111827"/>
          <w:sz w:val="22"/>
        </w:rPr>
        <w:t xml:space="preserve"> Logística Interna (de entrada), Operações (transformação), Logística Externa (de saída), Marketing &amp; Vendas e Serviços (pós-venda);</w:t>
      </w:r>
    </w:p>
    <w:p>
      <w:pPr>
        <w:spacing w:line="276" w:lineRule="auto" w:before="20" w:after="40"/>
        <w:ind w:left="992"/>
      </w:pPr>
      <w:r>
        <w:rPr>
          <w:rFonts w:ascii="Arial" w:hAnsi="Arial"/>
          <w:b/>
          <w:color w:val="2B6CB0"/>
          <w:sz w:val="22"/>
        </w:rPr>
        <w:t xml:space="preserve">• </w:t>
      </w:r>
      <w:r>
        <w:rPr>
          <w:rFonts w:ascii="Arial" w:hAnsi="Arial"/>
          <w:b/>
          <w:i w:val="0"/>
          <w:color w:val="111827"/>
          <w:sz w:val="22"/>
        </w:rPr>
        <w:t>Atividades de Apoio (Suporte):</w:t>
      </w:r>
      <w:r>
        <w:rPr>
          <w:rFonts w:ascii="Arial" w:hAnsi="Arial"/>
          <w:b w:val="0"/>
          <w:i w:val="0"/>
          <w:color w:val="111827"/>
          <w:sz w:val="22"/>
        </w:rPr>
        <w:t xml:space="preserve"> Infraestrutura Organizacional, Gestão de Recursos Humanos, Desenvolvimento Tecnológico e Aquisições (compras/suprimentos);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Margem da Cadeia de Valor e sua transposição para a geração de "Valor Público" nos órgãos de controle externo;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Balanced Scorecard (BSC) como ferramenta de alinhamento e execução estratégica: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Da formulação ao desdobramento da estratégia (</w:t>
      </w:r>
      <w:r>
        <w:rPr>
          <w:rFonts w:ascii="Arial" w:hAnsi="Arial"/>
          <w:b w:val="0"/>
          <w:i/>
          <w:color w:val="111827"/>
          <w:sz w:val="22"/>
        </w:rPr>
        <w:t>cascading</w:t>
      </w:r>
      <w:r>
        <w:rPr>
          <w:rFonts w:ascii="Arial" w:hAnsi="Arial"/>
          <w:b w:val="0"/>
          <w:i w:val="0"/>
          <w:color w:val="111827"/>
          <w:sz w:val="22"/>
        </w:rPr>
        <w:t>): alinhamento vertical e alinhamento horizontal;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estrutura quádrupla operacional: Objetivos Estratégicos </w:t>
      </w:r>
      <w:r>
        <w:rPr>
          <w:rFonts w:ascii="Cambria Math" w:hAnsi="Cambria Math"/>
          <w:i/>
          <w:color w:val="1B365D"/>
          <w:sz w:val="22"/>
        </w:rPr>
        <w:t>\rightarrow</w:t>
      </w:r>
      <w:r>
        <w:rPr>
          <w:rFonts w:ascii="Arial" w:hAnsi="Arial"/>
          <w:b w:val="0"/>
          <w:i w:val="0"/>
          <w:color w:val="111827"/>
          <w:sz w:val="22"/>
        </w:rPr>
        <w:t xml:space="preserve"> Indicadores-Chave (KPIs) </w:t>
      </w:r>
      <w:r>
        <w:rPr>
          <w:rFonts w:ascii="Cambria Math" w:hAnsi="Cambria Math"/>
          <w:i/>
          <w:color w:val="1B365D"/>
          <w:sz w:val="22"/>
        </w:rPr>
        <w:t>\rightarrow</w:t>
      </w:r>
      <w:r>
        <w:rPr>
          <w:rFonts w:ascii="Arial" w:hAnsi="Arial"/>
          <w:b w:val="0"/>
          <w:i w:val="0"/>
          <w:color w:val="111827"/>
          <w:sz w:val="22"/>
        </w:rPr>
        <w:t xml:space="preserve"> Metas Quantitativas </w:t>
      </w:r>
      <w:r>
        <w:rPr>
          <w:rFonts w:ascii="Cambria Math" w:hAnsi="Cambria Math"/>
          <w:i/>
          <w:color w:val="1B365D"/>
          <w:sz w:val="22"/>
        </w:rPr>
        <w:t>\rightarrow</w:t>
      </w:r>
      <w:r>
        <w:rPr>
          <w:rFonts w:ascii="Arial" w:hAnsi="Arial"/>
          <w:b w:val="0"/>
          <w:i w:val="0"/>
          <w:color w:val="111827"/>
          <w:sz w:val="22"/>
        </w:rPr>
        <w:t xml:space="preserve"> Iniciativas Estratégicas (Planos de Ação e Projetos);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Indicadores de tendência (</w:t>
      </w:r>
      <w:r>
        <w:rPr>
          <w:rFonts w:ascii="Arial" w:hAnsi="Arial"/>
          <w:b w:val="0"/>
          <w:i/>
          <w:color w:val="111827"/>
          <w:sz w:val="22"/>
        </w:rPr>
        <w:t>leading indicators</w:t>
      </w:r>
      <w:r>
        <w:rPr>
          <w:rFonts w:ascii="Arial" w:hAnsi="Arial"/>
          <w:b w:val="0"/>
          <w:i w:val="0"/>
          <w:color w:val="111827"/>
          <w:sz w:val="22"/>
        </w:rPr>
        <w:t>) versus indicadores de resultado (</w:t>
      </w:r>
      <w:r>
        <w:rPr>
          <w:rFonts w:ascii="Arial" w:hAnsi="Arial"/>
          <w:b w:val="0"/>
          <w:i/>
          <w:color w:val="111827"/>
          <w:sz w:val="22"/>
        </w:rPr>
        <w:t>lagging indicators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Implementação, Governança e Controle da Estratégia: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As Quatro Barreiras clássicas à execução estratégica (Robert Kaplan e David Norton): barreira da visão, das pessoas, dos recursos e da gestão;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Escritório de Gestão Estratégica (EGE / PMO institucional);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Reuniões de Avaliação da Estratégia (RAE) e governança do Plano Estratégico do TCE-GO.</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A Cadeia de Valor de Michael Porter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 Desdobramento da Estratégia (*Cascading*) pelo BSC</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As Quatro Barreiras à Execução da Estratégia (Kaplan e Norton)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Escritório de Gestão Estratégica (EGE) e Reuniões de Avaliação (RAE)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Questões de Concurso FCC Comentadas</w:t>
      </w:r>
    </w:p>
    <w:p>
      <w:pPr>
        <w:keepNext/>
        <w:spacing w:before="280" w:after="120"/>
      </w:pPr>
      <w:r>
        <w:rPr>
          <w:rFonts w:ascii="Arial" w:hAnsi="Arial"/>
          <w:b/>
          <w:i w:val="0"/>
          <w:color w:val="2C5282"/>
          <w:sz w:val="28"/>
        </w:rPr>
        <w:t>📖 Resumo Teórico Aprofundado &amp; Esquematizado</w:t>
      </w:r>
    </w:p>
    <w:p>
      <w:pPr>
        <w:keepNext/>
        <w:spacing w:before="200" w:after="80"/>
      </w:pPr>
      <w:r>
        <w:rPr>
          <w:rFonts w:ascii="Arial" w:hAnsi="Arial"/>
          <w:b/>
          <w:i w:val="0"/>
          <w:color w:val="2B6CB0"/>
          <w:sz w:val="24"/>
        </w:rPr>
        <w:t>1. A Cadeia de Valor de Michael Porter</w:t>
      </w:r>
    </w:p>
    <w:p>
      <w:pPr>
        <w:spacing w:line="360" w:lineRule="auto" w:before="0" w:after="80"/>
        <w:jc w:val="both"/>
      </w:pPr>
      <w:r>
        <w:rPr>
          <w:rFonts w:ascii="Arial" w:hAnsi="Arial"/>
          <w:b w:val="0"/>
          <w:i w:val="0"/>
          <w:color w:val="111827"/>
          <w:sz w:val="24"/>
        </w:rPr>
        <w:t xml:space="preserve">Concebida por Michael Porter em 1985, a </w:t>
      </w:r>
      <w:r>
        <w:rPr>
          <w:rFonts w:ascii="Arial" w:hAnsi="Arial"/>
          <w:b/>
          <w:i w:val="0"/>
          <w:color w:val="111827"/>
          <w:sz w:val="24"/>
        </w:rPr>
        <w:t>Cadeia de Valor</w:t>
      </w:r>
      <w:r>
        <w:rPr>
          <w:rFonts w:ascii="Arial" w:hAnsi="Arial"/>
          <w:b w:val="0"/>
          <w:i w:val="0"/>
          <w:color w:val="111827"/>
          <w:sz w:val="24"/>
        </w:rPr>
        <w:t xml:space="preserve"> é um modelo analítico que desagrega a organização em suas atividades estrategicamente relevantes para compreender o comportamento de custos e identificar fontes de diferenciação competitiva:</w:t>
      </w:r>
    </w:p>
    <w:p>
      <w:pPr>
        <w:spacing w:after="120"/>
      </w:pPr>
    </w:p>
    <w:p>
      <w:pPr>
        <w:keepNext/>
        <w:spacing w:before="120" w:after="40"/>
      </w:pPr>
      <w:r>
        <w:rPr>
          <w:rFonts w:ascii="Arial" w:hAnsi="Arial"/>
          <w:b/>
          <w:i/>
          <w:color w:val="334155"/>
          <w:sz w:val="22"/>
        </w:rPr>
        <w:t>Classificação Rigorosa das Atividades: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Atividades Primárias:</w:t>
      </w:r>
      <w:r>
        <w:rPr>
          <w:rFonts w:ascii="Arial" w:hAnsi="Arial"/>
          <w:b w:val="0"/>
          <w:i w:val="0"/>
          <w:color w:val="111827"/>
          <w:sz w:val="22"/>
        </w:rPr>
        <w:t xml:space="preserve"> Estão diretamente envolvidas na criação física do produto ou serviço, sua distribuição aos usuários e a assistência pós-entrega:</w:t>
      </w:r>
    </w:p>
    <w:p>
      <w:pPr>
        <w:spacing w:line="276" w:lineRule="auto" w:before="20" w:after="40"/>
        <w:ind w:left="992"/>
      </w:pPr>
      <w:r>
        <w:rPr>
          <w:rFonts w:ascii="Arial" w:hAnsi="Arial"/>
          <w:b/>
          <w:color w:val="2B6CB0"/>
          <w:sz w:val="22"/>
        </w:rPr>
        <w:t xml:space="preserve">• </w:t>
      </w:r>
      <w:r>
        <w:rPr>
          <w:rFonts w:ascii="Arial" w:hAnsi="Arial"/>
          <w:b w:val="0"/>
          <w:i/>
          <w:color w:val="111827"/>
          <w:sz w:val="22"/>
        </w:rPr>
        <w:t>Logística de Entrada (Interna):</w:t>
      </w:r>
      <w:r>
        <w:rPr>
          <w:rFonts w:ascii="Arial" w:hAnsi="Arial"/>
          <w:b w:val="0"/>
          <w:i w:val="0"/>
          <w:color w:val="111827"/>
          <w:sz w:val="22"/>
        </w:rPr>
        <w:t xml:space="preserve"> Recebimento, conferência, armazenagem e distribuição interna dos insumos necessários.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Operações (Transformação):</w:t>
      </w:r>
      <w:r>
        <w:rPr>
          <w:rFonts w:ascii="Arial" w:hAnsi="Arial"/>
          <w:b w:val="0"/>
          <w:i w:val="0"/>
          <w:color w:val="111827"/>
          <w:sz w:val="22"/>
        </w:rPr>
        <w:t xml:space="preserve"> Processamento e transformação dos insumos no serviço ou produto final entregue.</w:t>
      </w:r>
    </w:p>
    <w:p>
      <w:pPr>
        <w:spacing w:line="276" w:lineRule="auto" w:before="20" w:after="40"/>
        <w:ind w:left="992"/>
      </w:pPr>
      <w:r>
        <w:rPr>
          <w:rFonts w:ascii="Arial" w:hAnsi="Arial"/>
          <w:b/>
          <w:color w:val="2B6CB0"/>
          <w:sz w:val="22"/>
        </w:rPr>
        <w:t xml:space="preserve">• </w:t>
      </w:r>
      <w:r>
        <w:rPr>
          <w:rFonts w:ascii="Arial" w:hAnsi="Arial"/>
          <w:b w:val="0"/>
          <w:i/>
          <w:color w:val="111827"/>
          <w:sz w:val="22"/>
        </w:rPr>
        <w:t>Logística de Saída (Externa):</w:t>
      </w:r>
      <w:r>
        <w:rPr>
          <w:rFonts w:ascii="Arial" w:hAnsi="Arial"/>
          <w:b w:val="0"/>
          <w:i w:val="0"/>
          <w:color w:val="111827"/>
          <w:sz w:val="22"/>
        </w:rPr>
        <w:t xml:space="preserve"> Coleta, armazenagem e distribuição final dos relatórios, acórdãos ou produtos aos clientes/cidadãos.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Marketing e Vendas:</w:t>
      </w:r>
      <w:r>
        <w:rPr>
          <w:rFonts w:ascii="Arial" w:hAnsi="Arial"/>
          <w:b w:val="0"/>
          <w:i w:val="0"/>
          <w:color w:val="111827"/>
          <w:sz w:val="22"/>
        </w:rPr>
        <w:t xml:space="preserve"> Comunicação social, canais de transparência, publicidade e estímulo ao controle social.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Serviços (Pós-Venda):</w:t>
      </w:r>
      <w:r>
        <w:rPr>
          <w:rFonts w:ascii="Arial" w:hAnsi="Arial"/>
          <w:b w:val="0"/>
          <w:i w:val="0"/>
          <w:color w:val="111827"/>
          <w:sz w:val="22"/>
        </w:rPr>
        <w:t xml:space="preserve"> Atendimento contínuo, ouvidoria, monitoramento e suporte aos usuários.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Atividades de Apoio (Suporte):</w:t>
      </w:r>
      <w:r>
        <w:rPr>
          <w:rFonts w:ascii="Arial" w:hAnsi="Arial"/>
          <w:b w:val="0"/>
          <w:i w:val="0"/>
          <w:color w:val="111827"/>
          <w:sz w:val="22"/>
        </w:rPr>
        <w:t xml:space="preserve"> Sustentam transversalmente as atividades primárias fornecendo infraestrutura institucional, pessoal, tecnologia e materiais: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Infraestrutura da Organização:</w:t>
      </w:r>
      <w:r>
        <w:rPr>
          <w:rFonts w:ascii="Arial" w:hAnsi="Arial"/>
          <w:b w:val="0"/>
          <w:i w:val="0"/>
          <w:color w:val="111827"/>
          <w:sz w:val="22"/>
        </w:rPr>
        <w:t xml:space="preserve"> Gestão geral, assessoria jurídica, planejamento orçamentário e relações institucionais.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Gestão de Recursos Humanos:</w:t>
      </w:r>
      <w:r>
        <w:rPr>
          <w:rFonts w:ascii="Arial" w:hAnsi="Arial"/>
          <w:b w:val="0"/>
          <w:i w:val="0"/>
          <w:color w:val="111827"/>
          <w:sz w:val="22"/>
        </w:rPr>
        <w:t xml:space="preserve"> Seleção pública, planos de cargos e salários, capacitação contínua e avaliação de desempenho.</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Desenvolvimento Tecnológico:</w:t>
      </w:r>
      <w:r>
        <w:rPr>
          <w:rFonts w:ascii="Arial" w:hAnsi="Arial"/>
          <w:b w:val="0"/>
          <w:i w:val="0"/>
          <w:color w:val="111827"/>
          <w:sz w:val="22"/>
        </w:rPr>
        <w:t xml:space="preserve"> Procedimentos técnicos, softwares de gestão, infraestrutura de redes e inteligência artificial.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Aquisições (Compras):</w:t>
      </w:r>
      <w:r>
        <w:rPr>
          <w:rFonts w:ascii="Arial" w:hAnsi="Arial"/>
          <w:b w:val="0"/>
          <w:i w:val="0"/>
          <w:color w:val="111827"/>
          <w:sz w:val="22"/>
        </w:rPr>
        <w:t xml:space="preserve"> A função de licitar e adquirir insumos, materiais e contratação de serviços terceirizados.</w:t>
      </w:r>
    </w:p>
    <w:p>
      <w:pPr>
        <w:keepNext/>
        <w:spacing w:before="120" w:after="40"/>
      </w:pPr>
      <w:r>
        <w:rPr>
          <w:rFonts w:ascii="Arial" w:hAnsi="Arial"/>
          <w:b/>
          <w:i/>
          <w:color w:val="334155"/>
          <w:sz w:val="22"/>
        </w:rPr>
        <w:t>Transposição para os Órgãos Públicos de Controle (TCE-GO):</w:t>
      </w:r>
    </w:p>
    <w:p>
      <w:pPr>
        <w:spacing w:line="360" w:lineRule="auto" w:before="0" w:after="80"/>
        <w:jc w:val="both"/>
      </w:pPr>
      <w:r>
        <w:rPr>
          <w:rFonts w:ascii="Arial" w:hAnsi="Arial"/>
          <w:b w:val="0"/>
          <w:i w:val="0"/>
          <w:color w:val="111827"/>
          <w:sz w:val="24"/>
        </w:rPr>
        <w:t xml:space="preserve">No setor público, a "Margem de Lucro Privada" é convertida no conceito fundamental de </w:t>
      </w:r>
      <w:r>
        <w:rPr>
          <w:rFonts w:ascii="Arial" w:hAnsi="Arial"/>
          <w:b/>
          <w:i w:val="0"/>
          <w:color w:val="111827"/>
          <w:sz w:val="24"/>
        </w:rPr>
        <w:t>Valor Público</w:t>
      </w:r>
      <w:r>
        <w:rPr>
          <w:rFonts w:ascii="Arial" w:hAnsi="Arial"/>
          <w:b w:val="0"/>
          <w:i w:val="0"/>
          <w:color w:val="111827"/>
          <w:sz w:val="24"/>
        </w:rPr>
        <w:t xml:space="preserve"> (Mark Moore):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Atividades Primárias do TCE-GO:</w:t>
      </w:r>
      <w:r>
        <w:rPr>
          <w:rFonts w:ascii="Arial" w:hAnsi="Arial"/>
          <w:b w:val="0"/>
          <w:i w:val="0"/>
          <w:color w:val="111827"/>
          <w:sz w:val="22"/>
        </w:rPr>
        <w:t xml:space="preserve"> Recebimento e autuação das prestações de contas municipais e estaduais (Logística de Entrada) </w:t>
      </w:r>
      <w:r>
        <w:rPr>
          <w:rFonts w:ascii="Cambria Math" w:hAnsi="Cambria Math"/>
          <w:i/>
          <w:color w:val="1B365D"/>
          <w:sz w:val="22"/>
        </w:rPr>
        <w:t>\rightarrow</w:t>
      </w:r>
      <w:r>
        <w:rPr>
          <w:rFonts w:ascii="Arial" w:hAnsi="Arial"/>
          <w:b w:val="0"/>
          <w:i w:val="0"/>
          <w:color w:val="111827"/>
          <w:sz w:val="22"/>
        </w:rPr>
        <w:t xml:space="preserve"> Análise técnica, instrução de processos e elaboração de relatórios de auditoria (Operações) </w:t>
      </w:r>
      <w:r>
        <w:rPr>
          <w:rFonts w:ascii="Cambria Math" w:hAnsi="Cambria Math"/>
          <w:i/>
          <w:color w:val="1B365D"/>
          <w:sz w:val="22"/>
        </w:rPr>
        <w:t>\rightarrow</w:t>
      </w:r>
      <w:r>
        <w:rPr>
          <w:rFonts w:ascii="Arial" w:hAnsi="Arial"/>
          <w:b w:val="0"/>
          <w:i w:val="0"/>
          <w:color w:val="111827"/>
          <w:sz w:val="22"/>
        </w:rPr>
        <w:t xml:space="preserve"> Sessões plenárias, julgamentos, publicação de acórdãos e emissão de pareceres prévios (Logística de Saída) </w:t>
      </w:r>
      <w:r>
        <w:rPr>
          <w:rFonts w:ascii="Cambria Math" w:hAnsi="Cambria Math"/>
          <w:i/>
          <w:color w:val="1B365D"/>
          <w:sz w:val="22"/>
        </w:rPr>
        <w:t>\rightarrow</w:t>
      </w:r>
      <w:r>
        <w:rPr>
          <w:rFonts w:ascii="Arial" w:hAnsi="Arial"/>
          <w:b w:val="0"/>
          <w:i w:val="0"/>
          <w:color w:val="111827"/>
          <w:sz w:val="22"/>
        </w:rPr>
        <w:t xml:space="preserve"> Divulgação ampla no Portal da Transparência e Diário Oficial (Marketing e Comunicação) </w:t>
      </w:r>
      <w:r>
        <w:rPr>
          <w:rFonts w:ascii="Cambria Math" w:hAnsi="Cambria Math"/>
          <w:i/>
          <w:color w:val="1B365D"/>
          <w:sz w:val="22"/>
        </w:rPr>
        <w:t>\rightarrow</w:t>
      </w:r>
      <w:r>
        <w:rPr>
          <w:rFonts w:ascii="Arial" w:hAnsi="Arial"/>
          <w:b w:val="0"/>
          <w:i w:val="0"/>
          <w:color w:val="111827"/>
          <w:sz w:val="22"/>
        </w:rPr>
        <w:t xml:space="preserve"> Monitoramento do cumprimento das determinações e recomendações pelos órgãos jurisdicionados (Serviços e Pós-Decisão).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Atividades de Apoio do TCE-GO:</w:t>
      </w:r>
      <w:r>
        <w:rPr>
          <w:rFonts w:ascii="Arial" w:hAnsi="Arial"/>
          <w:b w:val="0"/>
          <w:i w:val="0"/>
          <w:color w:val="111827"/>
          <w:sz w:val="22"/>
        </w:rPr>
        <w:t xml:space="preserve"> A gestão predial, o departamento de TI (sistemas informatizados), o setor de compras/licitações e a Escola Superior de Controle Externo.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(COMPRAS E TI SÃO ATIVIDADES DE APOIO!):</w:t>
            </w:r>
          </w:p>
          <w:p>
            <w:pPr>
              <w:spacing w:line="288" w:lineRule="auto" w:before="40" w:after="40"/>
            </w:pPr>
            <w:r>
              <w:rPr>
                <w:rFonts w:ascii="Arial" w:hAnsi="Arial"/>
                <w:b w:val="0"/>
                <w:i w:val="0"/>
                <w:color w:val="111827"/>
                <w:sz w:val="21"/>
              </w:rPr>
              <w:t xml:space="preserve">Pegadinha campeã em concursos da FCC: afirmar que "a aquisição de materiais e o desenvolvimento de sistemas informatizados são atividades primárias da cadeia de valor". </w:t>
            </w:r>
            <w:r>
              <w:rPr>
                <w:rFonts w:ascii="Arial" w:hAnsi="Arial"/>
                <w:b/>
                <w:i w:val="0"/>
                <w:color w:val="111827"/>
                <w:sz w:val="21"/>
              </w:rPr>
              <w:t>FALSO!</w:t>
            </w:r>
            <w:r>
              <w:rPr>
                <w:rFonts w:ascii="Arial" w:hAnsi="Arial"/>
                <w:b w:val="0"/>
                <w:i w:val="0"/>
                <w:color w:val="111827"/>
                <w:sz w:val="21"/>
              </w:rPr>
              <w:t xml:space="preserve"> No modelo oficial de Michael Porter, </w:t>
            </w:r>
            <w:r>
              <w:rPr>
                <w:rFonts w:ascii="Arial" w:hAnsi="Arial"/>
                <w:b/>
                <w:i w:val="0"/>
                <w:color w:val="111827"/>
                <w:sz w:val="21"/>
              </w:rPr>
              <w:t>Aquisições (Compras)</w:t>
            </w:r>
            <w:r>
              <w:rPr>
                <w:rFonts w:ascii="Arial" w:hAnsi="Arial"/>
                <w:b w:val="0"/>
                <w:i w:val="0"/>
                <w:color w:val="111827"/>
                <w:sz w:val="21"/>
              </w:rPr>
              <w:t xml:space="preserve"> e </w:t>
            </w:r>
            <w:r>
              <w:rPr>
                <w:rFonts w:ascii="Arial" w:hAnsi="Arial"/>
                <w:b/>
                <w:i w:val="0"/>
                <w:color w:val="111827"/>
                <w:sz w:val="21"/>
              </w:rPr>
              <w:t>Desenvolvimento Tecnológico (TI)</w:t>
            </w:r>
            <w:r>
              <w:rPr>
                <w:rFonts w:ascii="Arial" w:hAnsi="Arial"/>
                <w:b w:val="0"/>
                <w:i w:val="0"/>
                <w:color w:val="111827"/>
                <w:sz w:val="21"/>
              </w:rPr>
              <w:t xml:space="preserve"> são </w:t>
            </w:r>
            <w:r>
              <w:rPr>
                <w:rFonts w:ascii="Arial" w:hAnsi="Arial"/>
                <w:b/>
                <w:i w:val="0"/>
                <w:color w:val="111827"/>
                <w:sz w:val="21"/>
              </w:rPr>
              <w:t>Atividades de Apoio (Suporte)</w:t>
            </w:r>
            <w:r>
              <w:rPr>
                <w:rFonts w:ascii="Arial" w:hAnsi="Arial"/>
                <w:b w:val="0"/>
                <w:i w:val="0"/>
                <w:color w:val="111827"/>
                <w:sz w:val="21"/>
              </w:rPr>
              <w:t>, pois exercem papel de sustentação transversal para as atividades primárias!</w:t>
            </w:r>
          </w:p>
        </w:tc>
      </w:tr>
    </w:tbl>
    <w:p>
      <w:pPr>
        <w:spacing w:before="0"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(VALOR PÚBLICO NO CONTROLE EXTERNO):</w:t>
            </w:r>
          </w:p>
          <w:p>
            <w:pPr>
              <w:spacing w:line="288" w:lineRule="auto" w:before="40" w:after="40"/>
            </w:pPr>
            <w:r>
              <w:rPr>
                <w:rFonts w:ascii="Arial" w:hAnsi="Arial"/>
                <w:b w:val="0"/>
                <w:i w:val="0"/>
                <w:color w:val="111827"/>
                <w:sz w:val="21"/>
              </w:rPr>
              <w:t>Para o Tribunal de Contas, valor público significa fiscalizar para coibir a corrupção e os desvios, induzir a melhoria das políticas públicas de saúde e educação e assegurar que os impostos pagos pelos cidadãos retornem em serviços estatais de excelência.</w:t>
            </w:r>
          </w:p>
        </w:tc>
      </w:tr>
    </w:tbl>
    <w:p>
      <w:pPr>
        <w:spacing w:before="0" w:after="120"/>
      </w:pPr>
    </w:p>
    <w:p>
      <w:pPr>
        <w:keepNext/>
        <w:spacing w:before="200" w:after="80"/>
      </w:pPr>
      <w:r>
        <w:rPr>
          <w:rFonts w:ascii="Arial" w:hAnsi="Arial"/>
          <w:b/>
          <w:i w:val="0"/>
          <w:color w:val="2B6CB0"/>
          <w:sz w:val="24"/>
        </w:rPr>
        <w:t>2. O Desdobramento da Estratégia (</w:t>
      </w:r>
      <w:r>
        <w:rPr>
          <w:rFonts w:ascii="Arial" w:hAnsi="Arial"/>
          <w:b/>
          <w:i/>
          <w:color w:val="2B6CB0"/>
          <w:sz w:val="24"/>
        </w:rPr>
        <w:t>Cascading</w:t>
      </w:r>
      <w:r>
        <w:rPr>
          <w:rFonts w:ascii="Arial" w:hAnsi="Arial"/>
          <w:b/>
          <w:i w:val="0"/>
          <w:color w:val="2B6CB0"/>
          <w:sz w:val="24"/>
        </w:rPr>
        <w:t>) pelo BSC</w:t>
      </w:r>
    </w:p>
    <w:p>
      <w:pPr>
        <w:spacing w:line="360" w:lineRule="auto" w:before="0" w:after="80"/>
        <w:jc w:val="both"/>
      </w:pPr>
      <w:r>
        <w:rPr>
          <w:rFonts w:ascii="Arial" w:hAnsi="Arial"/>
          <w:b w:val="0"/>
          <w:i w:val="0"/>
          <w:color w:val="111827"/>
          <w:sz w:val="24"/>
        </w:rPr>
        <w:t>O Balanced Scorecard (BSC) só se converte em realidade operacional quando o mapa estratégico é desdobrado de forma descendente em iniciativas concretas:</w:t>
      </w:r>
    </w:p>
    <w:p>
      <w:pPr>
        <w:spacing w:after="120"/>
      </w:pP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**Alinhamento em Cascata (</w:t>
      </w:r>
      <w:r>
        <w:rPr>
          <w:rFonts w:ascii="Arial" w:hAnsi="Arial"/>
          <w:b w:val="0"/>
          <w:i/>
          <w:color w:val="111827"/>
          <w:sz w:val="22"/>
        </w:rPr>
        <w:t>Cascading</w:t>
      </w:r>
      <w:r>
        <w:rPr>
          <w:rFonts w:ascii="Arial" w:hAnsi="Arial"/>
          <w:b w:val="0"/>
          <w:i w:val="0"/>
          <w:color w:val="111827"/>
          <w:sz w:val="22"/>
        </w:rPr>
        <w:t>):** Processo estruturado pelo qual os objetivos e indicadores do mapa estratégico corporativo do TCE-GO são sucessivamente desdobrados para secretarias, diretorias, divisões e planos de trabalho individuais dos auditores e analistas, assegurando que cada servidor visualize sua contribuição para o plano de longo prazo.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**Indicadores de Tendência (</w:t>
      </w:r>
      <w:r>
        <w:rPr>
          <w:rFonts w:ascii="Arial" w:hAnsi="Arial"/>
          <w:b w:val="0"/>
          <w:i/>
          <w:color w:val="111827"/>
          <w:sz w:val="22"/>
        </w:rPr>
        <w:t>Leading Indicators</w:t>
      </w:r>
      <w:r>
        <w:rPr>
          <w:rFonts w:ascii="Arial" w:hAnsi="Arial"/>
          <w:b w:val="0"/>
          <w:i w:val="0"/>
          <w:color w:val="111827"/>
          <w:sz w:val="22"/>
        </w:rPr>
        <w:t>) vs. Resultado (</w:t>
      </w:r>
      <w:r>
        <w:rPr>
          <w:rFonts w:ascii="Arial" w:hAnsi="Arial"/>
          <w:b w:val="0"/>
          <w:i/>
          <w:color w:val="111827"/>
          <w:sz w:val="22"/>
        </w:rPr>
        <w:t>Lagging Indicators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color w:val="111827"/>
          <w:sz w:val="22"/>
        </w:rPr>
        <w:t>Leading (Guias/Tendência):</w:t>
      </w:r>
      <w:r>
        <w:rPr>
          <w:rFonts w:ascii="Arial" w:hAnsi="Arial"/>
          <w:b w:val="0"/>
          <w:i w:val="0"/>
          <w:color w:val="111827"/>
          <w:sz w:val="22"/>
        </w:rPr>
        <w:t xml:space="preserve"> Medem direcionadores de desempenho e ações intermediárias (ex.: horas de treinamento de servidores em auditoria de TI).</w:t>
      </w:r>
    </w:p>
    <w:p>
      <w:pPr>
        <w:spacing w:line="276" w:lineRule="auto" w:before="20" w:after="40"/>
        <w:ind w:left="992"/>
      </w:pPr>
      <w:r>
        <w:rPr>
          <w:rFonts w:ascii="Arial" w:hAnsi="Arial"/>
          <w:b/>
          <w:color w:val="2B6CB0"/>
          <w:sz w:val="22"/>
        </w:rPr>
        <w:t xml:space="preserve">• </w:t>
      </w:r>
      <w:r>
        <w:rPr>
          <w:rFonts w:ascii="Arial" w:hAnsi="Arial"/>
          <w:b w:val="0"/>
          <w:i/>
          <w:color w:val="111827"/>
          <w:sz w:val="22"/>
        </w:rPr>
        <w:t>Lagging (Ocorrência/Resultado):</w:t>
      </w:r>
      <w:r>
        <w:rPr>
          <w:rFonts w:ascii="Arial" w:hAnsi="Arial"/>
          <w:b w:val="0"/>
          <w:i w:val="0"/>
          <w:color w:val="111827"/>
          <w:sz w:val="22"/>
        </w:rPr>
        <w:t xml:space="preserve"> Medem o desfecho final já consolidado no encerramento do exercício (ex.: índice global de processos julgados tempestivamente).</w:t>
      </w:r>
    </w:p>
    <w:tbl>
      <w:tblPr>
        <w:tblW w:type="auto" w:w="0"/>
        <w:jc w:val="center"/>
        <w:tblLook w:firstColumn="1" w:firstRow="1" w:lastColumn="0" w:lastRow="0" w:noHBand="0" w:noVBand="1" w:val="04A0"/>
      </w:tblPr>
      <w:tblGrid>
        <w:gridCol w:w="9071"/>
      </w:tblGrid>
      <w:tr>
        <w:tc>
          <w:tcPr>
            <w:tcW w:type="dxa" w:w="9071"/>
            <w:shd w:fill="EFF6FF"/>
            <w:tcBorders>
              <w:left w:val="single" w:sz="32" w:space="0" w:color="2563EB"/>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(A DIFERENÇA ENTRE INDICADOR E META):</w:t>
            </w:r>
          </w:p>
          <w:p>
            <w:pPr>
              <w:spacing w:line="288" w:lineRule="auto" w:before="40" w:after="40"/>
            </w:pPr>
            <w:r>
              <w:rPr>
                <w:rFonts w:ascii="Arial" w:hAnsi="Arial"/>
                <w:b w:val="0"/>
                <w:i w:val="0"/>
                <w:color w:val="111827"/>
                <w:sz w:val="21"/>
              </w:rPr>
              <w:t>Não confunda nas alternativas da FCC:</w:t>
            </w:r>
          </w:p>
          <w:p>
            <w:pPr>
              <w:spacing w:line="288" w:lineRule="auto" w:before="40" w:after="40"/>
            </w:pPr>
            <w:r>
              <w:rPr>
                <w:rFonts w:ascii="Arial" w:hAnsi="Arial"/>
                <w:b w:val="0"/>
                <w:i w:val="0"/>
                <w:color w:val="111827"/>
                <w:sz w:val="21"/>
              </w:rPr>
              <w:t xml:space="preserve">- O </w:t>
            </w:r>
            <w:r>
              <w:rPr>
                <w:rFonts w:ascii="Arial" w:hAnsi="Arial"/>
                <w:b/>
                <w:i w:val="0"/>
                <w:color w:val="111827"/>
                <w:sz w:val="21"/>
              </w:rPr>
              <w:t>Indicador (KPI)</w:t>
            </w:r>
            <w:r>
              <w:rPr>
                <w:rFonts w:ascii="Arial" w:hAnsi="Arial"/>
                <w:b w:val="0"/>
                <w:i w:val="0"/>
                <w:color w:val="111827"/>
                <w:sz w:val="21"/>
              </w:rPr>
              <w:t xml:space="preserve"> é o instrumento ou fórmula matemática de mensuração (ex.: "Índice de Acórdãos Cumpridos").</w:t>
            </w:r>
          </w:p>
          <w:p>
            <w:pPr>
              <w:spacing w:line="288" w:lineRule="auto" w:before="40" w:after="40"/>
            </w:pPr>
            <w:r>
              <w:rPr>
                <w:rFonts w:ascii="Arial" w:hAnsi="Arial"/>
                <w:b w:val="0"/>
                <w:i w:val="0"/>
                <w:color w:val="111827"/>
                <w:sz w:val="21"/>
              </w:rPr>
              <w:t xml:space="preserve">- A </w:t>
            </w:r>
            <w:r>
              <w:rPr>
                <w:rFonts w:ascii="Arial" w:hAnsi="Arial"/>
                <w:b/>
                <w:i w:val="0"/>
                <w:color w:val="111827"/>
                <w:sz w:val="21"/>
              </w:rPr>
              <w:t>Meta</w:t>
            </w:r>
            <w:r>
              <w:rPr>
                <w:rFonts w:ascii="Arial" w:hAnsi="Arial"/>
                <w:b w:val="0"/>
                <w:i w:val="0"/>
                <w:color w:val="111827"/>
                <w:sz w:val="21"/>
              </w:rPr>
              <w:t xml:space="preserve"> é o valor numérico quantificado e delimitado no tempo (ex.: "Alcançar 90% até dezembro de 2026").</w:t>
            </w:r>
          </w:p>
        </w:tc>
      </w:tr>
    </w:tbl>
    <w:p>
      <w:pPr>
        <w:spacing w:before="0" w:after="120"/>
      </w:pPr>
    </w:p>
    <w:p>
      <w:pPr>
        <w:keepNext/>
        <w:spacing w:before="200" w:after="80"/>
      </w:pPr>
      <w:r>
        <w:rPr>
          <w:rFonts w:ascii="Arial" w:hAnsi="Arial"/>
          <w:b/>
          <w:i w:val="0"/>
          <w:color w:val="2B6CB0"/>
          <w:sz w:val="24"/>
        </w:rPr>
        <w:t>3. As Quatro Barreiras à Execução da Estratégia (Kaplan e Norton)</w:t>
      </w:r>
    </w:p>
    <w:p>
      <w:pPr>
        <w:spacing w:line="360" w:lineRule="auto" w:before="0" w:after="80"/>
        <w:jc w:val="both"/>
      </w:pPr>
      <w:r>
        <w:rPr>
          <w:rFonts w:ascii="Arial" w:hAnsi="Arial"/>
          <w:b w:val="0"/>
          <w:i w:val="0"/>
          <w:color w:val="111827"/>
          <w:sz w:val="24"/>
        </w:rPr>
        <w:t>Estudos clássicos conduzidos por Robert Kaplan e David Norton comprovaram que a maioria dos planos estratégicos fracassa na fase de execução prática em razão de quatro barreiras clássicas: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Barreira da Visão:</w:t>
      </w:r>
      <w:r>
        <w:rPr>
          <w:rFonts w:ascii="Arial" w:hAnsi="Arial"/>
          <w:b w:val="0"/>
          <w:i w:val="0"/>
          <w:color w:val="111827"/>
          <w:sz w:val="22"/>
        </w:rPr>
        <w:t xml:space="preserve"> A estratégia fica restrita à cúpula diretiva em linguagem hermética, não sendo comunicada de forma acessível e compreensível à base operacional.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Barreira das Pessoas:</w:t>
      </w:r>
      <w:r>
        <w:rPr>
          <w:rFonts w:ascii="Arial" w:hAnsi="Arial"/>
          <w:b w:val="0"/>
          <w:i w:val="0"/>
          <w:color w:val="111827"/>
          <w:sz w:val="22"/>
        </w:rPr>
        <w:t xml:space="preserve"> Os sistemas de avaliação funcional e incentivos premiam rotinas burocráticas cotidianas em vez do alcance das metas estratégicas pactuadas.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Barreira dos Recursos:</w:t>
      </w:r>
      <w:r>
        <w:rPr>
          <w:rFonts w:ascii="Arial" w:hAnsi="Arial"/>
          <w:b w:val="0"/>
          <w:i w:val="0"/>
          <w:color w:val="111827"/>
          <w:sz w:val="22"/>
        </w:rPr>
        <w:t xml:space="preserve"> O orçamento financeiro e a programação orçamentária anual (LOA/PPA) são elaborados sem qualquer diálogo com o plano estratégico, financiando despesas rotineiras e deixando as iniciativas estratégicas sem dotação.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Barreira da Gestão:</w:t>
      </w:r>
      <w:r>
        <w:rPr>
          <w:rFonts w:ascii="Arial" w:hAnsi="Arial"/>
          <w:b w:val="0"/>
          <w:i w:val="0"/>
          <w:color w:val="111827"/>
          <w:sz w:val="22"/>
        </w:rPr>
        <w:t xml:space="preserve"> A liderança superior é tragada pelo "apagamento de incêndios" operacionais do dia a dia e raramente dedica tempo formal para monitorar os indicadores do plano estratégico.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ATENÇÃO (BARREIRA DOS RECURSOS):</w:t>
            </w:r>
          </w:p>
          <w:p>
            <w:pPr>
              <w:spacing w:line="288" w:lineRule="auto" w:before="40" w:after="40"/>
            </w:pPr>
            <w:r>
              <w:rPr>
                <w:rFonts w:ascii="Arial" w:hAnsi="Arial"/>
                <w:b w:val="0"/>
                <w:i w:val="0"/>
                <w:color w:val="111827"/>
                <w:sz w:val="21"/>
              </w:rPr>
              <w:t xml:space="preserve">Se a questão da FCC narrar um órgão governamental no qual a diretoria formulou um plano estratégico moderno, mas o setor de planejamento orçamentário distribuiu os créditos da LOA sem observar os projetos do plano, a barreira enfrentada é a </w:t>
            </w:r>
            <w:r>
              <w:rPr>
                <w:rFonts w:ascii="Arial" w:hAnsi="Arial"/>
                <w:b/>
                <w:i w:val="0"/>
                <w:color w:val="111827"/>
                <w:sz w:val="21"/>
              </w:rPr>
              <w:t>BARREIRA DOS RECURSOS</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4. Escritório de Gestão Estratégica (EGE) e Reuniões de Avaliação (RAE)</w:t>
      </w:r>
    </w:p>
    <w:p>
      <w:pPr>
        <w:spacing w:line="360" w:lineRule="auto" w:before="0" w:after="80"/>
        <w:jc w:val="both"/>
      </w:pPr>
      <w:r>
        <w:rPr>
          <w:rFonts w:ascii="Arial" w:hAnsi="Arial"/>
          <w:b w:val="0"/>
          <w:i w:val="0"/>
          <w:color w:val="111827"/>
          <w:sz w:val="24"/>
        </w:rPr>
        <w:t>Para romper as barreiras de execução, a governança pública moderna institui estruturas e rotinas permanentes: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Escritório de Gestão Estratégica (EGE / PMO Estratégico):</w:t>
      </w:r>
      <w:r>
        <w:rPr>
          <w:rFonts w:ascii="Arial" w:hAnsi="Arial"/>
          <w:b w:val="0"/>
          <w:i w:val="0"/>
          <w:color w:val="111827"/>
          <w:sz w:val="22"/>
        </w:rPr>
        <w:t xml:space="preserve"> Unidade orgânica que atua como guardiã da metodologia do BSC e do planejamento estratégico. Coordena a coleta fidedigna de dados dos KPIs, padroniza relatórios gerenciais e fornece assessoria metodológica aos gerentes de iniciativas e projetos institucionais.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Reuniões de Avaliação da Estratégia (RAE):</w:t>
      </w:r>
      <w:r>
        <w:rPr>
          <w:rFonts w:ascii="Arial" w:hAnsi="Arial"/>
          <w:b w:val="0"/>
          <w:i w:val="0"/>
          <w:color w:val="111827"/>
          <w:sz w:val="22"/>
        </w:rPr>
        <w:t xml:space="preserve"> Rito periódico formal em que a alta administração e os líderes de projetos se reúnem com foco exclusivo na análise de desempenho dos indicadores nos painéis executivos (</w:t>
      </w:r>
      <w:r>
        <w:rPr>
          <w:rFonts w:ascii="Arial" w:hAnsi="Arial"/>
          <w:b w:val="0"/>
          <w:i/>
          <w:color w:val="111827"/>
          <w:sz w:val="22"/>
        </w:rPr>
        <w:t>dashboards</w:t>
      </w:r>
      <w:r>
        <w:rPr>
          <w:rFonts w:ascii="Arial" w:hAnsi="Arial"/>
          <w:b w:val="0"/>
          <w:i w:val="0"/>
          <w:color w:val="111827"/>
          <w:sz w:val="22"/>
        </w:rPr>
        <w:t>). A finalidade central é identificar precocemente metas ameaçadas (semáforos amarelos e vermelhos) para deliberar e pactuar planos de ação corretivos tempestivos.</w:t>
      </w:r>
    </w:p>
    <w:p>
      <w:pPr>
        <w:keepNext/>
        <w:spacing w:before="200" w:after="80"/>
      </w:pPr>
      <w:r>
        <w:rPr>
          <w:rFonts w:ascii="Arial" w:hAnsi="Arial"/>
          <w:b/>
          <w:i w:val="0"/>
          <w:color w:val="2B6CB0"/>
          <w:sz w:val="24"/>
        </w:rPr>
        <w:t>5.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PORTER, Michael E. Vantagem Competitiva: criando e sustentando um desempenho superior. Editora Campus.</w:t>
      </w:r>
      <w:r>
        <w:rPr>
          <w:rFonts w:ascii="Arial" w:hAnsi="Arial"/>
          <w:b w:val="0"/>
          <w:i w:val="0"/>
          <w:color w:val="111827"/>
          <w:sz w:val="22"/>
        </w:rPr>
        <w:t xml:space="preserve"> - A cadeia de valor original.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KAPLAN, Robert S.; NORTON, David P. Organização Orientada para a Estratégia: como as empresas que adotam o BSC prosperam. Campus.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MOORE, Mark H. Criando Valor Público: gestão estratégica no governo. Harvard University Press / ENAP.</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Tribunal de Contas da União (TCU) - Manual de Gestão Estratégica e Alinhamento Institucional</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Plano Estratégico Institucional do TCE-GO 2021-2030</w:t>
      </w:r>
      <w:r>
        <w:rPr>
          <w:rFonts w:ascii="Arial" w:hAnsi="Arial"/>
          <w:b w:val="0"/>
          <w:i w:val="0"/>
          <w:color w:val="111827"/>
          <w:sz w:val="22"/>
        </w:rPr>
        <w:t>.</w:t>
      </w:r>
    </w:p>
    <w:p>
      <w:pPr>
        <w:keepNext/>
        <w:spacing w:before="200" w:after="80"/>
      </w:pPr>
      <w:r>
        <w:rPr>
          <w:rFonts w:ascii="Arial" w:hAnsi="Arial"/>
          <w:b/>
          <w:i w:val="0"/>
          <w:color w:val="2B6CB0"/>
          <w:sz w:val="24"/>
        </w:rPr>
        <w:t>6.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Segundo a teoria da Cadeia de Valor concebida por Michael Porter, as atividades organizacionais dividem-se em atividades primárias e atividades de apoio (suporte). Dentre as alternativas a seguir, assinale a que apresenta unicamente Atividades de Apoio: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Logística de entrada, operações e logística de saída.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Marketing e vendas, serviços pós-venda e infraestrutura da organização.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Gestão de recursos humanos, desenvolvimento tecnológico e aquisições (compras).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Operações fabris, compras de matéria-prima e distribuição comercial.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Logística interna, assistência técnica a clientes e recursos humanos.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Logística de entrada, operações e logística de saída são atividades primárias.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Marketing e serviços pós-venda são atividades primárias; apenas infraestrutura é de apoio.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No modelo de Porter, as </w:t>
            </w:r>
            <w:r>
              <w:rPr>
                <w:rFonts w:ascii="Arial" w:hAnsi="Arial"/>
                <w:b/>
                <w:i w:val="0"/>
                <w:color w:val="111827"/>
                <w:sz w:val="21"/>
              </w:rPr>
              <w:t>Atividades de Apoio (Suporte)</w:t>
            </w:r>
            <w:r>
              <w:rPr>
                <w:rFonts w:ascii="Arial" w:hAnsi="Arial"/>
                <w:b w:val="0"/>
                <w:i w:val="0"/>
                <w:color w:val="111827"/>
                <w:sz w:val="21"/>
              </w:rPr>
              <w:t xml:space="preserve"> são compostas por quatro funções transversais que sustentam toda a organização: 1) Infraestrutura Organizacional; 2) </w:t>
            </w:r>
            <w:r>
              <w:rPr>
                <w:rFonts w:ascii="Arial" w:hAnsi="Arial"/>
                <w:b/>
                <w:i w:val="0"/>
                <w:color w:val="111827"/>
                <w:sz w:val="21"/>
              </w:rPr>
              <w:t>Gestão de Recursos Humanos</w:t>
            </w:r>
            <w:r>
              <w:rPr>
                <w:rFonts w:ascii="Arial" w:hAnsi="Arial"/>
                <w:b w:val="0"/>
                <w:i w:val="0"/>
                <w:color w:val="111827"/>
                <w:sz w:val="21"/>
              </w:rPr>
              <w:t xml:space="preserve">; 3) </w:t>
            </w:r>
            <w:r>
              <w:rPr>
                <w:rFonts w:ascii="Arial" w:hAnsi="Arial"/>
                <w:b/>
                <w:i w:val="0"/>
                <w:color w:val="111827"/>
                <w:sz w:val="21"/>
              </w:rPr>
              <w:t>Desenvolvimento de Tecnologia</w:t>
            </w:r>
            <w:r>
              <w:rPr>
                <w:rFonts w:ascii="Arial" w:hAnsi="Arial"/>
                <w:b w:val="0"/>
                <w:i w:val="0"/>
                <w:color w:val="111827"/>
                <w:sz w:val="21"/>
              </w:rPr>
              <w:t xml:space="preserve">; e 4) </w:t>
            </w:r>
            <w:r>
              <w:rPr>
                <w:rFonts w:ascii="Arial" w:hAnsi="Arial"/>
                <w:b/>
                <w:i w:val="0"/>
                <w:color w:val="111827"/>
                <w:sz w:val="21"/>
              </w:rPr>
              <w:t>Aquisições (função de compras e suprimentos)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Operações fabris e distribuição (logística de saída) são atividades primárias.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Logística interna e assistência técnica pós-venda são atividades primárias.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TCE-RS – Auditor de Controle Externo)</w:t>
      </w:r>
    </w:p>
    <w:p>
      <w:pPr>
        <w:spacing w:line="360" w:lineRule="auto" w:before="0" w:after="80"/>
        <w:jc w:val="both"/>
      </w:pPr>
      <w:r>
        <w:rPr>
          <w:rFonts w:ascii="Arial" w:hAnsi="Arial"/>
          <w:b w:val="0"/>
          <w:i w:val="0"/>
          <w:color w:val="111827"/>
          <w:sz w:val="24"/>
        </w:rPr>
        <w:t>No contexto do alinhamento organizacional e desdobramento da estratégia pelo Balanced Scorecard (BSC), Robert Kaplan e David Norton identificaram as principais barreiras que impedem a execução eficaz dos planos estratégicos nas instituições. A constatação empírica de que a imensa maioria dos orçamentos financeiros e dos planos anuais de compras não guarda conexão direta com as prioridades e iniciativas definidas no plano estratégico de longo prazo tipifica 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Barreira da visão.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Barreira das pessoas.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Barreira dos recursos.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Barreira da gestão.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Barreira cultural mecanicista.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barreira da visão traduz a incompreensão da estratégia pelos servidores da base (apenas 5% a compreendem).</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barreira das pessoas ocorre quando os incentivos e metas individuais dos colaboradores não têm vínculo com os objetivos do plano estratégico.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A </w:t>
            </w:r>
            <w:r>
              <w:rPr>
                <w:rFonts w:ascii="Arial" w:hAnsi="Arial"/>
                <w:b/>
                <w:i w:val="0"/>
                <w:color w:val="111827"/>
                <w:sz w:val="21"/>
              </w:rPr>
              <w:t>barreira dos recursos</w:t>
            </w:r>
            <w:r>
              <w:rPr>
                <w:rFonts w:ascii="Arial" w:hAnsi="Arial"/>
                <w:b w:val="0"/>
                <w:i w:val="0"/>
                <w:color w:val="111827"/>
                <w:sz w:val="21"/>
              </w:rPr>
              <w:t xml:space="preserve"> decorre da desconexão entre o processo orçamentário e o plano estratégico (mais de 60% das organizações elaboram seus orçamentos sem consultar as prioridades estratégicas, inviabilizando o financiamento das novas iniciativas).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barreira da gestão refere-se à falta de tempo da alta liderança para avaliar periodicamente a execução da estratégia (menos de uma hora por mês em reuniões de avaliação estratégica).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Categoria inexistente na classificação de Kaplan e Norton.</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TRT-2ª Região – Analista Judiciário: Área Administrativa)</w:t>
      </w:r>
    </w:p>
    <w:p>
      <w:pPr>
        <w:spacing w:line="360" w:lineRule="auto" w:before="0" w:after="80"/>
        <w:jc w:val="both"/>
      </w:pPr>
      <w:r>
        <w:rPr>
          <w:rFonts w:ascii="Arial" w:hAnsi="Arial"/>
          <w:b w:val="0"/>
          <w:i w:val="0"/>
          <w:color w:val="111827"/>
          <w:sz w:val="24"/>
        </w:rPr>
        <w:t>No processo de desdobramento da estratégia corporativa pelo Balanced Scorecard (BSC), a metodologia exige a articulação harmônica de quatro componentes operacionais para garantir a efetividade da execução. A associação correta entre o componente do BSC e sua respectiva definição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Objetivo Estratégico: o plano orçamentário específico que detalha a dotação de diárias dos servidores.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Indicador-Chave (KPI): a métrica quantificável utilizada para mensurar periodicamente o nível de alcance de determinado objetivo estratégico.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Meta: o projeto inovador financiado pela alta direção para criar novas unidades físicas.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Iniciativa Estratégica: o valor numérico fixo que expressa o grau de incerteza do ambiente externo.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Mapa Estratégico: o documento contábil que consolida a execução orçamentária do exercício anterior.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Objetivo Estratégico define </w:t>
            </w:r>
            <w:r>
              <w:rPr>
                <w:rFonts w:ascii="Arial" w:hAnsi="Arial"/>
                <w:b w:val="0"/>
                <w:i/>
                <w:color w:val="111827"/>
                <w:sz w:val="21"/>
              </w:rPr>
              <w:t>o que</w:t>
            </w:r>
            <w:r>
              <w:rPr>
                <w:rFonts w:ascii="Arial" w:hAnsi="Arial"/>
                <w:b w:val="0"/>
                <w:i w:val="0"/>
                <w:color w:val="111827"/>
                <w:sz w:val="21"/>
              </w:rPr>
              <w:t xml:space="preserve"> a organização almeja alcançar em cada perspectiva do BSC, não se confundindo com plano orçamentário de diárias.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**Indicador-Chave de Desempenho (KPI - </w:t>
            </w:r>
            <w:r>
              <w:rPr>
                <w:rFonts w:ascii="Arial" w:hAnsi="Arial"/>
                <w:b w:val="0"/>
                <w:i/>
                <w:color w:val="111827"/>
                <w:sz w:val="21"/>
              </w:rPr>
              <w:t>Key Performance Indicator</w:t>
            </w:r>
            <w:r>
              <w:rPr>
                <w:rFonts w:ascii="Arial" w:hAnsi="Arial"/>
                <w:b w:val="0"/>
                <w:i w:val="0"/>
                <w:color w:val="111827"/>
                <w:sz w:val="21"/>
              </w:rPr>
              <w:t>)** é o instrumento analítico quantificável que serve de régua para monitorar continuamente o desempenho e verificar se o objetivo estratégico está sendo atingido.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Meta é o valor numérico temporalmente delimitado que se pretende alcançar (ex.: atingir 95% até 2026).</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Iniciativa Estratégica é o projeto de ação concreta ou programa que viabiliza a consecução da meta.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Mapa Estratégico é a representação visual das relações lógicas de causa e efeito entre os objetivos das perspectivas do BSC.</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SEFAZ-PE – Auditor Fiscal do Tesouro Estadual)</w:t>
      </w:r>
    </w:p>
    <w:p>
      <w:pPr>
        <w:spacing w:line="360" w:lineRule="auto" w:before="0" w:after="80"/>
        <w:jc w:val="both"/>
      </w:pPr>
      <w:r>
        <w:rPr>
          <w:rFonts w:ascii="Arial" w:hAnsi="Arial"/>
          <w:b w:val="0"/>
          <w:i w:val="0"/>
          <w:color w:val="111827"/>
          <w:sz w:val="24"/>
        </w:rPr>
        <w:t>No âmbito da administração pública gerencial, a aplicação da teoria da Cadeia de Valor exige a transposição dos conceitos originalmente desenhados para empresas mercantis privadas. Em um Tribunal de Contas estadual, a atividade primária correspondente ao processamento interno das fiscalizações, análise documental de contratos e elaboração de relatórios técnicos de auditoria é categorizada como: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Infraestrutura Organizacional.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Logística de Entrada de Insumos.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Operações (Transformação).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Aquisições e Suprimentos.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Logística Externa de Distribuição.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Infraestrutura organizacional é atividade de apoio transversal (administração predial, assessoria jurídica geral).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Logística de entrada seria o recebimento e protocolo das contas dos jurisdicionados.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As </w:t>
            </w:r>
            <w:r>
              <w:rPr>
                <w:rFonts w:ascii="Arial" w:hAnsi="Arial"/>
                <w:b/>
                <w:i w:val="0"/>
                <w:color w:val="111827"/>
                <w:sz w:val="21"/>
              </w:rPr>
              <w:t>Operações</w:t>
            </w:r>
            <w:r>
              <w:rPr>
                <w:rFonts w:ascii="Arial" w:hAnsi="Arial"/>
                <w:b w:val="0"/>
                <w:i w:val="0"/>
                <w:color w:val="111827"/>
                <w:sz w:val="21"/>
              </w:rPr>
              <w:t xml:space="preserve"> correspondem ao processo nuclear de transformação dos insumos (dados brutos, notas fiscais e processos licitatórios) no produto técnico final do Tribunal (relatórios circunstanciados de auditoria e propostas de voto). Constitui a atividade operacional finalística precípua do órgão de controle.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Aquisições é atividade de apoio voltada a comprar materiais para o Tribunal.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Logística externa seria a publicação oficial dos acórdãos e notificação dos jurisdicionados.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DPE-RS – Analista: Área Administrativa)</w:t>
      </w:r>
    </w:p>
    <w:p>
      <w:pPr>
        <w:spacing w:line="360" w:lineRule="auto" w:before="0" w:after="80"/>
        <w:jc w:val="both"/>
      </w:pPr>
      <w:r>
        <w:rPr>
          <w:rFonts w:ascii="Arial" w:hAnsi="Arial"/>
          <w:b w:val="0"/>
          <w:i w:val="0"/>
          <w:color w:val="111827"/>
          <w:sz w:val="24"/>
        </w:rPr>
        <w:t>Com o propósito de assegurar a governança e a implementação efetiva de seu plano estratégico, determinado órgão público instituiu uma unidade permanente denominada Escritório de Gestão Estratégica (EGE) e fixou Reuniões de Avaliação da Estratégia (RAE) com periodicidade bimestral. A finalidade precípua das RAEs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Realizar sindicâncias administrativas para apuração de infrações disciplinares dos analistas operacionais.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Avaliar o desempenho dos indicadores estratégicos no painel de controle executivo e deliberar tempestivamente sobre ações corretivas para objetivos que estejam distantes das metas pactuadas.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Redigir pareceres jurídicos conclusivos sobre recursos administrativos de servidores subalternos.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Proceder ao inventário físico anual de bens móveis e equipamentos de informática do almoxarifado.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Julgar as contas anuais de governo encaminhadas pelos prefeitos municipais ao parlamento.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Sindicâncias disciplinares competem à Corregedoria do órgão.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As </w:t>
            </w:r>
            <w:r>
              <w:rPr>
                <w:rFonts w:ascii="Arial" w:hAnsi="Arial"/>
                <w:b/>
                <w:i w:val="0"/>
                <w:color w:val="111827"/>
                <w:sz w:val="21"/>
              </w:rPr>
              <w:t>Reuniões de Avaliação da Estratégia (RAE)</w:t>
            </w:r>
            <w:r>
              <w:rPr>
                <w:rFonts w:ascii="Arial" w:hAnsi="Arial"/>
                <w:b w:val="0"/>
                <w:i w:val="0"/>
                <w:color w:val="111827"/>
                <w:sz w:val="21"/>
              </w:rPr>
              <w:t xml:space="preserve"> constituem o rito máximo de governança executiva do plano estratégico: reúnem periodicamente a alta direção e os coordenadores de projetos para analisar os </w:t>
            </w:r>
            <w:r>
              <w:rPr>
                <w:rFonts w:ascii="Arial" w:hAnsi="Arial"/>
                <w:b w:val="0"/>
                <w:i/>
                <w:color w:val="111827"/>
                <w:sz w:val="21"/>
              </w:rPr>
              <w:t>dashboards</w:t>
            </w:r>
            <w:r>
              <w:rPr>
                <w:rFonts w:ascii="Arial" w:hAnsi="Arial"/>
                <w:b w:val="0"/>
                <w:i w:val="0"/>
                <w:color w:val="111827"/>
                <w:sz w:val="21"/>
              </w:rPr>
              <w:t xml:space="preserve"> de indicadores (KPIs), identificar semáforos amarelos ou vermelhos e deliberar ajustes de rota e planos de contingência tempestivos.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Emissão de pareceres em recursos de pessoal compete à consultoria jurídica ou área de RH.</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Inventário físico de bens é rotina da gerência de patrimônio e almoxarifado.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julgamento de contas municipais é competência legislativa/fiscalizatória externa do plenário.</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01 - Comportamento Individual: Personalidade, Valores, Atitudes e Teorias da Motivação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Comportamento Organizacional</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01_individuo_personalidade_valores_atitudes_e_motivacao.md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Fundamentos do Comportamento Organizacional (CO): conceito, objetivos científicos (descrever, explicar, prever e controlar o comportamento) e os três níveis de análise de Stephen Robbins (nível individual, grupal e do sistema organizacional);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O Comportamento Individual nas organizações: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Personalidade: determinantes (hereditariedade vs. ambiente), o modelo dos Cinco Grandes Fatores (</w:t>
      </w:r>
      <w:r>
        <w:rPr>
          <w:rFonts w:ascii="Arial" w:hAnsi="Arial"/>
          <w:b w:val="0"/>
          <w:i/>
          <w:color w:val="111827"/>
          <w:sz w:val="22"/>
        </w:rPr>
        <w:t>Big Five</w:t>
      </w:r>
      <w:r>
        <w:rPr>
          <w:rFonts w:ascii="Arial" w:hAnsi="Arial"/>
          <w:b w:val="0"/>
          <w:i w:val="0"/>
          <w:color w:val="111827"/>
          <w:sz w:val="22"/>
        </w:rPr>
        <w:t>: Extroversão, Agradabilidade, Conscienciosidade, Estabilidade Emocional e Abertura a Experiências);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Traços de personalidade específicos: </w:t>
      </w:r>
      <w:r>
        <w:rPr>
          <w:rFonts w:ascii="Arial" w:hAnsi="Arial"/>
          <w:b w:val="0"/>
          <w:i/>
          <w:color w:val="111827"/>
          <w:sz w:val="22"/>
        </w:rPr>
        <w:t>Locus</w:t>
      </w:r>
      <w:r>
        <w:rPr>
          <w:rFonts w:ascii="Arial" w:hAnsi="Arial"/>
          <w:b w:val="0"/>
          <w:i w:val="0"/>
          <w:color w:val="111827"/>
          <w:sz w:val="22"/>
        </w:rPr>
        <w:t xml:space="preserve"> de controle interno versus externo, autoeficácia (Bandura), maquiavelismo, autoestima e automonitoramento;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Emoções e sentimentos no ambiente de trabalho; o conceito de Inteligência Emocional (Daniel Goleman);</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Valores, Atitudes e Satisfação no Trabalho: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Atitudes: componentes cognitivo (crença/saber), afetivo (sentimento) e comportamental (intenção de 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Dissonância Cognitiva (Leon Festinger): desconforto mental e estratégias de harmonização interna;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Satisfação no trabalho e as três dimensões do Comprometimento Organizacional (Meyer e Allen: Afetivo, Instrumental/Continuação e Normativo);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Teorias da Motivação no Trabalho:</w:t>
      </w:r>
    </w:p>
    <w:p>
      <w:pPr>
        <w:spacing w:line="276" w:lineRule="auto" w:before="20" w:after="40"/>
        <w:ind w:left="992"/>
      </w:pPr>
      <w:r>
        <w:rPr>
          <w:rFonts w:ascii="Arial" w:hAnsi="Arial"/>
          <w:b/>
          <w:color w:val="2B6CB0"/>
          <w:sz w:val="22"/>
        </w:rPr>
        <w:t xml:space="preserve">• </w:t>
      </w:r>
      <w:r>
        <w:rPr>
          <w:rFonts w:ascii="Arial" w:hAnsi="Arial"/>
          <w:b/>
          <w:i w:val="0"/>
          <w:color w:val="111827"/>
          <w:sz w:val="22"/>
        </w:rPr>
        <w:t>Teorias de Conteúdo (O que motiva as pessoas?):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Hierarquia das Necessidades Humanas de Abraham Maslow;</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Teoria dos Dois Fatores de Frederick Herzberg (Fatores Higiênicos vs. Fatores Motivacionais);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Teoria ERC de Clayton Alderfer (Existência, Relacionamento e Crescimento) e o princípio de frustração-regressão;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Teoria das Necessidades Adquiridas de David McClelland (Realização, Poder e Afiliação);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Teorias de Processo (Como ocorre a dinâmica motivacional?):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Teoria da Expectativa / Expectância de Victor Vroom (Força Motivacional = Expectativa </w:t>
      </w:r>
      <w:r>
        <w:rPr>
          <w:rFonts w:ascii="Cambria Math" w:hAnsi="Cambria Math"/>
          <w:i/>
          <w:color w:val="1B365D"/>
          <w:sz w:val="22"/>
        </w:rPr>
        <w:t>\times</w:t>
      </w:r>
      <w:r>
        <w:rPr>
          <w:rFonts w:ascii="Arial" w:hAnsi="Arial"/>
          <w:b w:val="0"/>
          <w:i w:val="0"/>
          <w:color w:val="111827"/>
          <w:sz w:val="22"/>
        </w:rPr>
        <w:t xml:space="preserve"> Instrumentalidade </w:t>
      </w:r>
      <w:r>
        <w:rPr>
          <w:rFonts w:ascii="Cambria Math" w:hAnsi="Cambria Math"/>
          <w:i/>
          <w:color w:val="1B365D"/>
          <w:sz w:val="22"/>
        </w:rPr>
        <w:t>\times</w:t>
      </w:r>
      <w:r>
        <w:rPr>
          <w:rFonts w:ascii="Arial" w:hAnsi="Arial"/>
          <w:b w:val="0"/>
          <w:i w:val="0"/>
          <w:color w:val="111827"/>
          <w:sz w:val="22"/>
        </w:rPr>
        <w:t xml:space="preserve"> Valência);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Teoria da Equidade de J. Stacy Adams (comparação da relação insumos/recompensas com os pares);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Teoria do Estabelecimento de Metas de Edwin Locke (metas específicas e desafiadoras com </w:t>
      </w:r>
      <w:r>
        <w:rPr>
          <w:rFonts w:ascii="Arial" w:hAnsi="Arial"/>
          <w:b w:val="0"/>
          <w:i/>
          <w:color w:val="111827"/>
          <w:sz w:val="22"/>
        </w:rPr>
        <w:t>feedback</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Teoria do Reforço de B.F. Skinner (reforço positivo, negativo, punição e extinção).</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Fundamentos do Comportamento Organizacional (CO)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Personalidade: O Modelo dos Cinco Grandes Fatores (Big Five) e Traços Específicos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Atitudes, Dissonância Cognitiva e Comprometimento Organizacional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Teorias Motivacionais de Conteúdo (Maslow, Herzberg, Alderfer e McClelland)</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Teorias Motivacionais de Processo (Vroom, Adams, Locke e Skinner)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de Concurso FCC Comentadas</w:t>
      </w:r>
    </w:p>
    <w:p>
      <w:pPr>
        <w:keepNext/>
        <w:spacing w:before="280" w:after="120"/>
      </w:pPr>
      <w:r>
        <w:rPr>
          <w:rFonts w:ascii="Arial" w:hAnsi="Arial"/>
          <w:b/>
          <w:i w:val="0"/>
          <w:color w:val="2C5282"/>
          <w:sz w:val="28"/>
        </w:rPr>
        <w:t>📖 Resumo Teórico Aprofundado &amp; Esquematizado</w:t>
      </w:r>
    </w:p>
    <w:p>
      <w:pPr>
        <w:keepNext/>
        <w:spacing w:before="200" w:after="80"/>
      </w:pPr>
      <w:r>
        <w:rPr>
          <w:rFonts w:ascii="Arial" w:hAnsi="Arial"/>
          <w:b/>
          <w:i w:val="0"/>
          <w:color w:val="2B6CB0"/>
          <w:sz w:val="24"/>
        </w:rPr>
        <w:t>1. Fundamentos do Comportamento Organizacional (CO)</w:t>
      </w:r>
    </w:p>
    <w:p>
      <w:pPr>
        <w:spacing w:line="360" w:lineRule="auto" w:before="0" w:after="80"/>
        <w:jc w:val="both"/>
      </w:pPr>
      <w:r>
        <w:rPr>
          <w:rFonts w:ascii="Arial" w:hAnsi="Arial"/>
          <w:b w:val="0"/>
          <w:i w:val="0"/>
          <w:color w:val="111827"/>
          <w:sz w:val="24"/>
        </w:rPr>
        <w:t>O Comportamento Organizacional (CO) é um campo interdisciplinar que investiga o impacto que indivíduos, grupos e a estrutura exercem sobre o comportamento dentro das instituições, com a finalidade prática de aprimorar a eficácia, a produtividade e a qualidade de vida no trabalho.</w:t>
      </w:r>
    </w:p>
    <w:p>
      <w:pPr>
        <w:spacing w:line="360" w:lineRule="auto" w:before="0" w:after="80"/>
        <w:jc w:val="both"/>
      </w:pPr>
      <w:r>
        <w:rPr>
          <w:rFonts w:ascii="Arial" w:hAnsi="Arial"/>
          <w:b w:val="0"/>
          <w:i w:val="0"/>
          <w:color w:val="111827"/>
          <w:sz w:val="24"/>
        </w:rPr>
        <w:t xml:space="preserve">Stephen Robbins estrutura o estudo do CO em </w:t>
      </w:r>
      <w:r>
        <w:rPr>
          <w:rFonts w:ascii="Arial" w:hAnsi="Arial"/>
          <w:b/>
          <w:i w:val="0"/>
          <w:color w:val="111827"/>
          <w:sz w:val="24"/>
        </w:rPr>
        <w:t>três níveis de análise concêntricos e interdependentes</w:t>
      </w:r>
      <w:r>
        <w:rPr>
          <w:rFonts w:ascii="Arial" w:hAnsi="Arial"/>
          <w:b w:val="0"/>
          <w:i w:val="0"/>
          <w:color w:val="111827"/>
          <w:sz w:val="24"/>
        </w:rPr>
        <w:t>:</w:t>
      </w:r>
    </w:p>
    <w:p>
      <w:pPr>
        <w:spacing w:after="120"/>
      </w:pPr>
    </w:p>
    <w:p>
      <w:pPr>
        <w:keepNext/>
        <w:spacing w:before="200" w:after="80"/>
      </w:pPr>
      <w:r>
        <w:rPr>
          <w:rFonts w:ascii="Arial" w:hAnsi="Arial"/>
          <w:b/>
          <w:i w:val="0"/>
          <w:color w:val="2B6CB0"/>
          <w:sz w:val="24"/>
        </w:rPr>
        <w:t>2. Personalidade: O Modelo dos Cinco Grandes Fatores (Big Five) e Traços Específicos</w:t>
      </w:r>
    </w:p>
    <w:p>
      <w:pPr>
        <w:spacing w:line="360" w:lineRule="auto" w:before="0" w:after="80"/>
        <w:jc w:val="both"/>
      </w:pPr>
      <w:r>
        <w:rPr>
          <w:rFonts w:ascii="Arial" w:hAnsi="Arial"/>
          <w:b w:val="0"/>
          <w:i w:val="0"/>
          <w:color w:val="111827"/>
          <w:sz w:val="24"/>
        </w:rPr>
        <w:t xml:space="preserve">A personalidade é a constelação dinâmica de traços psicológicos que determinam a forma única como cada indivíduo se adapta e reage aos ambientes em que vive. É condicionada tanto pela </w:t>
      </w:r>
      <w:r>
        <w:rPr>
          <w:rFonts w:ascii="Arial" w:hAnsi="Arial"/>
          <w:b/>
          <w:i w:val="0"/>
          <w:color w:val="111827"/>
          <w:sz w:val="24"/>
        </w:rPr>
        <w:t>hereditariedade</w:t>
      </w:r>
      <w:r>
        <w:rPr>
          <w:rFonts w:ascii="Arial" w:hAnsi="Arial"/>
          <w:b w:val="0"/>
          <w:i w:val="0"/>
          <w:color w:val="111827"/>
          <w:sz w:val="24"/>
        </w:rPr>
        <w:t xml:space="preserve"> (carga genética) quanto pelo </w:t>
      </w:r>
      <w:r>
        <w:rPr>
          <w:rFonts w:ascii="Arial" w:hAnsi="Arial"/>
          <w:b/>
          <w:i w:val="0"/>
          <w:color w:val="111827"/>
          <w:sz w:val="24"/>
        </w:rPr>
        <w:t>ambiente</w:t>
      </w:r>
      <w:r>
        <w:rPr>
          <w:rFonts w:ascii="Arial" w:hAnsi="Arial"/>
          <w:b w:val="0"/>
          <w:i w:val="0"/>
          <w:color w:val="111827"/>
          <w:sz w:val="24"/>
        </w:rPr>
        <w:t xml:space="preserve"> (cultura, educação, experiências de vida).</w:t>
      </w:r>
    </w:p>
    <w:p>
      <w:pPr>
        <w:spacing w:after="120"/>
      </w:pPr>
    </w:p>
    <w:p>
      <w:pPr>
        <w:keepNext/>
        <w:spacing w:before="120" w:after="40"/>
      </w:pPr>
      <w:r>
        <w:rPr>
          <w:rFonts w:ascii="Arial" w:hAnsi="Arial"/>
          <w:b/>
          <w:i/>
          <w:color w:val="334155"/>
          <w:sz w:val="22"/>
        </w:rPr>
        <w:t>Traços Psicológicos Específicos de Alto Impacto Organizacional: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Locus de Controle Interno:</w:t>
      </w:r>
      <w:r>
        <w:rPr>
          <w:rFonts w:ascii="Arial" w:hAnsi="Arial"/>
          <w:b w:val="0"/>
          <w:i w:val="0"/>
          <w:color w:val="111827"/>
          <w:sz w:val="22"/>
        </w:rPr>
        <w:t xml:space="preserve"> O indivíduo acredita firmemente que é o condutor de seu próprio destino; atribui seus êxitos ou insucessos à sua dedicação pessoal, inteligência e esforço.</w:t>
      </w:r>
    </w:p>
    <w:p>
      <w:pPr>
        <w:spacing w:line="276" w:lineRule="auto" w:before="20" w:after="40"/>
        <w:ind w:left="425"/>
      </w:pPr>
      <w:r>
        <w:rPr>
          <w:rFonts w:ascii="Arial" w:hAnsi="Arial"/>
          <w:b/>
          <w:color w:val="2B6CB0"/>
          <w:sz w:val="22"/>
        </w:rPr>
        <w:t xml:space="preserve">• </w:t>
      </w:r>
      <w:r>
        <w:rPr>
          <w:rFonts w:ascii="Arial" w:hAnsi="Arial"/>
          <w:b/>
          <w:i w:val="0"/>
          <w:color w:val="111827"/>
          <w:sz w:val="22"/>
        </w:rPr>
        <w:t>Locus de Controle Externo:</w:t>
      </w:r>
      <w:r>
        <w:rPr>
          <w:rFonts w:ascii="Arial" w:hAnsi="Arial"/>
          <w:b w:val="0"/>
          <w:i w:val="0"/>
          <w:color w:val="111827"/>
          <w:sz w:val="22"/>
        </w:rPr>
        <w:t xml:space="preserve"> O indivíduo acredita que seus resultados são determinados pelo acaso, pela sorte, pelo destino ou por terceiros poderosos sobre os quais não tem controle.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Autoeficácia (Albert Bandura):</w:t>
      </w:r>
      <w:r>
        <w:rPr>
          <w:rFonts w:ascii="Arial" w:hAnsi="Arial"/>
          <w:b w:val="0"/>
          <w:i w:val="0"/>
          <w:color w:val="111827"/>
          <w:sz w:val="22"/>
        </w:rPr>
        <w:t xml:space="preserve"> A convicção pessoal que um colaborador tem em sua própria capacidade de desempenhar com sucesso uma tarefa específica. Servidores com alta autoeficácia reagem a dificuldades com maior perseverança.</w:t>
      </w:r>
    </w:p>
    <w:p>
      <w:pPr>
        <w:spacing w:line="276" w:lineRule="auto" w:before="20" w:after="40"/>
        <w:ind w:left="425"/>
      </w:pPr>
      <w:r>
        <w:rPr>
          <w:rFonts w:ascii="Arial" w:hAnsi="Arial"/>
          <w:b/>
          <w:color w:val="2B6CB0"/>
          <w:sz w:val="22"/>
        </w:rPr>
        <w:t xml:space="preserve">• </w:t>
      </w:r>
      <w:r>
        <w:rPr>
          <w:rFonts w:ascii="Arial" w:hAnsi="Arial"/>
          <w:b/>
          <w:i w:val="0"/>
          <w:color w:val="111827"/>
          <w:sz w:val="22"/>
        </w:rPr>
        <w:t>Maquiavelismo:</w:t>
      </w:r>
      <w:r>
        <w:rPr>
          <w:rFonts w:ascii="Arial" w:hAnsi="Arial"/>
          <w:b w:val="0"/>
          <w:i w:val="0"/>
          <w:color w:val="111827"/>
          <w:sz w:val="22"/>
        </w:rPr>
        <w:t xml:space="preserve"> Traço caracterizado pelo pragmatismo frio, cálculo emocional e crença de que os fins justificam os meios em disputas corporativas.</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(O MELHOR PREDITOR NO BIG FIVE):</w:t>
            </w:r>
          </w:p>
          <w:p>
            <w:pPr>
              <w:spacing w:line="288" w:lineRule="auto" w:before="40" w:after="40"/>
            </w:pPr>
            <w:r>
              <w:rPr>
                <w:rFonts w:ascii="Arial" w:hAnsi="Arial"/>
                <w:b w:val="0"/>
                <w:i w:val="0"/>
                <w:color w:val="111827"/>
                <w:sz w:val="21"/>
              </w:rPr>
              <w:t>Grave o fator que mais cai nas provas da FCC: no modelo dos Cinco Grandes Fatores (</w:t>
            </w:r>
            <w:r>
              <w:rPr>
                <w:rFonts w:ascii="Arial" w:hAnsi="Arial"/>
                <w:b w:val="0"/>
                <w:i/>
                <w:color w:val="111827"/>
                <w:sz w:val="21"/>
              </w:rPr>
              <w:t>Big Five</w:t>
            </w:r>
            <w:r>
              <w:rPr>
                <w:rFonts w:ascii="Arial" w:hAnsi="Arial"/>
                <w:b w:val="0"/>
                <w:i w:val="0"/>
                <w:color w:val="111827"/>
                <w:sz w:val="21"/>
              </w:rPr>
              <w:t xml:space="preserve">), o traço com maior poder preditivo de alto desempenho profissional consistente em praticamente qualquer profissão é a </w:t>
            </w:r>
            <w:r>
              <w:rPr>
                <w:rFonts w:ascii="Arial" w:hAnsi="Arial"/>
                <w:b/>
                <w:i w:val="0"/>
                <w:color w:val="111827"/>
                <w:sz w:val="21"/>
              </w:rPr>
              <w:t>CONSCIENCIOSIDADE</w:t>
            </w:r>
            <w:r>
              <w:rPr>
                <w:rFonts w:ascii="Arial" w:hAnsi="Arial"/>
                <w:b w:val="0"/>
                <w:i w:val="0"/>
                <w:color w:val="111827"/>
                <w:sz w:val="21"/>
              </w:rPr>
              <w:t xml:space="preserve"> (disciplina, foco em resultados, persistência e responsabilidade).</w:t>
            </w:r>
          </w:p>
        </w:tc>
      </w:tr>
    </w:tbl>
    <w:p>
      <w:pPr>
        <w:spacing w:before="0" w:after="120"/>
      </w:pPr>
    </w:p>
    <w:p>
      <w:pPr>
        <w:keepNext/>
        <w:spacing w:before="200" w:after="80"/>
      </w:pPr>
      <w:r>
        <w:rPr>
          <w:rFonts w:ascii="Arial" w:hAnsi="Arial"/>
          <w:b/>
          <w:i w:val="0"/>
          <w:color w:val="2B6CB0"/>
          <w:sz w:val="24"/>
        </w:rPr>
        <w:t>3. Atitudes, Dissonância Cognitiva e Comprometimento Organizacional</w:t>
      </w:r>
    </w:p>
    <w:p>
      <w:pPr>
        <w:spacing w:line="360" w:lineRule="auto" w:before="0" w:after="80"/>
        <w:jc w:val="both"/>
      </w:pPr>
      <w:r>
        <w:rPr>
          <w:rFonts w:ascii="Arial" w:hAnsi="Arial"/>
          <w:b w:val="0"/>
          <w:i w:val="0"/>
          <w:color w:val="111827"/>
          <w:sz w:val="24"/>
        </w:rPr>
        <w:t xml:space="preserve">Uma </w:t>
      </w:r>
      <w:r>
        <w:rPr>
          <w:rFonts w:ascii="Arial" w:hAnsi="Arial"/>
          <w:b/>
          <w:i w:val="0"/>
          <w:color w:val="111827"/>
          <w:sz w:val="24"/>
        </w:rPr>
        <w:t>atitude</w:t>
      </w:r>
      <w:r>
        <w:rPr>
          <w:rFonts w:ascii="Arial" w:hAnsi="Arial"/>
          <w:b w:val="0"/>
          <w:i w:val="0"/>
          <w:color w:val="111827"/>
          <w:sz w:val="24"/>
        </w:rPr>
        <w:t xml:space="preserve"> é um estado mental de prontidão organizado pela experiência, manifestado em juízos avaliativos (favoráveis ou desfavoráveis) sobre objetos, pessoas ou eventos. Estrutura-se em três componentes indissociáveis: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Componente Cognitivo:</w:t>
      </w:r>
      <w:r>
        <w:rPr>
          <w:rFonts w:ascii="Arial" w:hAnsi="Arial"/>
          <w:b w:val="0"/>
          <w:i w:val="0"/>
          <w:color w:val="111827"/>
          <w:sz w:val="22"/>
        </w:rPr>
        <w:t xml:space="preserve"> O saber, a crença, a opinião ou o conhecimento fático sobre o objeto (ex.: "A auditoria pública combate a corrupção").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Componente Afetivo:</w:t>
      </w:r>
      <w:r>
        <w:rPr>
          <w:rFonts w:ascii="Arial" w:hAnsi="Arial"/>
          <w:b w:val="0"/>
          <w:i w:val="0"/>
          <w:color w:val="111827"/>
          <w:sz w:val="22"/>
        </w:rPr>
        <w:t xml:space="preserve"> A dimensão emocional ou sentimento em relação ao objeto (ex.: "Tenho orgulho de atuar no Tribunal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Componente Comportamental:</w:t>
      </w:r>
      <w:r>
        <w:rPr>
          <w:rFonts w:ascii="Arial" w:hAnsi="Arial"/>
          <w:b w:val="0"/>
          <w:i w:val="0"/>
          <w:color w:val="111827"/>
          <w:sz w:val="22"/>
        </w:rPr>
        <w:t xml:space="preserve"> A intenção explícita de agir ou se comportar de determinado modo (ex.: "Vou me dedicar com rigor na elaboração do relatório de fiscalização").</w:t>
      </w:r>
    </w:p>
    <w:p>
      <w:pPr>
        <w:keepNext/>
        <w:spacing w:before="120" w:after="40"/>
      </w:pPr>
      <w:r>
        <w:rPr>
          <w:rFonts w:ascii="Arial" w:hAnsi="Arial"/>
          <w:b/>
          <w:i/>
          <w:color w:val="334155"/>
          <w:sz w:val="22"/>
        </w:rPr>
        <w:t>Dissonância Cognitiva (Leon Festinger):</w:t>
      </w:r>
    </w:p>
    <w:p>
      <w:pPr>
        <w:spacing w:line="360" w:lineRule="auto" w:before="0" w:after="80"/>
        <w:jc w:val="both"/>
      </w:pPr>
      <w:r>
        <w:rPr>
          <w:rFonts w:ascii="Arial" w:hAnsi="Arial"/>
          <w:b w:val="0"/>
          <w:i w:val="0"/>
          <w:color w:val="111827"/>
          <w:sz w:val="24"/>
        </w:rPr>
        <w:t>Fenômeno caracterizado por desconforto e tensão psicológica profunda quando o indivíduo percebe inconsistência entre duas atitudes ou entre sua atitude pessoal e seu comportamento concreto. Para mitigar essa tensão interna, o sujeito tende a:</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Mudar o seu comportamento concreto;</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Alterar a sua crença/atitude pessoal para justificar o ato; ou</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Desenvolver justificativas racionais e argumentos atenuantes.</w:t>
      </w:r>
    </w:p>
    <w:p>
      <w:pPr>
        <w:keepNext/>
        <w:spacing w:before="120" w:after="40"/>
      </w:pPr>
      <w:r>
        <w:rPr>
          <w:rFonts w:ascii="Arial" w:hAnsi="Arial"/>
          <w:b/>
          <w:i/>
          <w:color w:val="334155"/>
          <w:sz w:val="22"/>
        </w:rPr>
        <w:t>As Três Dimensões do Comprometimento Organizacional (Meyer e Allen):</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Comprometimento Afetivo:</w:t>
      </w:r>
      <w:r>
        <w:rPr>
          <w:rFonts w:ascii="Arial" w:hAnsi="Arial"/>
          <w:b w:val="0"/>
          <w:i w:val="0"/>
          <w:color w:val="111827"/>
          <w:sz w:val="22"/>
        </w:rPr>
        <w:t xml:space="preserve"> O servidor permanece na instituição pública porque </w:t>
      </w:r>
      <w:r>
        <w:rPr>
          <w:rFonts w:ascii="Arial" w:hAnsi="Arial"/>
          <w:b/>
          <w:i w:val="0"/>
          <w:color w:val="111827"/>
          <w:sz w:val="22"/>
        </w:rPr>
        <w:t>ele quer</w:t>
      </w:r>
      <w:r>
        <w:rPr>
          <w:rFonts w:ascii="Arial" w:hAnsi="Arial"/>
          <w:b w:val="0"/>
          <w:i w:val="0"/>
          <w:color w:val="111827"/>
          <w:sz w:val="22"/>
        </w:rPr>
        <w:t>. Há identificação emocional autêntica, orgulho corporativo e adesão genuína à missão institucional.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Comprometimento Instrumental / De Continuação:</w:t>
      </w:r>
      <w:r>
        <w:rPr>
          <w:rFonts w:ascii="Arial" w:hAnsi="Arial"/>
          <w:b w:val="0"/>
          <w:i w:val="0"/>
          <w:color w:val="111827"/>
          <w:sz w:val="22"/>
        </w:rPr>
        <w:t xml:space="preserve"> O servidor permanece porque </w:t>
      </w:r>
      <w:r>
        <w:rPr>
          <w:rFonts w:ascii="Arial" w:hAnsi="Arial"/>
          <w:b/>
          <w:i w:val="0"/>
          <w:color w:val="111827"/>
          <w:sz w:val="22"/>
        </w:rPr>
        <w:t>ele precisa</w:t>
      </w:r>
      <w:r>
        <w:rPr>
          <w:rFonts w:ascii="Arial" w:hAnsi="Arial"/>
          <w:b w:val="0"/>
          <w:i w:val="0"/>
          <w:color w:val="111827"/>
          <w:sz w:val="22"/>
        </w:rPr>
        <w:t>. Pesa racionalmente os custos financeiros, estabilidade e perdas pecuniárias decorrentes de um eventual desligamento.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Comprometimento Normativo:</w:t>
      </w:r>
      <w:r>
        <w:rPr>
          <w:rFonts w:ascii="Arial" w:hAnsi="Arial"/>
          <w:b w:val="0"/>
          <w:i w:val="0"/>
          <w:color w:val="111827"/>
          <w:sz w:val="22"/>
        </w:rPr>
        <w:t xml:space="preserve"> O servidor permanece porque </w:t>
      </w:r>
      <w:r>
        <w:rPr>
          <w:rFonts w:ascii="Arial" w:hAnsi="Arial"/>
          <w:b/>
          <w:i w:val="0"/>
          <w:color w:val="111827"/>
          <w:sz w:val="22"/>
        </w:rPr>
        <w:t>ele sente que deve</w:t>
      </w:r>
      <w:r>
        <w:rPr>
          <w:rFonts w:ascii="Arial" w:hAnsi="Arial"/>
          <w:b w:val="0"/>
          <w:i w:val="0"/>
          <w:color w:val="111827"/>
          <w:sz w:val="22"/>
        </w:rPr>
        <w:t>. É movido por um senso de obrigação moral, gratidão ou lealdade ética perante o órgão público.</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(DISSONÂNCIA COGNITIVA):</w:t>
            </w:r>
          </w:p>
          <w:p>
            <w:pPr>
              <w:spacing w:line="288" w:lineRule="auto" w:before="40" w:after="40"/>
            </w:pPr>
            <w:r>
              <w:rPr>
                <w:rFonts w:ascii="Arial" w:hAnsi="Arial"/>
                <w:b w:val="0"/>
                <w:i w:val="0"/>
                <w:color w:val="111827"/>
                <w:sz w:val="21"/>
              </w:rPr>
              <w:t>A dissonância cognitiva (Leon Festinger) ocorre quando um indivíduo tem duas crenças contraditórias ou quando seu comportamento viola sua própria atitude moral. Para aliviar a tensão psicológica, a pessoa tende a mudar seu comportamento, alterar sua atitude ou criar justificativas racionais que acomodem a contradição.</w:t>
            </w:r>
          </w:p>
        </w:tc>
      </w:tr>
    </w:tbl>
    <w:p>
      <w:pPr>
        <w:spacing w:before="0" w:after="120"/>
      </w:pPr>
    </w:p>
    <w:p>
      <w:pPr>
        <w:keepNext/>
        <w:spacing w:before="200" w:after="80"/>
      </w:pPr>
      <w:r>
        <w:rPr>
          <w:rFonts w:ascii="Arial" w:hAnsi="Arial"/>
          <w:b/>
          <w:i w:val="0"/>
          <w:color w:val="2B6CB0"/>
          <w:sz w:val="24"/>
        </w:rPr>
        <w:t>4. Teorias Motivacionais de Conteúdo (Maslow, Herzberg, Alderfer e McClelland)</w:t>
      </w:r>
    </w:p>
    <w:p>
      <w:pPr>
        <w:spacing w:line="360" w:lineRule="auto" w:before="0" w:after="80"/>
        <w:jc w:val="both"/>
      </w:pPr>
      <w:r>
        <w:rPr>
          <w:rFonts w:ascii="Arial" w:hAnsi="Arial"/>
          <w:b w:val="0"/>
          <w:i w:val="0"/>
          <w:color w:val="111827"/>
          <w:sz w:val="24"/>
        </w:rPr>
        <w:t xml:space="preserve">As </w:t>
      </w:r>
      <w:r>
        <w:rPr>
          <w:rFonts w:ascii="Arial" w:hAnsi="Arial"/>
          <w:b/>
          <w:i w:val="0"/>
          <w:color w:val="111827"/>
          <w:sz w:val="24"/>
        </w:rPr>
        <w:t>teorias de conteúdo</w:t>
      </w:r>
      <w:r>
        <w:rPr>
          <w:rFonts w:ascii="Arial" w:hAnsi="Arial"/>
          <w:b w:val="0"/>
          <w:i w:val="0"/>
          <w:color w:val="111827"/>
          <w:sz w:val="24"/>
        </w:rPr>
        <w:t xml:space="preserve"> buscam identificar e explicar </w:t>
      </w:r>
      <w:r>
        <w:rPr>
          <w:rFonts w:ascii="Arial" w:hAnsi="Arial"/>
          <w:b w:val="0"/>
          <w:i/>
          <w:color w:val="111827"/>
          <w:sz w:val="24"/>
        </w:rPr>
        <w:t>o que</w:t>
      </w:r>
      <w:r>
        <w:rPr>
          <w:rFonts w:ascii="Arial" w:hAnsi="Arial"/>
          <w:b w:val="0"/>
          <w:i w:val="0"/>
          <w:color w:val="111827"/>
          <w:sz w:val="24"/>
        </w:rPr>
        <w:t xml:space="preserve"> motiva as pessoas, mapeando as necessidades internas que orientam a conduta humana:</w:t>
      </w:r>
    </w:p>
    <w:p>
      <w:pPr>
        <w:keepNext/>
        <w:spacing w:before="120" w:after="40"/>
      </w:pPr>
      <w:r>
        <w:rPr>
          <w:rFonts w:ascii="Arial" w:hAnsi="Arial"/>
          <w:b/>
          <w:i/>
          <w:color w:val="334155"/>
          <w:sz w:val="22"/>
        </w:rPr>
        <w:t>A) Hierarquia das Necessidades Humanas de Abraham Maslow:</w:t>
      </w:r>
    </w:p>
    <w:p>
      <w:pPr>
        <w:spacing w:line="360" w:lineRule="auto" w:before="0" w:after="80"/>
        <w:jc w:val="both"/>
      </w:pPr>
      <w:r>
        <w:rPr>
          <w:rFonts w:ascii="Arial" w:hAnsi="Arial"/>
          <w:b w:val="0"/>
          <w:i w:val="0"/>
          <w:color w:val="111827"/>
          <w:sz w:val="24"/>
        </w:rPr>
        <w:t>As necessidades humanas organizam-se em uma pirâmide progressiva e hierárquica: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Necessidades Fisiológicas (Base):</w:t>
      </w:r>
      <w:r>
        <w:rPr>
          <w:rFonts w:ascii="Arial" w:hAnsi="Arial"/>
          <w:b w:val="0"/>
          <w:i w:val="0"/>
          <w:color w:val="111827"/>
          <w:sz w:val="22"/>
        </w:rPr>
        <w:t xml:space="preserve"> Alimentação, repouso, sono, abrigo e conforto térmico.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Necessidades de Segurança:</w:t>
      </w:r>
      <w:r>
        <w:rPr>
          <w:rFonts w:ascii="Arial" w:hAnsi="Arial"/>
          <w:b w:val="0"/>
          <w:i w:val="0"/>
          <w:color w:val="111827"/>
          <w:sz w:val="22"/>
        </w:rPr>
        <w:t xml:space="preserve"> Estabilidade no cargo, proteção física, remuneração previsível e plano de saúde.</w:t>
      </w:r>
    </w:p>
    <w:p>
      <w:pPr>
        <w:spacing w:line="276" w:lineRule="auto" w:before="20" w:after="40"/>
        <w:ind w:left="425"/>
      </w:pPr>
      <w:r>
        <w:rPr>
          <w:rFonts w:ascii="Arial" w:hAnsi="Arial"/>
          <w:b/>
          <w:color w:val="1B365D"/>
          <w:sz w:val="22"/>
        </w:rPr>
        <w:t xml:space="preserve">3. </w:t>
      </w:r>
      <w:r>
        <w:rPr>
          <w:rFonts w:ascii="Arial" w:hAnsi="Arial"/>
          <w:b/>
          <w:i w:val="0"/>
          <w:color w:val="111827"/>
          <w:sz w:val="22"/>
        </w:rPr>
        <w:t>Necessidades Sociais (Amor/Afiliação):</w:t>
      </w:r>
      <w:r>
        <w:rPr>
          <w:rFonts w:ascii="Arial" w:hAnsi="Arial"/>
          <w:b w:val="0"/>
          <w:i w:val="0"/>
          <w:color w:val="111827"/>
          <w:sz w:val="22"/>
        </w:rPr>
        <w:t xml:space="preserve"> Amizades no setor, aceitação pelos pares e clima harmônico de trabalho.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Necessidades de Estima:</w:t>
      </w:r>
      <w:r>
        <w:rPr>
          <w:rFonts w:ascii="Arial" w:hAnsi="Arial"/>
          <w:b w:val="0"/>
          <w:i w:val="0"/>
          <w:color w:val="111827"/>
          <w:sz w:val="22"/>
        </w:rPr>
        <w:t xml:space="preserve"> Reconhecimento profissional, status funcional, prestígio e respeito dos superiores.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Necessidades de Autorrealização (Topo):</w:t>
      </w:r>
      <w:r>
        <w:rPr>
          <w:rFonts w:ascii="Arial" w:hAnsi="Arial"/>
          <w:b w:val="0"/>
          <w:i w:val="0"/>
          <w:color w:val="111827"/>
          <w:sz w:val="22"/>
        </w:rPr>
        <w:t xml:space="preserve"> Pleno desenvolvimento do potencial próprio, autonomia criativa e desafios intelectuais.</w:t>
      </w:r>
    </w:p>
    <w:p>
      <w:pPr>
        <w:spacing w:line="276" w:lineRule="auto" w:before="20" w:after="40"/>
        <w:ind w:left="425"/>
      </w:pPr>
      <w:r>
        <w:rPr>
          <w:rFonts w:ascii="Arial" w:hAnsi="Arial"/>
          <w:b/>
          <w:color w:val="2B6CB0"/>
          <w:sz w:val="22"/>
        </w:rPr>
        <w:t xml:space="preserve">• </w:t>
      </w:r>
      <w:r>
        <w:rPr>
          <w:rFonts w:ascii="Arial" w:hAnsi="Arial"/>
          <w:b w:val="0"/>
          <w:i/>
          <w:color w:val="111827"/>
          <w:sz w:val="22"/>
        </w:rPr>
        <w:t>Premissa de Maslow:</w:t>
      </w:r>
      <w:r>
        <w:rPr>
          <w:rFonts w:ascii="Arial" w:hAnsi="Arial"/>
          <w:b w:val="0"/>
          <w:i w:val="0"/>
          <w:color w:val="111827"/>
          <w:sz w:val="22"/>
        </w:rPr>
        <w:t xml:space="preserve"> Uma necessidade superior só passa a motivar o comportamento quando a necessidade imediatamente inferior estiver substancialmente satisfeita.</w:t>
      </w:r>
    </w:p>
    <w:p>
      <w:pPr>
        <w:keepNext/>
        <w:spacing w:before="120" w:after="40"/>
      </w:pPr>
      <w:r>
        <w:rPr>
          <w:rFonts w:ascii="Arial" w:hAnsi="Arial"/>
          <w:b/>
          <w:i/>
          <w:color w:val="334155"/>
          <w:sz w:val="22"/>
        </w:rPr>
        <w:t>B) Teoria dos Dois Fatores de Frederick Herzberg:</w:t>
      </w:r>
    </w:p>
    <w:p>
      <w:pPr>
        <w:spacing w:line="360" w:lineRule="auto" w:before="0" w:after="80"/>
        <w:jc w:val="both"/>
      </w:pPr>
      <w:r>
        <w:rPr>
          <w:rFonts w:ascii="Arial" w:hAnsi="Arial"/>
          <w:b w:val="0"/>
          <w:i w:val="0"/>
          <w:color w:val="111827"/>
          <w:sz w:val="24"/>
        </w:rPr>
        <w:t>Herzberg demonstrou que a satisfação e a insatisfação no trabalho são fenômenos governados por dois conjuntos completamente independentes de fatores: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Fatores Higiênicos (Extrínsecos):</w:t>
      </w:r>
      <w:r>
        <w:rPr>
          <w:rFonts w:ascii="Arial" w:hAnsi="Arial"/>
          <w:b w:val="0"/>
          <w:i w:val="0"/>
          <w:color w:val="111827"/>
          <w:sz w:val="22"/>
        </w:rPr>
        <w:t xml:space="preserve"> Referem-se ao </w:t>
      </w:r>
      <w:r>
        <w:rPr>
          <w:rFonts w:ascii="Arial" w:hAnsi="Arial"/>
          <w:b/>
          <w:i w:val="0"/>
          <w:color w:val="111827"/>
          <w:sz w:val="22"/>
        </w:rPr>
        <w:t>contexto do trabalho</w:t>
      </w:r>
      <w:r>
        <w:rPr>
          <w:rFonts w:ascii="Arial" w:hAnsi="Arial"/>
          <w:b w:val="0"/>
          <w:i w:val="0"/>
          <w:color w:val="111827"/>
          <w:sz w:val="22"/>
        </w:rPr>
        <w:t xml:space="preserve"> (salário, condições físicas, segurança, benefícios e tipo de supervisão). Sua presença apenas evita a insatisfação funcional; não tem o poder de gerar motivação duradoura.</w:t>
      </w:r>
    </w:p>
    <w:p>
      <w:pPr>
        <w:spacing w:line="276" w:lineRule="auto" w:before="20" w:after="40"/>
        <w:ind w:left="425"/>
      </w:pPr>
      <w:r>
        <w:rPr>
          <w:rFonts w:ascii="Arial" w:hAnsi="Arial"/>
          <w:b/>
          <w:color w:val="2B6CB0"/>
          <w:sz w:val="22"/>
        </w:rPr>
        <w:t xml:space="preserve">• </w:t>
      </w:r>
      <w:r>
        <w:rPr>
          <w:rFonts w:ascii="Arial" w:hAnsi="Arial"/>
          <w:b/>
          <w:i w:val="0"/>
          <w:color w:val="111827"/>
          <w:sz w:val="22"/>
        </w:rPr>
        <w:t>Fatores Motivacionais (Intrínsecos):</w:t>
      </w:r>
      <w:r>
        <w:rPr>
          <w:rFonts w:ascii="Arial" w:hAnsi="Arial"/>
          <w:b w:val="0"/>
          <w:i w:val="0"/>
          <w:color w:val="111827"/>
          <w:sz w:val="22"/>
        </w:rPr>
        <w:t xml:space="preserve"> Referem-se ao </w:t>
      </w:r>
      <w:r>
        <w:rPr>
          <w:rFonts w:ascii="Arial" w:hAnsi="Arial"/>
          <w:b/>
          <w:i w:val="0"/>
          <w:color w:val="111827"/>
          <w:sz w:val="22"/>
        </w:rPr>
        <w:t>conteúdo do trabalho</w:t>
      </w:r>
      <w:r>
        <w:rPr>
          <w:rFonts w:ascii="Arial" w:hAnsi="Arial"/>
          <w:b w:val="0"/>
          <w:i w:val="0"/>
          <w:color w:val="111827"/>
          <w:sz w:val="22"/>
        </w:rPr>
        <w:t xml:space="preserve"> (complexidade da tarefa, realização, responsabilidade, desafios intelectuais e desenvolvimento). São os únicos capazes de provocar satisfação plena e motivação autêntica.</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(SALÁRIO MOTIVA SEGUNDO HERZBERG?):</w:t>
            </w:r>
          </w:p>
          <w:p>
            <w:pPr>
              <w:spacing w:line="288" w:lineRule="auto" w:before="40" w:after="40"/>
            </w:pPr>
            <w:r>
              <w:rPr>
                <w:rFonts w:ascii="Arial" w:hAnsi="Arial"/>
                <w:b w:val="0"/>
                <w:i w:val="0"/>
                <w:color w:val="111827"/>
                <w:sz w:val="21"/>
              </w:rPr>
              <w:t xml:space="preserve">Pegadinha clássica em provas da FCC: afirmar que na teoria de Herzberg o aumento de remuneração é um fator motivacional primordial. </w:t>
            </w:r>
            <w:r>
              <w:rPr>
                <w:rFonts w:ascii="Arial" w:hAnsi="Arial"/>
                <w:b/>
                <w:i w:val="0"/>
                <w:color w:val="111827"/>
                <w:sz w:val="21"/>
              </w:rPr>
              <w:t>FALSO!</w:t>
            </w:r>
            <w:r>
              <w:rPr>
                <w:rFonts w:ascii="Arial" w:hAnsi="Arial"/>
                <w:b w:val="0"/>
                <w:i w:val="0"/>
                <w:color w:val="111827"/>
                <w:sz w:val="21"/>
              </w:rPr>
              <w:t xml:space="preserve"> Salário é um </w:t>
            </w:r>
            <w:r>
              <w:rPr>
                <w:rFonts w:ascii="Arial" w:hAnsi="Arial"/>
                <w:b/>
                <w:i w:val="0"/>
                <w:color w:val="111827"/>
                <w:sz w:val="21"/>
              </w:rPr>
              <w:t>Fator Higiênico (Extrínseco)</w:t>
            </w:r>
            <w:r>
              <w:rPr>
                <w:rFonts w:ascii="Arial" w:hAnsi="Arial"/>
                <w:b w:val="0"/>
                <w:i w:val="0"/>
                <w:color w:val="111827"/>
                <w:sz w:val="21"/>
              </w:rPr>
              <w:t xml:space="preserve">. O salário baixo gera insatisfação, mas o salário alto apenas neutraliza o descontentamento; ele </w:t>
            </w:r>
            <w:r>
              <w:rPr>
                <w:rFonts w:ascii="Arial" w:hAnsi="Arial"/>
                <w:b/>
                <w:i w:val="0"/>
                <w:color w:val="111827"/>
                <w:sz w:val="21"/>
              </w:rPr>
              <w:t>não possui o poder de produzir motivação duradoura</w:t>
            </w:r>
            <w:r>
              <w:rPr>
                <w:rFonts w:ascii="Arial" w:hAnsi="Arial"/>
                <w:b w:val="0"/>
                <w:i w:val="0"/>
                <w:color w:val="111827"/>
                <w:sz w:val="21"/>
              </w:rPr>
              <w:t>!</w:t>
            </w:r>
          </w:p>
        </w:tc>
      </w:tr>
    </w:tbl>
    <w:p>
      <w:pPr>
        <w:spacing w:before="0" w:after="120"/>
      </w:pPr>
    </w:p>
    <w:p>
      <w:pPr>
        <w:keepNext/>
        <w:spacing w:before="120" w:after="40"/>
      </w:pPr>
      <w:r>
        <w:rPr>
          <w:rFonts w:ascii="Arial" w:hAnsi="Arial"/>
          <w:b/>
          <w:i/>
          <w:color w:val="334155"/>
          <w:sz w:val="22"/>
        </w:rPr>
        <w:t>C) Teoria ERC de Clayton Alderfer:</w:t>
      </w:r>
    </w:p>
    <w:p>
      <w:pPr>
        <w:spacing w:line="360" w:lineRule="auto" w:before="0" w:after="80"/>
        <w:jc w:val="both"/>
      </w:pPr>
      <w:r>
        <w:rPr>
          <w:rFonts w:ascii="Arial" w:hAnsi="Arial"/>
          <w:b w:val="0"/>
          <w:i w:val="0"/>
          <w:color w:val="111827"/>
          <w:sz w:val="24"/>
        </w:rPr>
        <w:t>Condensou os níveis de Maslow em três necessidades essenciais: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xistência (fisiológicas e de segurança);</w:t>
      </w:r>
    </w:p>
    <w:p>
      <w:pPr>
        <w:spacing w:line="276" w:lineRule="auto" w:before="20" w:after="40"/>
        <w:ind w:left="425"/>
      </w:pPr>
      <w:r>
        <w:rPr>
          <w:rFonts w:ascii="Arial" w:hAnsi="Arial"/>
          <w:b/>
          <w:color w:val="2B6CB0"/>
          <w:sz w:val="22"/>
        </w:rPr>
        <w:t xml:space="preserve">• </w:t>
      </w:r>
      <w:r>
        <w:rPr>
          <w:rFonts w:ascii="Arial" w:hAnsi="Arial"/>
          <w:b/>
          <w:i w:val="0"/>
          <w:color w:val="111827"/>
          <w:sz w:val="22"/>
        </w:rPr>
        <w:t>R</w:t>
      </w:r>
      <w:r>
        <w:rPr>
          <w:rFonts w:ascii="Arial" w:hAnsi="Arial"/>
          <w:b w:val="0"/>
          <w:i w:val="0"/>
          <w:color w:val="111827"/>
          <w:sz w:val="22"/>
        </w:rPr>
        <w:t>elacionamento (sociais e consideração externa);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rescimento (estima interna e autorrealização).</w:t>
      </w:r>
    </w:p>
    <w:p>
      <w:pPr>
        <w:spacing w:line="276" w:lineRule="auto" w:before="20" w:after="40"/>
        <w:ind w:left="425"/>
      </w:pPr>
      <w:r>
        <w:rPr>
          <w:rFonts w:ascii="Arial" w:hAnsi="Arial"/>
          <w:b/>
          <w:color w:val="2B6CB0"/>
          <w:sz w:val="22"/>
        </w:rPr>
        <w:t xml:space="preserve">• </w:t>
      </w:r>
      <w:r>
        <w:rPr>
          <w:rFonts w:ascii="Arial" w:hAnsi="Arial"/>
          <w:b w:val="0"/>
          <w:i/>
          <w:color w:val="111827"/>
          <w:sz w:val="22"/>
        </w:rPr>
        <w:t>Inovação conceitual:</w:t>
      </w:r>
      <w:r>
        <w:rPr>
          <w:rFonts w:ascii="Arial" w:hAnsi="Arial"/>
          <w:b w:val="0"/>
          <w:i w:val="0"/>
          <w:color w:val="111827"/>
          <w:sz w:val="22"/>
        </w:rPr>
        <w:t xml:space="preserve"> Alderfer admitiu o princípio da </w:t>
      </w:r>
      <w:r>
        <w:rPr>
          <w:rFonts w:ascii="Arial" w:hAnsi="Arial"/>
          <w:b/>
          <w:i w:val="0"/>
          <w:color w:val="111827"/>
          <w:sz w:val="22"/>
        </w:rPr>
        <w:t>frustração-regressão</w:t>
      </w:r>
      <w:r>
        <w:rPr>
          <w:rFonts w:ascii="Arial" w:hAnsi="Arial"/>
          <w:b w:val="0"/>
          <w:i w:val="0"/>
          <w:color w:val="111827"/>
          <w:sz w:val="22"/>
        </w:rPr>
        <w:t>: quando uma necessidade superior não pode ser satisfeita, a pessoa regride e intensifica o desejo de suprir uma necessidade do nível inferior.</w:t>
      </w:r>
    </w:p>
    <w:p>
      <w:pPr>
        <w:keepNext/>
        <w:spacing w:before="120" w:after="40"/>
      </w:pPr>
      <w:r>
        <w:rPr>
          <w:rFonts w:ascii="Arial" w:hAnsi="Arial"/>
          <w:b/>
          <w:i/>
          <w:color w:val="334155"/>
          <w:sz w:val="22"/>
        </w:rPr>
        <w:t>D) Teoria das Necessidades Adquiridas de David McClelland:</w:t>
      </w:r>
    </w:p>
    <w:p>
      <w:pPr>
        <w:spacing w:line="360" w:lineRule="auto" w:before="0" w:after="80"/>
        <w:jc w:val="both"/>
      </w:pPr>
      <w:r>
        <w:rPr>
          <w:rFonts w:ascii="Arial" w:hAnsi="Arial"/>
          <w:b w:val="0"/>
          <w:i w:val="0"/>
          <w:color w:val="111827"/>
          <w:sz w:val="24"/>
        </w:rPr>
        <w:t>Afirma que a motivação dos indivíduos é moldada por três necessidades essenciais adquiridas ao longo da socialização:</w:t>
      </w: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**Necessidade de Realização (</w:t>
      </w:r>
      <w:r>
        <w:rPr>
          <w:rFonts w:ascii="Arial" w:hAnsi="Arial"/>
          <w:b w:val="0"/>
          <w:i/>
          <w:color w:val="111827"/>
          <w:sz w:val="22"/>
        </w:rPr>
        <w:t>nAch</w:t>
      </w:r>
      <w:r>
        <w:rPr>
          <w:rFonts w:ascii="Arial" w:hAnsi="Arial"/>
          <w:b w:val="0"/>
          <w:i w:val="0"/>
          <w:color w:val="111827"/>
          <w:sz w:val="22"/>
        </w:rPr>
        <w:t>):** Busca incessante por excelência, superação de padrões difíceis e assunção de riscos calculados.</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**Necessidade de Poder (</w:t>
      </w:r>
      <w:r>
        <w:rPr>
          <w:rFonts w:ascii="Arial" w:hAnsi="Arial"/>
          <w:b w:val="0"/>
          <w:i/>
          <w:color w:val="111827"/>
          <w:sz w:val="22"/>
        </w:rPr>
        <w:t>nPow</w:t>
      </w:r>
      <w:r>
        <w:rPr>
          <w:rFonts w:ascii="Arial" w:hAnsi="Arial"/>
          <w:b w:val="0"/>
          <w:i w:val="0"/>
          <w:color w:val="111827"/>
          <w:sz w:val="22"/>
        </w:rPr>
        <w:t>):** Desejo de influenciar, liderar, controlar e orientar o comportamento de terceiros.</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**Necessidade de Afiliação (</w:t>
      </w:r>
      <w:r>
        <w:rPr>
          <w:rFonts w:ascii="Arial" w:hAnsi="Arial"/>
          <w:b w:val="0"/>
          <w:i/>
          <w:color w:val="111827"/>
          <w:sz w:val="22"/>
        </w:rPr>
        <w:t>nAff</w:t>
      </w:r>
      <w:r>
        <w:rPr>
          <w:rFonts w:ascii="Arial" w:hAnsi="Arial"/>
          <w:b w:val="0"/>
          <w:i w:val="0"/>
          <w:color w:val="111827"/>
          <w:sz w:val="22"/>
        </w:rPr>
        <w:t>):** Desejo de estabelecer relacionamentos interpessoais amigáveis, cooperação e aceitação mútua.</w:t>
      </w:r>
    </w:p>
    <w:p>
      <w:pPr>
        <w:keepNext/>
        <w:spacing w:before="200" w:after="80"/>
      </w:pPr>
      <w:r>
        <w:rPr>
          <w:rFonts w:ascii="Arial" w:hAnsi="Arial"/>
          <w:b/>
          <w:i w:val="0"/>
          <w:color w:val="2B6CB0"/>
          <w:sz w:val="24"/>
        </w:rPr>
        <w:t>5. Teorias Motivacionais de Processo (Vroom, Adams, Locke e Skinner)</w:t>
      </w:r>
    </w:p>
    <w:p>
      <w:pPr>
        <w:spacing w:line="360" w:lineRule="auto" w:before="0" w:after="80"/>
        <w:jc w:val="both"/>
      </w:pPr>
      <w:r>
        <w:rPr>
          <w:rFonts w:ascii="Arial" w:hAnsi="Arial"/>
          <w:b w:val="0"/>
          <w:i w:val="0"/>
          <w:color w:val="111827"/>
          <w:sz w:val="24"/>
        </w:rPr>
        <w:t xml:space="preserve">As </w:t>
      </w:r>
      <w:r>
        <w:rPr>
          <w:rFonts w:ascii="Arial" w:hAnsi="Arial"/>
          <w:b/>
          <w:i w:val="0"/>
          <w:color w:val="111827"/>
          <w:sz w:val="24"/>
        </w:rPr>
        <w:t>teorias de processo</w:t>
      </w:r>
      <w:r>
        <w:rPr>
          <w:rFonts w:ascii="Arial" w:hAnsi="Arial"/>
          <w:b w:val="0"/>
          <w:i w:val="0"/>
          <w:color w:val="111827"/>
          <w:sz w:val="24"/>
        </w:rPr>
        <w:t xml:space="preserve"> investigam a dinâmica cognitiva e os mecanismos mentais por meio dos quais o comportamento humano é estimulado, direcionado e mantido no tempo:</w:t>
      </w:r>
    </w:p>
    <w:p>
      <w:pPr>
        <w:keepNext/>
        <w:spacing w:before="120" w:after="40"/>
      </w:pPr>
      <w:r>
        <w:rPr>
          <w:rFonts w:ascii="Arial" w:hAnsi="Arial"/>
          <w:b/>
          <w:i/>
          <w:color w:val="334155"/>
          <w:sz w:val="22"/>
        </w:rPr>
        <w:t>A) Teoria da Expectativa / Expectância de Victor Vroom (Modelo VIE):</w:t>
      </w:r>
    </w:p>
    <w:p>
      <w:pPr>
        <w:spacing w:line="360" w:lineRule="auto" w:before="0" w:after="80"/>
        <w:jc w:val="both"/>
      </w:pPr>
      <w:r>
        <w:rPr>
          <w:rFonts w:ascii="Arial" w:hAnsi="Arial"/>
          <w:b w:val="0"/>
          <w:i w:val="0"/>
          <w:color w:val="111827"/>
          <w:sz w:val="24"/>
        </w:rPr>
        <w:t>A motivação resulta de um cálculo mental ponderado que encadeia três elementos fundamentais:</w:t>
      </w:r>
    </w:p>
    <w:p>
      <w:pPr>
        <w:spacing w:line="360" w:lineRule="auto" w:before="0" w:after="80"/>
        <w:jc w:val="both"/>
      </w:pPr>
      <w:r>
        <w:rPr>
          <w:rFonts w:ascii="Arial" w:hAnsi="Arial"/>
          <w:b w:val="0"/>
          <w:i w:val="0"/>
          <w:color w:val="111827"/>
          <w:sz w:val="24"/>
        </w:rPr>
        <w:t>$</w:t>
      </w:r>
      <w:r>
        <w:rPr>
          <w:rFonts w:ascii="Cambria Math" w:hAnsi="Cambria Math"/>
          <w:i/>
          <w:color w:val="1B365D"/>
          <w:sz w:val="24"/>
        </w:rPr>
        <w:t>\mathbf{\text{Força Motivacional} = \text{Expectativa (E)} \times \text{Instrumentalidade (I)} \times \text{Valência (V)}}</w:t>
      </w:r>
      <w:r>
        <w:rPr>
          <w:rFonts w:ascii="Arial" w:hAnsi="Arial"/>
          <w:b w:val="0"/>
          <w:i w:val="0"/>
          <w:color w:val="111827"/>
          <w:sz w:val="24"/>
        </w:rPr>
        <w:t>$</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Expectativa ($E$):</w:t>
      </w:r>
      <w:r>
        <w:rPr>
          <w:rFonts w:ascii="Arial" w:hAnsi="Arial"/>
          <w:b w:val="0"/>
          <w:i w:val="0"/>
          <w:color w:val="111827"/>
          <w:sz w:val="22"/>
        </w:rPr>
        <w:t xml:space="preserve"> Relação </w:t>
      </w:r>
      <w:r>
        <w:rPr>
          <w:rFonts w:ascii="Arial" w:hAnsi="Arial"/>
          <w:b/>
          <w:i w:val="0"/>
          <w:color w:val="111827"/>
          <w:sz w:val="22"/>
        </w:rPr>
        <w:t>Esforço $\rightarrow$ Desempenho</w:t>
      </w:r>
      <w:r>
        <w:rPr>
          <w:rFonts w:ascii="Arial" w:hAnsi="Arial"/>
          <w:b w:val="0"/>
          <w:i w:val="0"/>
          <w:color w:val="111827"/>
          <w:sz w:val="22"/>
        </w:rPr>
        <w:t>. A crença subjetiva do indivíduo de que seu esforço resultará no atingimento do padrão de desempenho exigido.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Instrumentalidade ($I$):</w:t>
      </w:r>
      <w:r>
        <w:rPr>
          <w:rFonts w:ascii="Arial" w:hAnsi="Arial"/>
          <w:b w:val="0"/>
          <w:i w:val="0"/>
          <w:color w:val="111827"/>
          <w:sz w:val="22"/>
        </w:rPr>
        <w:t xml:space="preserve"> Relação </w:t>
      </w:r>
      <w:r>
        <w:rPr>
          <w:rFonts w:ascii="Arial" w:hAnsi="Arial"/>
          <w:b/>
          <w:i w:val="0"/>
          <w:color w:val="111827"/>
          <w:sz w:val="22"/>
        </w:rPr>
        <w:t>Desempenho $\rightarrow$ Recompensa</w:t>
      </w:r>
      <w:r>
        <w:rPr>
          <w:rFonts w:ascii="Arial" w:hAnsi="Arial"/>
          <w:b w:val="0"/>
          <w:i w:val="0"/>
          <w:color w:val="111827"/>
          <w:sz w:val="22"/>
        </w:rPr>
        <w:t>. A crença de que a organização realmente cumprirá o acordado e entregará a recompensa prometida se o desempenho for alcançado.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Valência ($V$):</w:t>
      </w:r>
      <w:r>
        <w:rPr>
          <w:rFonts w:ascii="Arial" w:hAnsi="Arial"/>
          <w:b w:val="0"/>
          <w:i w:val="0"/>
          <w:color w:val="111827"/>
          <w:sz w:val="22"/>
        </w:rPr>
        <w:t xml:space="preserve"> Relação </w:t>
      </w:r>
      <w:r>
        <w:rPr>
          <w:rFonts w:ascii="Arial" w:hAnsi="Arial"/>
          <w:b/>
          <w:i w:val="0"/>
          <w:color w:val="111827"/>
          <w:sz w:val="22"/>
        </w:rPr>
        <w:t>Recompensa $\rightarrow$ Metas Pessoais</w:t>
      </w:r>
      <w:r>
        <w:rPr>
          <w:rFonts w:ascii="Arial" w:hAnsi="Arial"/>
          <w:b w:val="0"/>
          <w:i w:val="0"/>
          <w:color w:val="111827"/>
          <w:sz w:val="22"/>
        </w:rPr>
        <w:t>. O valor atrativo, positivo ou negativo, que o servidor atribui ao resultado ou recompensa oferecida.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Propriedade Multiplicativa:</w:t>
      </w:r>
      <w:r>
        <w:rPr>
          <w:rFonts w:ascii="Arial" w:hAnsi="Arial"/>
          <w:b w:val="0"/>
          <w:i w:val="0"/>
          <w:color w:val="111827"/>
          <w:sz w:val="22"/>
        </w:rPr>
        <w:t xml:space="preserve"> Tratando-se de uma multiplicação, </w:t>
      </w:r>
      <w:r>
        <w:rPr>
          <w:rFonts w:ascii="Arial" w:hAnsi="Arial"/>
          <w:b/>
          <w:i w:val="0"/>
          <w:color w:val="111827"/>
          <w:sz w:val="22"/>
        </w:rPr>
        <w:t>se qualquer uma das três variáveis for igual a zero, a motivação final será nula!</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ATENÇÃO (PRODUTO MULTIPLICATIVO DE VROOM):</w:t>
            </w:r>
          </w:p>
          <w:p>
            <w:pPr>
              <w:spacing w:line="288" w:lineRule="auto" w:before="40" w:after="40"/>
            </w:pPr>
            <w:r>
              <w:rPr>
                <w:rFonts w:ascii="Arial" w:hAnsi="Arial"/>
                <w:b w:val="0"/>
                <w:i w:val="0"/>
                <w:color w:val="111827"/>
                <w:sz w:val="21"/>
              </w:rPr>
              <w:t xml:space="preserve">Na teoria da expectância de Vroom, se um servidor quer muito a promoção (Valência alta) e sabe que consegue bater a meta (Expectativa alta), mas sabe que o chefe vai promover um parente por nepotismo (Instrumentalidade = zero), a força motivacional do servidor será </w:t>
            </w:r>
            <w:r>
              <w:rPr>
                <w:rFonts w:ascii="Arial" w:hAnsi="Arial"/>
                <w:b/>
                <w:i w:val="0"/>
                <w:color w:val="111827"/>
                <w:sz w:val="21"/>
              </w:rPr>
              <w:t>ZERO</w:t>
            </w:r>
            <w:r>
              <w:rPr>
                <w:rFonts w:ascii="Arial" w:hAnsi="Arial"/>
                <w:b w:val="0"/>
                <w:i w:val="0"/>
                <w:color w:val="111827"/>
                <w:sz w:val="21"/>
              </w:rPr>
              <w:t>!</w:t>
            </w:r>
          </w:p>
        </w:tc>
      </w:tr>
    </w:tbl>
    <w:p>
      <w:pPr>
        <w:spacing w:before="0" w:after="120"/>
      </w:pPr>
    </w:p>
    <w:p>
      <w:pPr>
        <w:keepNext/>
        <w:spacing w:before="120" w:after="40"/>
      </w:pPr>
      <w:r>
        <w:rPr>
          <w:rFonts w:ascii="Arial" w:hAnsi="Arial"/>
          <w:b/>
          <w:i/>
          <w:color w:val="334155"/>
          <w:sz w:val="22"/>
        </w:rPr>
        <w:t>B) Teoria da Equidade de J. Stacy Adams:</w:t>
      </w:r>
    </w:p>
    <w:p>
      <w:pPr>
        <w:spacing w:line="360" w:lineRule="auto" w:before="0" w:after="80"/>
        <w:jc w:val="both"/>
      </w:pPr>
      <w:r>
        <w:rPr>
          <w:rFonts w:ascii="Arial" w:hAnsi="Arial"/>
          <w:b w:val="0"/>
          <w:i w:val="0"/>
          <w:color w:val="111827"/>
          <w:sz w:val="24"/>
        </w:rPr>
        <w:t>Sustenta que a motivação decorre da percepção de justiça distributiva. O servidor compara a relação entre suas contribuições/insumos (</w:t>
      </w:r>
      <w:r>
        <w:rPr>
          <w:rFonts w:ascii="Arial" w:hAnsi="Arial"/>
          <w:b w:val="0"/>
          <w:i/>
          <w:color w:val="111827"/>
          <w:sz w:val="24"/>
        </w:rPr>
        <w:t>inputs</w:t>
      </w:r>
      <w:r>
        <w:rPr>
          <w:rFonts w:ascii="Arial" w:hAnsi="Arial"/>
          <w:b w:val="0"/>
          <w:i w:val="0"/>
          <w:color w:val="111827"/>
          <w:sz w:val="24"/>
        </w:rPr>
        <w:t xml:space="preserve"> - esforço, formação, tempo) e suas recompensas (</w:t>
      </w:r>
      <w:r>
        <w:rPr>
          <w:rFonts w:ascii="Arial" w:hAnsi="Arial"/>
          <w:b w:val="0"/>
          <w:i/>
          <w:color w:val="111827"/>
          <w:sz w:val="24"/>
        </w:rPr>
        <w:t>outcomes</w:t>
      </w:r>
      <w:r>
        <w:rPr>
          <w:rFonts w:ascii="Arial" w:hAnsi="Arial"/>
          <w:b w:val="0"/>
          <w:i w:val="0"/>
          <w:color w:val="111827"/>
          <w:sz w:val="24"/>
        </w:rPr>
        <w:t xml:space="preserve"> - remuneração, elogios, prestígio) com a relação equivalente observada em colegas de referência:</w:t>
      </w:r>
    </w:p>
    <w:p>
      <w:pPr>
        <w:spacing w:line="360" w:lineRule="auto" w:before="0" w:after="80"/>
        <w:jc w:val="both"/>
      </w:pPr>
      <w:r>
        <w:rPr>
          <w:rFonts w:ascii="Arial" w:hAnsi="Arial"/>
          <w:b w:val="0"/>
          <w:i w:val="0"/>
          <w:color w:val="111827"/>
          <w:sz w:val="24"/>
        </w:rPr>
        <w:t>$</w:t>
      </w:r>
      <w:r>
        <w:rPr>
          <w:rFonts w:ascii="Cambria Math" w:hAnsi="Cambria Math"/>
          <w:i/>
          <w:color w:val="1B365D"/>
          <w:sz w:val="24"/>
        </w:rPr>
        <w:t>\frac{\text{Recompensas Próprias}}{\text{Insumos Próprios}} \quad \text{versus} \quad \frac{\text{Recompensas do Colega}}{\text{Insumos do Colega}}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Constatando </w:t>
      </w:r>
      <w:r>
        <w:rPr>
          <w:rFonts w:ascii="Arial" w:hAnsi="Arial"/>
          <w:b/>
          <w:i w:val="0"/>
          <w:color w:val="111827"/>
          <w:sz w:val="22"/>
        </w:rPr>
        <w:t>iniquidade desfavorável</w:t>
      </w:r>
      <w:r>
        <w:rPr>
          <w:rFonts w:ascii="Arial" w:hAnsi="Arial"/>
          <w:b w:val="0"/>
          <w:i w:val="0"/>
          <w:color w:val="111827"/>
          <w:sz w:val="22"/>
        </w:rPr>
        <w:t xml:space="preserve"> (ganha menos do que outros para a mesma carga de esforço), o indivíduo experimenta angústia e revolta, reagindo com queda intencional de produtividade, aumento do absenteísmo ou pedidos de exoneração/remoção.</w:t>
      </w:r>
    </w:p>
    <w:p>
      <w:pPr>
        <w:keepNext/>
        <w:spacing w:before="120" w:after="40"/>
      </w:pPr>
      <w:r>
        <w:rPr>
          <w:rFonts w:ascii="Arial" w:hAnsi="Arial"/>
          <w:b/>
          <w:i/>
          <w:color w:val="334155"/>
          <w:sz w:val="22"/>
        </w:rPr>
        <w:t>C) Teoria do Estabelecimento de Metas de Edwin Locke:</w:t>
      </w:r>
    </w:p>
    <w:p>
      <w:pPr>
        <w:spacing w:line="360" w:lineRule="auto" w:before="0" w:after="80"/>
        <w:jc w:val="both"/>
      </w:pPr>
      <w:r>
        <w:rPr>
          <w:rFonts w:ascii="Arial" w:hAnsi="Arial"/>
          <w:b w:val="0"/>
          <w:i w:val="0"/>
          <w:color w:val="111827"/>
          <w:sz w:val="24"/>
        </w:rPr>
        <w:t>Comprovou empiricamente que:</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Metas </w:t>
      </w:r>
      <w:r>
        <w:rPr>
          <w:rFonts w:ascii="Arial" w:hAnsi="Arial"/>
          <w:b/>
          <w:i w:val="0"/>
          <w:color w:val="111827"/>
          <w:sz w:val="22"/>
        </w:rPr>
        <w:t>específicas, mensuráveis e desafiadoras</w:t>
      </w:r>
      <w:r>
        <w:rPr>
          <w:rFonts w:ascii="Arial" w:hAnsi="Arial"/>
          <w:b w:val="0"/>
          <w:i w:val="0"/>
          <w:color w:val="111827"/>
          <w:sz w:val="22"/>
        </w:rPr>
        <w:t xml:space="preserve"> conduzem a desempenhos significativamente mais elevados do que metas fáceis ou genéricas ("faça o melhor que puder");</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fornecimento de </w:t>
      </w:r>
      <w:r>
        <w:rPr>
          <w:rFonts w:ascii="Arial" w:hAnsi="Arial"/>
          <w:b/>
          <w:i w:val="0"/>
          <w:color w:val="111827"/>
          <w:sz w:val="22"/>
        </w:rPr>
        <w:t>feedback constante</w:t>
      </w:r>
      <w:r>
        <w:rPr>
          <w:rFonts w:ascii="Arial" w:hAnsi="Arial"/>
          <w:b w:val="0"/>
          <w:i w:val="0"/>
          <w:color w:val="111827"/>
          <w:sz w:val="22"/>
        </w:rPr>
        <w:t xml:space="preserve"> é indispensável para orientar e sustentar o empenho do indivíduo;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A </w:t>
      </w:r>
      <w:r>
        <w:rPr>
          <w:rFonts w:ascii="Arial" w:hAnsi="Arial"/>
          <w:b/>
          <w:i w:val="0"/>
          <w:color w:val="111827"/>
          <w:sz w:val="22"/>
        </w:rPr>
        <w:t>participação dos servidores</w:t>
      </w:r>
      <w:r>
        <w:rPr>
          <w:rFonts w:ascii="Arial" w:hAnsi="Arial"/>
          <w:b w:val="0"/>
          <w:i w:val="0"/>
          <w:color w:val="111827"/>
          <w:sz w:val="22"/>
        </w:rPr>
        <w:t xml:space="preserve"> na fixação das metas eleva substancialmente seu nível de comprometimento com o resultado final.</w:t>
      </w:r>
    </w:p>
    <w:p>
      <w:pPr>
        <w:keepNext/>
        <w:spacing w:before="120" w:after="40"/>
      </w:pPr>
      <w:r>
        <w:rPr>
          <w:rFonts w:ascii="Arial" w:hAnsi="Arial"/>
          <w:b/>
          <w:i/>
          <w:color w:val="334155"/>
          <w:sz w:val="22"/>
        </w:rPr>
        <w:t>D) Teoria do Reforço de B.F. Skinner:</w:t>
      </w:r>
    </w:p>
    <w:p>
      <w:pPr>
        <w:spacing w:line="360" w:lineRule="auto" w:before="0" w:after="80"/>
        <w:jc w:val="both"/>
      </w:pPr>
      <w:r>
        <w:rPr>
          <w:rFonts w:ascii="Arial" w:hAnsi="Arial"/>
          <w:b w:val="0"/>
          <w:i w:val="0"/>
          <w:color w:val="111827"/>
          <w:sz w:val="24"/>
        </w:rPr>
        <w:t>Abordagem comportamentalista segundo a qual o comportamento é condicionado por suas consequências ambientais: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Reforço Positivo:</w:t>
      </w:r>
      <w:r>
        <w:rPr>
          <w:rFonts w:ascii="Arial" w:hAnsi="Arial"/>
          <w:b w:val="0"/>
          <w:i w:val="0"/>
          <w:color w:val="111827"/>
          <w:sz w:val="22"/>
        </w:rPr>
        <w:t xml:space="preserve"> Apresentação de um estímulo agradável (elogio, bônus) após a conduta desejada, aumentando a probabilidade de sua repetição.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Reforço Negativo:</w:t>
      </w:r>
      <w:r>
        <w:rPr>
          <w:rFonts w:ascii="Arial" w:hAnsi="Arial"/>
          <w:b w:val="0"/>
          <w:i w:val="0"/>
          <w:color w:val="111827"/>
          <w:sz w:val="22"/>
        </w:rPr>
        <w:t xml:space="preserve"> Remoção de uma consequência desagradável quando o indivíduo adota a conduta desejada (ex.: cessação de cobranças diárias quando o servidor entrega o relatório).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Punição:</w:t>
      </w:r>
      <w:r>
        <w:rPr>
          <w:rFonts w:ascii="Arial" w:hAnsi="Arial"/>
          <w:b w:val="0"/>
          <w:i w:val="0"/>
          <w:color w:val="111827"/>
          <w:sz w:val="22"/>
        </w:rPr>
        <w:t xml:space="preserve"> Aplicação de uma penalidade desagradável (advertência, corte salarial) para desestimular condutas censuráveis.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Extinção:</w:t>
      </w:r>
      <w:r>
        <w:rPr>
          <w:rFonts w:ascii="Arial" w:hAnsi="Arial"/>
          <w:b w:val="0"/>
          <w:i w:val="0"/>
          <w:color w:val="111827"/>
          <w:sz w:val="22"/>
        </w:rPr>
        <w:t xml:space="preserve"> Eliminação de qualquer recompensa que reforçava um comportamento inadequado, fazendo com que ele gradualmente desapareça.</w:t>
      </w:r>
    </w:p>
    <w:p>
      <w:pPr>
        <w:keepNext/>
        <w:spacing w:before="200" w:after="80"/>
      </w:pPr>
      <w:r>
        <w:rPr>
          <w:rFonts w:ascii="Arial" w:hAnsi="Arial"/>
          <w:b/>
          <w:i w:val="0"/>
          <w:color w:val="2B6CB0"/>
          <w:sz w:val="24"/>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ROBBINS, Stephen P.; JUDGE, Timothy A.; SOBRAL, Filipe. Comportamento Organizacional: teoria e prática no contexto brasileiro. 16ª Edição. Editora Pearson.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HERZBERG, Frederick. Mais uma vez: como você motiva seus funcionários? Harvard Business Review.</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MASLOW, Abraham H. Motivação e Personalidade. Editora Harper &amp; Row.</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VROOM, Victor H. Gestão e Motivação. John Wiley &amp; Sons.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LOCKE, Edwin A.; LATHAM, Gary P. A Theory of Goal Setting &amp; Task Performance. Prentice-Hall.</w:t>
      </w:r>
      <w:r>
        <w:rPr>
          <w:rFonts w:ascii="Arial" w:hAnsi="Arial"/>
          <w:b w:val="0"/>
          <w:i w:val="0"/>
          <w:color w:val="111827"/>
          <w:sz w:val="22"/>
        </w:rPr>
        <w:t>.</w:t>
      </w:r>
    </w:p>
    <w:p>
      <w:pPr>
        <w:keepNext/>
        <w:spacing w:before="200" w:after="80"/>
      </w:pPr>
      <w:r>
        <w:rPr>
          <w:rFonts w:ascii="Arial" w:hAnsi="Arial"/>
          <w:b/>
          <w:i w:val="0"/>
          <w:color w:val="2B6CB0"/>
          <w:sz w:val="24"/>
        </w:rPr>
        <w:t>7.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Determinado gestor público, objetivando elevar a motivação dos servidores do setor de protocolo, promoveu uma reforma completa no ambiente físico do trabalho, instalando mobiliário ergonômico moderno, ar-condicionado de última geração e ampliando a remuneração com novo benefício de alimentação. Não obstante as medidas adotadas, os índices de proatividade e dedicação às tarefas intelectuais do setor permaneceram inalterados após alguns meses. Sob a perspectiva da Teoria dos Dois Fatores formulada por Frederick Herzberg, a ausência de elevação da motivação explica-se porque: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As medidas implementadas atuaram exclusivamente sobre os fatores higiênicos, os quais são capazes de evitar a insatisfação funcional, mas não possuem a propriedade de gerar motivação genuína.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melhoria das condições físicas viola o princípio da equidade distributiva ao desconsiderar a valência das recompensas pecuniárias.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gestor ignorou a necessidade de autoafirmação primária prevista na base da pirâmide de Clayton Alderfer.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ambiente físico e o salário constituem fatores motivacionais de conteúdo que só produzem efeito quando associados a punições disciplinares.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mobiliário moderno reduz a expectativa de esforço, eliminando a instrumentalidade postulada por Victor Vroom.</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Segundo Frederick Herzberg, aspectos como ergonomia, ar-condicionado, condições de higiene predial e benefícios remuneratórios são </w:t>
            </w:r>
            <w:r>
              <w:rPr>
                <w:rFonts w:ascii="Arial" w:hAnsi="Arial"/>
                <w:b/>
                <w:i w:val="0"/>
                <w:color w:val="111827"/>
                <w:sz w:val="21"/>
              </w:rPr>
              <w:t>Fatores Higiênicos (Extrínsecos)</w:t>
            </w:r>
            <w:r>
              <w:rPr>
                <w:rFonts w:ascii="Arial" w:hAnsi="Arial"/>
                <w:b w:val="0"/>
                <w:i w:val="0"/>
                <w:color w:val="111827"/>
                <w:sz w:val="21"/>
              </w:rPr>
              <w:t xml:space="preserve">. A presença desses fatores em excelente nível é indispensável para evitar a insatisfação e reclamações dos servidores, mas é absolutamente incapaz de gerar motivação ou dedicação espontânea acima da média. A motivação decorre unicamente dos </w:t>
            </w:r>
            <w:r>
              <w:rPr>
                <w:rFonts w:ascii="Arial" w:hAnsi="Arial"/>
                <w:b/>
                <w:i w:val="0"/>
                <w:color w:val="111827"/>
                <w:sz w:val="21"/>
              </w:rPr>
              <w:t>Fatores Motivacionais (Intrínsecos)</w:t>
            </w:r>
            <w:r>
              <w:rPr>
                <w:rFonts w:ascii="Arial" w:hAnsi="Arial"/>
                <w:b w:val="0"/>
                <w:i w:val="0"/>
                <w:color w:val="111827"/>
                <w:sz w:val="21"/>
              </w:rPr>
              <w:t>, que dizem respeito ao desafio intelectual, responsabilidade, utilidade da tarefa e reconhecimento.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Trata-se da teoria bifatorial de Herzberg, não da equidade de Adams.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Alderfer dividiu as necessidades em Existência, Relacionamento e Crescimento.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Salário e ambiente são fatores higiênicos, e não motivacionais.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Mistura teorias de autores e premissas distintas.</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TCE-RS – Auditor de Controle Externo)</w:t>
      </w:r>
    </w:p>
    <w:p>
      <w:pPr>
        <w:spacing w:line="360" w:lineRule="auto" w:before="0" w:after="80"/>
        <w:jc w:val="both"/>
      </w:pPr>
      <w:r>
        <w:rPr>
          <w:rFonts w:ascii="Arial" w:hAnsi="Arial"/>
          <w:b w:val="0"/>
          <w:i w:val="0"/>
          <w:color w:val="111827"/>
          <w:sz w:val="24"/>
        </w:rPr>
        <w:t>Segundo a Teoria da Expectativa desenvolvida por Victor Vroom, a motivação de um indivíduo para se dedicar com afinco a uma atividade profissional resulta da interação cognitiva entre três variáveis fundamentais. A convicção pessoal de um servidor de que o alcance do desempenho esperado e a conclusão da meta pactuada serão efetivamente seguidos pela entrega da recompensa institucional prometida pela organização traduz o conceito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Valência.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Instrumentalidade.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Expectativa.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Equidade comparativa.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Locus de controle externo.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Valência é o grau de atratividade e valor pessoal que a recompensa possui para o servidor.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 modelo de Victor Vroom:</w:t>
            </w:r>
          </w:p>
          <w:p>
            <w:pPr>
              <w:spacing w:line="288" w:lineRule="auto" w:before="40" w:after="40"/>
            </w:pPr>
            <w:r>
              <w:rPr>
                <w:rFonts w:ascii="Arial" w:hAnsi="Arial"/>
                <w:b w:val="0"/>
                <w:i w:val="0"/>
                <w:color w:val="111827"/>
                <w:sz w:val="21"/>
              </w:rPr>
              <w:t xml:space="preserve">- </w:t>
            </w:r>
            <w:r>
              <w:rPr>
                <w:rFonts w:ascii="Arial" w:hAnsi="Arial"/>
                <w:b w:val="0"/>
                <w:i/>
                <w:color w:val="111827"/>
                <w:sz w:val="21"/>
              </w:rPr>
              <w:t>Expectativa:</w:t>
            </w:r>
            <w:r>
              <w:rPr>
                <w:rFonts w:ascii="Arial" w:hAnsi="Arial"/>
                <w:b w:val="0"/>
                <w:i w:val="0"/>
                <w:color w:val="111827"/>
                <w:sz w:val="21"/>
              </w:rPr>
              <w:t xml:space="preserve"> É a crença de que o </w:t>
            </w:r>
            <w:r>
              <w:rPr>
                <w:rFonts w:ascii="Arial" w:hAnsi="Arial"/>
                <w:b/>
                <w:i w:val="0"/>
                <w:color w:val="111827"/>
                <w:sz w:val="21"/>
              </w:rPr>
              <w:t>Esforço levará ao Desempenho</w:t>
            </w:r>
            <w:r>
              <w:rPr>
                <w:rFonts w:ascii="Arial" w:hAnsi="Arial"/>
                <w:b w:val="0"/>
                <w:i w:val="0"/>
                <w:color w:val="111827"/>
                <w:sz w:val="21"/>
              </w:rPr>
              <w:t xml:space="preserve"> (acreditar na própria competência para atingir a meta).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Instrumentalidade:</w:t>
            </w:r>
            <w:r>
              <w:rPr>
                <w:rFonts w:ascii="Arial" w:hAnsi="Arial"/>
                <w:b w:val="0"/>
                <w:i w:val="0"/>
                <w:color w:val="111827"/>
                <w:sz w:val="21"/>
              </w:rPr>
              <w:t xml:space="preserve"> É a crença de que o </w:t>
            </w:r>
            <w:r>
              <w:rPr>
                <w:rFonts w:ascii="Arial" w:hAnsi="Arial"/>
                <w:b/>
                <w:i w:val="0"/>
                <w:color w:val="111827"/>
                <w:sz w:val="21"/>
              </w:rPr>
              <w:t>Desempenho alcançado levará à Recompensa prometida</w:t>
            </w:r>
            <w:r>
              <w:rPr>
                <w:rFonts w:ascii="Arial" w:hAnsi="Arial"/>
                <w:b w:val="0"/>
                <w:i w:val="0"/>
                <w:color w:val="111827"/>
                <w:sz w:val="21"/>
              </w:rPr>
              <w:t xml:space="preserve"> (confiança de que a instituição entregará o benefício prometido se a meta for batida).</w:t>
            </w:r>
          </w:p>
          <w:p>
            <w:pPr>
              <w:spacing w:line="288" w:lineRule="auto" w:before="40" w:after="40"/>
            </w:pPr>
            <w:r>
              <w:rPr>
                <w:rFonts w:ascii="Arial" w:hAnsi="Arial"/>
                <w:b w:val="0"/>
                <w:i w:val="0"/>
                <w:color w:val="111827"/>
                <w:sz w:val="21"/>
              </w:rPr>
              <w:t xml:space="preserve">- </w:t>
            </w:r>
            <w:r>
              <w:rPr>
                <w:rFonts w:ascii="Arial" w:hAnsi="Arial"/>
                <w:b w:val="0"/>
                <w:i/>
                <w:color w:val="111827"/>
                <w:sz w:val="21"/>
              </w:rPr>
              <w:t>Valência:</w:t>
            </w:r>
            <w:r>
              <w:rPr>
                <w:rFonts w:ascii="Arial" w:hAnsi="Arial"/>
                <w:b w:val="0"/>
                <w:i w:val="0"/>
                <w:color w:val="111827"/>
                <w:sz w:val="21"/>
              </w:rPr>
              <w:t xml:space="preserve"> É a relação entre a </w:t>
            </w:r>
            <w:r>
              <w:rPr>
                <w:rFonts w:ascii="Arial" w:hAnsi="Arial"/>
                <w:b/>
                <w:i w:val="0"/>
                <w:color w:val="111827"/>
                <w:sz w:val="21"/>
              </w:rPr>
              <w:t>Recompensa e os Objetivos Pessoais</w:t>
            </w:r>
            <w:r>
              <w:rPr>
                <w:rFonts w:ascii="Arial" w:hAnsi="Arial"/>
                <w:b w:val="0"/>
                <w:i w:val="0"/>
                <w:color w:val="111827"/>
                <w:sz w:val="21"/>
              </w:rPr>
              <w:t xml:space="preserve"> (o apreço subjetivo pelo benefício).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Expectativa refere-se à relação esforço-desempenho.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Equidade pertence à teoria de J. Stacy Adams.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Locus de controle é conceito de traço de personalidade.</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TRT-20ª Região – Analista Judiciário: Área Administrativa)</w:t>
      </w:r>
    </w:p>
    <w:p>
      <w:pPr>
        <w:spacing w:line="360" w:lineRule="auto" w:before="0" w:after="80"/>
        <w:jc w:val="both"/>
      </w:pPr>
      <w:r>
        <w:rPr>
          <w:rFonts w:ascii="Arial" w:hAnsi="Arial"/>
          <w:b w:val="0"/>
          <w:i w:val="0"/>
          <w:color w:val="111827"/>
          <w:sz w:val="24"/>
        </w:rPr>
        <w:t>No modelo dos Cinco Grandes Fatores de Personalidade (</w:t>
      </w:r>
      <w:r>
        <w:rPr>
          <w:rFonts w:ascii="Arial" w:hAnsi="Arial"/>
          <w:b w:val="0"/>
          <w:i/>
          <w:color w:val="111827"/>
          <w:sz w:val="24"/>
        </w:rPr>
        <w:t>Big Five</w:t>
      </w:r>
      <w:r>
        <w:rPr>
          <w:rFonts w:ascii="Arial" w:hAnsi="Arial"/>
          <w:b w:val="0"/>
          <w:i w:val="0"/>
          <w:color w:val="111827"/>
          <w:sz w:val="24"/>
        </w:rPr>
        <w:t>), amplamente adotado nas pesquisas contemporâneas de comportamento organizacional, o traço que se revelou empiricamente como o preditor mais consistente e fidedigno de alto desempenho profissional na ampla maioria das ocupações é 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Extroversão.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Conscienciosidade.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Agradabilidade.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Abertura a Experiências.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Estabilidade Emocional.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extroversão prediz desempenho em funções comerciais e de liderança política, mas não de modo universal.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Centenas de pesquisas em Comportamento Organizacional comprovam que a </w:t>
            </w:r>
            <w:r>
              <w:rPr>
                <w:rFonts w:ascii="Arial" w:hAnsi="Arial"/>
                <w:b/>
                <w:i w:val="0"/>
                <w:color w:val="111827"/>
                <w:sz w:val="21"/>
              </w:rPr>
              <w:t>Conscienciosidade</w:t>
            </w:r>
            <w:r>
              <w:rPr>
                <w:rFonts w:ascii="Arial" w:hAnsi="Arial"/>
                <w:b w:val="0"/>
                <w:i w:val="0"/>
                <w:color w:val="111827"/>
                <w:sz w:val="21"/>
              </w:rPr>
              <w:t xml:space="preserve"> (associada a alto senso de responsabilidade, rigor, organização, persistência, confiabilidade e foco em metas) é o fator do </w:t>
            </w:r>
            <w:r>
              <w:rPr>
                <w:rFonts w:ascii="Arial" w:hAnsi="Arial"/>
                <w:b w:val="0"/>
                <w:i/>
                <w:color w:val="111827"/>
                <w:sz w:val="21"/>
              </w:rPr>
              <w:t>Big Five</w:t>
            </w:r>
            <w:r>
              <w:rPr>
                <w:rFonts w:ascii="Arial" w:hAnsi="Arial"/>
                <w:b w:val="0"/>
                <w:i w:val="0"/>
                <w:color w:val="111827"/>
                <w:sz w:val="21"/>
              </w:rPr>
              <w:t xml:space="preserve"> que possui correlação positiva mais forte e consistente com o bom desempenho profissional em quase todas as carreiras.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agradabilidade favorece o trabalho em equipe, mas não é o principal preditor geral.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Abertura a experiências correlaciona-se com criatividade e adaptabilidade, mas não com desempenho padronizado contínuo.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Estabilidade emocional evita estresse, mas não garante disciplina produtiva.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SEFAZ-PE – Auditor Fiscal do Tesouro Estadual)</w:t>
      </w:r>
    </w:p>
    <w:p>
      <w:pPr>
        <w:spacing w:line="360" w:lineRule="auto" w:before="0" w:after="80"/>
        <w:jc w:val="both"/>
      </w:pPr>
      <w:r>
        <w:rPr>
          <w:rFonts w:ascii="Arial" w:hAnsi="Arial"/>
          <w:b w:val="0"/>
          <w:i w:val="0"/>
          <w:color w:val="111827"/>
          <w:sz w:val="24"/>
        </w:rPr>
        <w:t>Um auditor fiscal estadual constatou que um colega recém-empossado na mesma gerência, desempenhando idênticas tarefas de fiscalização tributária e possuindo formação equivalente, foi contemplado com uma gratificação especial de produtividade 50% superior sem justificativa plausível de mérito. O auditor sentiu-se revoltado e passou a reduzir propositalmente seu ritmo diário de autuações e a faltar com frequência aos plantões fiscais. O comportamento adotado pelo auditor é explicado primordialmente pela: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Teoria da Dissonância Comportamental de Skinner.</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Teoria da Hierarquia das Necessidades de Maslow.</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Teoria da Equidade de J. Stacy Adams.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Teoria X de Douglas McGregor.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Teoria da Racionalidade Absoluta dos Processos.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Skinner é o autor da teoria do reforço operante.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Maslow trata da hierarquia fisiológica até autorrealização.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A </w:t>
            </w:r>
            <w:r>
              <w:rPr>
                <w:rFonts w:ascii="Arial" w:hAnsi="Arial"/>
                <w:b/>
                <w:i w:val="0"/>
                <w:color w:val="111827"/>
                <w:sz w:val="21"/>
              </w:rPr>
              <w:t>Teoria da Equidade de J. Stacy Adams</w:t>
            </w:r>
            <w:r>
              <w:rPr>
                <w:rFonts w:ascii="Arial" w:hAnsi="Arial"/>
                <w:b w:val="0"/>
                <w:i w:val="0"/>
                <w:color w:val="111827"/>
                <w:sz w:val="21"/>
              </w:rPr>
              <w:t xml:space="preserve"> postula que os indivíduos comparam sua relação Resultados/Insumos com a relação de outros profissionais comparáveis. Ao constatar que o colega recebe recompensa desproporcionalmente maior para o mesmo esforço (iniquidade negativa sentida), o trabalhador busca restaurar o equilíbrio reduzindo seus insumos de trabalho (diminuindo o ritmo e faltando ao serviço).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Teoria X de McGregor retrata pressupostos gerenciais autoritários sobre trabalhadores preguiçosos.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Opção sem respaldo teórico na psicologia motivacional.</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DPE-RS – Analista: Área Administrativa)</w:t>
      </w:r>
    </w:p>
    <w:p>
      <w:pPr>
        <w:spacing w:line="360" w:lineRule="auto" w:before="0" w:after="80"/>
        <w:jc w:val="both"/>
      </w:pPr>
      <w:r>
        <w:rPr>
          <w:rFonts w:ascii="Arial" w:hAnsi="Arial"/>
          <w:b w:val="0"/>
          <w:i w:val="0"/>
          <w:color w:val="111827"/>
          <w:sz w:val="24"/>
        </w:rPr>
        <w:t>A respeito das dimensões do comprometimento organizacional formuladas por John Meyer e Natalie Allen, considere a situação em que um servidor público federal recusa uma proposta de trabalho na iniciativa privada porque sente que a organização em que atua cumpriu um papel fundamental na sua formação profissional inicial, experimentando um profundo senso de obrigação moral e lealdade ética de permanecer servindo àquela instituição pública. Trata-se de um exemplo de comprometimento: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Instrumental.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De Continuação.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Normativo.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Dissonante.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Reativo.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e B) Incorretas.</w:t>
            </w:r>
            <w:r>
              <w:rPr>
                <w:rFonts w:ascii="Arial" w:hAnsi="Arial"/>
                <w:b w:val="0"/>
                <w:i w:val="0"/>
                <w:color w:val="111827"/>
                <w:sz w:val="21"/>
              </w:rPr>
              <w:t xml:space="preserve"> O comprometimento instrumental (ou de continuação) baseia-se na dependência financeira e no receio dos custos de deixar o emprego (permanece porque precisa).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w:t>
            </w:r>
            <w:r>
              <w:rPr>
                <w:rFonts w:ascii="Arial" w:hAnsi="Arial"/>
                <w:b/>
                <w:i w:val="0"/>
                <w:color w:val="111827"/>
                <w:sz w:val="21"/>
              </w:rPr>
              <w:t>Comprometimento Normativo</w:t>
            </w:r>
            <w:r>
              <w:rPr>
                <w:rFonts w:ascii="Arial" w:hAnsi="Arial"/>
                <w:b w:val="0"/>
                <w:i w:val="0"/>
                <w:color w:val="111827"/>
                <w:sz w:val="21"/>
              </w:rPr>
              <w:t xml:space="preserve"> reflete a obrigação moral e o sentimento de dever ético de permanecer na organização (o indivíduo fica porque </w:t>
            </w:r>
            <w:r>
              <w:rPr>
                <w:rFonts w:ascii="Arial" w:hAnsi="Arial"/>
                <w:b/>
                <w:i w:val="0"/>
                <w:color w:val="111827"/>
                <w:sz w:val="21"/>
              </w:rPr>
              <w:t>sente que deve</w:t>
            </w:r>
            <w:r>
              <w:rPr>
                <w:rFonts w:ascii="Arial" w:hAnsi="Arial"/>
                <w:b w:val="0"/>
                <w:i w:val="0"/>
                <w:color w:val="111827"/>
                <w:sz w:val="21"/>
              </w:rPr>
              <w:t>, movido por lealdade ou gratidão pela entidade).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e E) Incorretas.</w:t>
            </w:r>
            <w:r>
              <w:rPr>
                <w:rFonts w:ascii="Arial" w:hAnsi="Arial"/>
                <w:b w:val="0"/>
                <w:i w:val="0"/>
                <w:color w:val="111827"/>
                <w:sz w:val="21"/>
              </w:rPr>
              <w:t xml:space="preserve"> Termos não contemplados no modelo de três componentes de Meyer e Allen (que são: Afetivo, Instrumental e Normativo).</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02 - Grupos, Equipes de Trabalho, Teorias da Liderança e Comunicação Organizacional</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Comportamento Organizacional</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02_grupos_equipes_lideranca_e_comunicacao_organizacional.md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Grupos versus Equipes de Trabalho nas organizações: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Conceito de grupo (interação social para compartilhar informações) versus equipe de trabalho (sinergia positiva, esforço coordenado e responsabilidade mútua compartilhada);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Tipologia das equipes: equipes de resolução de problemas, equipes autogerenciadas, equipes multifuncionais (</w:t>
      </w:r>
      <w:r>
        <w:rPr>
          <w:rFonts w:ascii="Arial" w:hAnsi="Arial"/>
          <w:b w:val="0"/>
          <w:i/>
          <w:color w:val="111827"/>
          <w:sz w:val="22"/>
        </w:rPr>
        <w:t>cross-functional</w:t>
      </w:r>
      <w:r>
        <w:rPr>
          <w:rFonts w:ascii="Arial" w:hAnsi="Arial"/>
          <w:b w:val="0"/>
          <w:i w:val="0"/>
          <w:color w:val="111827"/>
          <w:sz w:val="22"/>
        </w:rPr>
        <w:t>) e equipes virtuais;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modelo de desenvolvimento de grupos de Bruce Tuckman: Formação (</w:t>
      </w:r>
      <w:r>
        <w:rPr>
          <w:rFonts w:ascii="Arial" w:hAnsi="Arial"/>
          <w:b w:val="0"/>
          <w:i/>
          <w:color w:val="111827"/>
          <w:sz w:val="22"/>
        </w:rPr>
        <w:t>Forming</w:t>
      </w:r>
      <w:r>
        <w:rPr>
          <w:rFonts w:ascii="Arial" w:hAnsi="Arial"/>
          <w:b w:val="0"/>
          <w:i w:val="0"/>
          <w:color w:val="111827"/>
          <w:sz w:val="22"/>
        </w:rPr>
        <w:t>), Conflito/Tormenta (</w:t>
      </w:r>
      <w:r>
        <w:rPr>
          <w:rFonts w:ascii="Arial" w:hAnsi="Arial"/>
          <w:b w:val="0"/>
          <w:i/>
          <w:color w:val="111827"/>
          <w:sz w:val="22"/>
        </w:rPr>
        <w:t>Storming</w:t>
      </w:r>
      <w:r>
        <w:rPr>
          <w:rFonts w:ascii="Arial" w:hAnsi="Arial"/>
          <w:b w:val="0"/>
          <w:i w:val="0"/>
          <w:color w:val="111827"/>
          <w:sz w:val="22"/>
        </w:rPr>
        <w:t>), Normatização (</w:t>
      </w:r>
      <w:r>
        <w:rPr>
          <w:rFonts w:ascii="Arial" w:hAnsi="Arial"/>
          <w:b w:val="0"/>
          <w:i/>
          <w:color w:val="111827"/>
          <w:sz w:val="22"/>
        </w:rPr>
        <w:t>Norming</w:t>
      </w:r>
      <w:r>
        <w:rPr>
          <w:rFonts w:ascii="Arial" w:hAnsi="Arial"/>
          <w:b w:val="0"/>
          <w:i w:val="0"/>
          <w:color w:val="111827"/>
          <w:sz w:val="22"/>
        </w:rPr>
        <w:t>), Desempenho (</w:t>
      </w:r>
      <w:r>
        <w:rPr>
          <w:rFonts w:ascii="Arial" w:hAnsi="Arial"/>
          <w:b w:val="0"/>
          <w:i/>
          <w:color w:val="111827"/>
          <w:sz w:val="22"/>
        </w:rPr>
        <w:t>Performing</w:t>
      </w:r>
      <w:r>
        <w:rPr>
          <w:rFonts w:ascii="Arial" w:hAnsi="Arial"/>
          <w:b w:val="0"/>
          <w:i w:val="0"/>
          <w:color w:val="111827"/>
          <w:sz w:val="22"/>
        </w:rPr>
        <w:t>) e Desintegração (</w:t>
      </w:r>
      <w:r>
        <w:rPr>
          <w:rFonts w:ascii="Arial" w:hAnsi="Arial"/>
          <w:b w:val="0"/>
          <w:i/>
          <w:color w:val="111827"/>
          <w:sz w:val="22"/>
        </w:rPr>
        <w:t>Adjourning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Teorias e Estilos de Liderança: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Conceito de liderança e a distinção clássica entre Líder (influência legítima conquistada) e Chefe/Gerente (autoridade formal outorgada);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Teoria dos Traços de Personalidade e suas limitações históricas;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Teorias Comportamentais: estilos clássicos de White e Lippitt (Autocrática, Democrática e Liberal / </w:t>
      </w:r>
      <w:r>
        <w:rPr>
          <w:rFonts w:ascii="Arial" w:hAnsi="Arial"/>
          <w:b w:val="0"/>
          <w:i/>
          <w:color w:val="111827"/>
          <w:sz w:val="22"/>
        </w:rPr>
        <w:t>Laissez-Faire</w:t>
      </w:r>
      <w:r>
        <w:rPr>
          <w:rFonts w:ascii="Arial" w:hAnsi="Arial"/>
          <w:b w:val="0"/>
          <w:i w:val="0"/>
          <w:color w:val="111827"/>
          <w:sz w:val="22"/>
        </w:rPr>
        <w:t xml:space="preserve">); o </w:t>
      </w:r>
      <w:r>
        <w:rPr>
          <w:rFonts w:ascii="Arial" w:hAnsi="Arial"/>
          <w:b w:val="0"/>
          <w:i/>
          <w:color w:val="111827"/>
          <w:sz w:val="22"/>
        </w:rPr>
        <w:t>Grid Gerencial</w:t>
      </w:r>
      <w:r>
        <w:rPr>
          <w:rFonts w:ascii="Arial" w:hAnsi="Arial"/>
          <w:b w:val="0"/>
          <w:i w:val="0"/>
          <w:color w:val="111827"/>
          <w:sz w:val="22"/>
        </w:rPr>
        <w:t xml:space="preserve"> de Blake e Mouton (tarefa vs. pessoas);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Teorias Situacionais e Contingenciais: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Modelo de Fred Fiedler (escala CMP e favorabilidade situacional);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Teoria da Liderança Situacional de Paul Hersey e Kenneth Blanchard (maturidade dos liderados M1 a M4: Determinar, Persuadir, Compartilhar e Delegar);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Teoria Caminho-Meta (</w:t>
      </w:r>
      <w:r>
        <w:rPr>
          <w:rFonts w:ascii="Arial" w:hAnsi="Arial"/>
          <w:b w:val="0"/>
          <w:i/>
          <w:color w:val="111827"/>
          <w:sz w:val="22"/>
        </w:rPr>
        <w:t>Path-Goal</w:t>
      </w:r>
      <w:r>
        <w:rPr>
          <w:rFonts w:ascii="Arial" w:hAnsi="Arial"/>
          <w:b w:val="0"/>
          <w:i w:val="0"/>
          <w:color w:val="111827"/>
          <w:sz w:val="22"/>
        </w:rPr>
        <w:t>) de Robert House (diretivo, apoiador, participativo e orientado para conquista);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Abordagens Contemporâneas de Liderança: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Liderança Transacional (troca de recompensas contingentes e gestão por exceção) versus Liderança Transformacional (os 4 Is de Bass: influência idealizada, motivação inspiradora, estimulação intelectual e consideração individualizada);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Liderança Servidora (</w:t>
      </w:r>
      <w:r>
        <w:rPr>
          <w:rFonts w:ascii="Arial" w:hAnsi="Arial"/>
          <w:b w:val="0"/>
          <w:i/>
          <w:color w:val="111827"/>
          <w:sz w:val="22"/>
        </w:rPr>
        <w:t>Servant Leadership</w:t>
      </w:r>
      <w:r>
        <w:rPr>
          <w:rFonts w:ascii="Arial" w:hAnsi="Arial"/>
          <w:b w:val="0"/>
          <w:i w:val="0"/>
          <w:color w:val="111827"/>
          <w:sz w:val="22"/>
        </w:rPr>
        <w:t>) e Liderança Autêntica;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Processo de Comunicação Organizacional: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Elementos do processo comunicacional: emissor, codificação, mensagem, canal, ruído, decodificação, receptor e </w:t>
      </w:r>
      <w:r>
        <w:rPr>
          <w:rFonts w:ascii="Arial" w:hAnsi="Arial"/>
          <w:b w:val="0"/>
          <w:i/>
          <w:color w:val="111827"/>
          <w:sz w:val="22"/>
        </w:rPr>
        <w:t>feedback</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Fluxos e redes de comunicação: descendente, ascendente, horizontal/lateral e diagonal;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Barreiras à comunicação interpessoal: filtragem deliberada, percepção seletiva, sobrecarga informacional, desconfiança e barreiras semânticas.</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Grupos de Trabalho versus Equipes de Trabalho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 Modelo de Desenvolvimento de Grupos de Bruce Tuckman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Evolução das Teorias de Liderança e a Liderança Situacional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Liderança Transacional vs. Liderança Transformacional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O Processo de Comunicação Organizacional e suas Barreiras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de Concurso FCC Comentadas</w:t>
      </w:r>
    </w:p>
    <w:p>
      <w:pPr>
        <w:keepNext/>
        <w:spacing w:before="280" w:after="120"/>
      </w:pPr>
      <w:r>
        <w:rPr>
          <w:rFonts w:ascii="Arial" w:hAnsi="Arial"/>
          <w:b/>
          <w:i w:val="0"/>
          <w:color w:val="2C5282"/>
          <w:sz w:val="28"/>
        </w:rPr>
        <w:t>📖 Resumo Teórico Aprofundado &amp; Esquematizado</w:t>
      </w:r>
    </w:p>
    <w:p>
      <w:pPr>
        <w:keepNext/>
        <w:spacing w:before="200" w:after="80"/>
      </w:pPr>
      <w:r>
        <w:rPr>
          <w:rFonts w:ascii="Arial" w:hAnsi="Arial"/>
          <w:b/>
          <w:i w:val="0"/>
          <w:color w:val="2B6CB0"/>
          <w:sz w:val="24"/>
        </w:rPr>
        <w:t>1. Grupos de Trabalho versus Equipes de Trabalho</w:t>
      </w:r>
    </w:p>
    <w:p>
      <w:pPr>
        <w:spacing w:line="360" w:lineRule="auto" w:before="0" w:after="80"/>
        <w:jc w:val="both"/>
      </w:pPr>
      <w:r>
        <w:rPr>
          <w:rFonts w:ascii="Arial" w:hAnsi="Arial"/>
          <w:b w:val="0"/>
          <w:i w:val="0"/>
          <w:color w:val="111827"/>
          <w:sz w:val="24"/>
        </w:rPr>
        <w:t>A distinção teórica entre grupo e equipe de trabalho é um dos pilares mais frequentes em provas de Comportamento Organizacional:</w:t>
      </w:r>
    </w:p>
    <w:p>
      <w:pPr>
        <w:spacing w:after="120"/>
      </w:pPr>
    </w:p>
    <w:p>
      <w:pPr>
        <w:keepNext/>
        <w:spacing w:before="120" w:after="40"/>
      </w:pPr>
      <w:r>
        <w:rPr>
          <w:rFonts w:ascii="Arial" w:hAnsi="Arial"/>
          <w:b/>
          <w:i/>
          <w:color w:val="334155"/>
          <w:sz w:val="22"/>
        </w:rPr>
        <w:t>Tabela Comparativa Analítica:</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Grupo de Trabalho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Equipe de Trabalho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Objetivo Central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Compartilhar informações e tomar decisões para apoiar o desempenho individual de cada membro.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Desempenho coletivo e entrega conjunta de metas institucionais comuns.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Padrão de Sinergia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Neutra</w:t>
            </w:r>
            <w:r>
              <w:rPr>
                <w:rFonts w:ascii="Arial" w:hAnsi="Arial"/>
                <w:b w:val="0"/>
                <w:i w:val="0"/>
                <w:color w:val="111827"/>
                <w:sz w:val="19"/>
              </w:rPr>
              <w:t xml:space="preserve"> (às vezes negativa, decorrente de descoordenação ou conflitos disfuncionais).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Positiva</w:t>
            </w:r>
            <w:r>
              <w:rPr>
                <w:rFonts w:ascii="Arial" w:hAnsi="Arial"/>
                <w:b w:val="0"/>
                <w:i w:val="0"/>
                <w:color w:val="111827"/>
                <w:sz w:val="19"/>
              </w:rPr>
              <w:t xml:space="preserve"> (</w:t>
            </w:r>
            <w:r>
              <w:rPr>
                <w:rFonts w:ascii="Cambria Math" w:hAnsi="Cambria Math"/>
                <w:i/>
                <w:color w:val="1B365D"/>
                <w:sz w:val="19"/>
              </w:rPr>
              <w:t>1 + 1 &gt; 2</w:t>
            </w:r>
            <w:r>
              <w:rPr>
                <w:rFonts w:ascii="Arial" w:hAnsi="Arial"/>
                <w:b w:val="0"/>
                <w:i w:val="0"/>
                <w:color w:val="111827"/>
                <w:sz w:val="19"/>
              </w:rPr>
              <w:t>: o resultado coletivo excede a soma das partes).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Responsabilidade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Individual e isolada (cada um responde unicamente por seu quinhão).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Mútua e solidária</w:t>
            </w:r>
            <w:r>
              <w:rPr>
                <w:rFonts w:ascii="Arial" w:hAnsi="Arial"/>
                <w:b w:val="0"/>
                <w:i w:val="0"/>
                <w:color w:val="111827"/>
                <w:sz w:val="19"/>
              </w:rPr>
              <w:t xml:space="preserve"> (todos respondem pelo sucesso ou insucesso da entrega).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Habilidades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Aleatórias, sobrepostas ou desarticuladas.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Complementares</w:t>
            </w:r>
            <w:r>
              <w:rPr>
                <w:rFonts w:ascii="Arial" w:hAnsi="Arial"/>
                <w:b w:val="0"/>
                <w:i w:val="0"/>
                <w:color w:val="111827"/>
                <w:sz w:val="19"/>
              </w:rPr>
              <w:t xml:space="preserve"> (conhecimentos técnicos diversos que se completam).</w:t>
            </w:r>
          </w:p>
        </w:tc>
      </w:tr>
    </w:tbl>
    <w:p>
      <w:pPr>
        <w:spacing w:after="120"/>
      </w:pPr>
    </w:p>
    <w:p>
      <w:pPr>
        <w:keepNext/>
        <w:spacing w:before="120" w:after="40"/>
      </w:pPr>
      <w:r>
        <w:rPr>
          <w:rFonts w:ascii="Arial" w:hAnsi="Arial"/>
          <w:b/>
          <w:i/>
          <w:color w:val="334155"/>
          <w:sz w:val="22"/>
        </w:rPr>
        <w:t>Tipologia das Equipes nas Organizações: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Equipes de Resolução de Problemas:</w:t>
      </w:r>
      <w:r>
        <w:rPr>
          <w:rFonts w:ascii="Arial" w:hAnsi="Arial"/>
          <w:b w:val="0"/>
          <w:i w:val="0"/>
          <w:color w:val="111827"/>
          <w:sz w:val="22"/>
        </w:rPr>
        <w:t xml:space="preserve"> Grupos temporários formados por servidores do mesmo setor que se reúnem semanalmente para propor melhorias em processos e rotinas.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Equipes Autogerenciadas:</w:t>
      </w:r>
      <w:r>
        <w:rPr>
          <w:rFonts w:ascii="Arial" w:hAnsi="Arial"/>
          <w:b w:val="0"/>
          <w:i w:val="0"/>
          <w:color w:val="111827"/>
          <w:sz w:val="22"/>
        </w:rPr>
        <w:t xml:space="preserve"> Equipes autônomas com elevado poder decisório, que executam tarefas operacionais completas, elegem seus líderes rotativos e planejam suas próprias escalas de trabalho sem supervisão hierárquica direta constante.</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**Equipes Multifuncionais (</w:t>
      </w:r>
      <w:r>
        <w:rPr>
          <w:rFonts w:ascii="Arial" w:hAnsi="Arial"/>
          <w:b w:val="0"/>
          <w:i/>
          <w:color w:val="111827"/>
          <w:sz w:val="22"/>
        </w:rPr>
        <w:t>Cross-Functional</w:t>
      </w:r>
      <w:r>
        <w:rPr>
          <w:rFonts w:ascii="Arial" w:hAnsi="Arial"/>
          <w:b w:val="0"/>
          <w:i w:val="0"/>
          <w:color w:val="111827"/>
          <w:sz w:val="22"/>
        </w:rPr>
        <w:t>):** Reúnem profissionais de diferentes áreas funcionais (ex.: auditor contábil, analista de TI, engenheiro de obras e procurador jurídico) para trabalhar em projetos interdisciplinares complexos.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Equipes Virtuais:</w:t>
      </w:r>
      <w:r>
        <w:rPr>
          <w:rFonts w:ascii="Arial" w:hAnsi="Arial"/>
          <w:b w:val="0"/>
          <w:i w:val="0"/>
          <w:color w:val="111827"/>
          <w:sz w:val="22"/>
        </w:rPr>
        <w:t xml:space="preserve"> Utilizam tecnologias de colaboração online para conectar servidores geograficamente dispersos em prol de objetivos comuns.</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(SINERGIA POSITIVA EM EQUIPES):</w:t>
            </w:r>
          </w:p>
          <w:p>
            <w:pPr>
              <w:spacing w:line="288" w:lineRule="auto" w:before="40" w:after="40"/>
            </w:pPr>
            <w:r>
              <w:rPr>
                <w:rFonts w:ascii="Arial" w:hAnsi="Arial"/>
                <w:b w:val="0"/>
                <w:i w:val="0"/>
                <w:color w:val="111827"/>
                <w:sz w:val="21"/>
              </w:rPr>
              <w:t xml:space="preserve">Em provas da FCC, lembre-se de que a </w:t>
            </w:r>
            <w:r>
              <w:rPr>
                <w:rFonts w:ascii="Arial" w:hAnsi="Arial"/>
                <w:b/>
                <w:i w:val="0"/>
                <w:color w:val="111827"/>
                <w:sz w:val="21"/>
              </w:rPr>
              <w:t>sinergia positiva ($1 + 1 &gt; 2$)</w:t>
            </w:r>
            <w:r>
              <w:rPr>
                <w:rFonts w:ascii="Arial" w:hAnsi="Arial"/>
                <w:b w:val="0"/>
                <w:i w:val="0"/>
                <w:color w:val="111827"/>
                <w:sz w:val="21"/>
              </w:rPr>
              <w:t xml:space="preserve"> é o traço distintivo nuclear das </w:t>
            </w:r>
            <w:r>
              <w:rPr>
                <w:rFonts w:ascii="Arial" w:hAnsi="Arial"/>
                <w:b/>
                <w:i w:val="0"/>
                <w:color w:val="111827"/>
                <w:sz w:val="21"/>
              </w:rPr>
              <w:t>Equipes de Trabalho</w:t>
            </w:r>
            <w:r>
              <w:rPr>
                <w:rFonts w:ascii="Arial" w:hAnsi="Arial"/>
                <w:b w:val="0"/>
                <w:i w:val="0"/>
                <w:color w:val="111827"/>
                <w:sz w:val="21"/>
              </w:rPr>
              <w:t xml:space="preserve">. Em meros </w:t>
            </w:r>
            <w:r>
              <w:rPr>
                <w:rFonts w:ascii="Arial" w:hAnsi="Arial"/>
                <w:b/>
                <w:i w:val="0"/>
                <w:color w:val="111827"/>
                <w:sz w:val="21"/>
              </w:rPr>
              <w:t>Grupos de Trabalho</w:t>
            </w:r>
            <w:r>
              <w:rPr>
                <w:rFonts w:ascii="Arial" w:hAnsi="Arial"/>
                <w:b w:val="0"/>
                <w:i w:val="0"/>
                <w:color w:val="111827"/>
                <w:sz w:val="21"/>
              </w:rPr>
              <w:t xml:space="preserve">, a sinergia é </w:t>
            </w:r>
            <w:r>
              <w:rPr>
                <w:rFonts w:ascii="Arial" w:hAnsi="Arial"/>
                <w:b/>
                <w:i w:val="0"/>
                <w:color w:val="111827"/>
                <w:sz w:val="21"/>
              </w:rPr>
              <w:t>neutra</w:t>
            </w:r>
            <w:r>
              <w:rPr>
                <w:rFonts w:ascii="Arial" w:hAnsi="Arial"/>
                <w:b w:val="0"/>
                <w:i w:val="0"/>
                <w:color w:val="111827"/>
                <w:sz w:val="21"/>
              </w:rPr>
              <w:t xml:space="preserve"> (a soma dos desempenhos individuais é apenas a soma aritmética de cada um) ou até negativa.</w:t>
            </w:r>
          </w:p>
        </w:tc>
      </w:tr>
    </w:tbl>
    <w:p>
      <w:pPr>
        <w:spacing w:before="0" w:after="120"/>
      </w:pPr>
    </w:p>
    <w:p>
      <w:pPr>
        <w:keepNext/>
        <w:spacing w:before="200" w:after="80"/>
      </w:pPr>
      <w:r>
        <w:rPr>
          <w:rFonts w:ascii="Arial" w:hAnsi="Arial"/>
          <w:b/>
          <w:i w:val="0"/>
          <w:color w:val="2B6CB0"/>
          <w:sz w:val="24"/>
        </w:rPr>
        <w:t>2. O Modelo de Desenvolvimento de Grupos de Bruce Tuckman</w:t>
      </w:r>
    </w:p>
    <w:p>
      <w:pPr>
        <w:spacing w:line="360" w:lineRule="auto" w:before="0" w:after="80"/>
        <w:jc w:val="both"/>
      </w:pPr>
      <w:r>
        <w:rPr>
          <w:rFonts w:ascii="Arial" w:hAnsi="Arial"/>
          <w:b w:val="0"/>
          <w:i w:val="0"/>
          <w:color w:val="111827"/>
          <w:sz w:val="24"/>
        </w:rPr>
        <w:t xml:space="preserve">Bruce Tuckman demonstrou que os grupos não nascem prontos e produtivos; eles atravessam </w:t>
      </w:r>
      <w:r>
        <w:rPr>
          <w:rFonts w:ascii="Arial" w:hAnsi="Arial"/>
          <w:b/>
          <w:i w:val="0"/>
          <w:color w:val="111827"/>
          <w:sz w:val="24"/>
        </w:rPr>
        <w:t>cinco estágios sequenciais de maturação psicossocial</w:t>
      </w:r>
      <w:r>
        <w:rPr>
          <w:rFonts w:ascii="Arial" w:hAnsi="Arial"/>
          <w:b w:val="0"/>
          <w:i w:val="0"/>
          <w:color w:val="111827"/>
          <w:sz w:val="24"/>
        </w:rPr>
        <w:t>:</w:t>
      </w:r>
    </w:p>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**Formação (</w:t>
      </w:r>
      <w:r>
        <w:rPr>
          <w:rFonts w:ascii="Arial" w:hAnsi="Arial"/>
          <w:b w:val="0"/>
          <w:i/>
          <w:color w:val="111827"/>
          <w:sz w:val="22"/>
        </w:rPr>
        <w:t>Forming</w:t>
      </w:r>
      <w:r>
        <w:rPr>
          <w:rFonts w:ascii="Arial" w:hAnsi="Arial"/>
          <w:b w:val="0"/>
          <w:i w:val="0"/>
          <w:color w:val="111827"/>
          <w:sz w:val="22"/>
        </w:rPr>
        <w:t>):** Estágio caracterizado por grande incerteza quanto à missão, regras e papéis do grupo. Os integrantes exploram os limites e testam comportamentos para descobrir o que é aceitável.</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**Tormenta / Conflito (</w:t>
      </w:r>
      <w:r>
        <w:rPr>
          <w:rFonts w:ascii="Arial" w:hAnsi="Arial"/>
          <w:b w:val="0"/>
          <w:i/>
          <w:color w:val="111827"/>
          <w:sz w:val="22"/>
        </w:rPr>
        <w:t>Storming</w:t>
      </w:r>
      <w:r>
        <w:rPr>
          <w:rFonts w:ascii="Arial" w:hAnsi="Arial"/>
          <w:b w:val="0"/>
          <w:i w:val="0"/>
          <w:color w:val="111827"/>
          <w:sz w:val="22"/>
        </w:rPr>
        <w:t>):** Estágio de atritos e resistências internas. Os integrantes aceitam a existência do grupo, mas resistem às limitações que a convivência impõe à sua individualidade; surgem disputas declaradas pelo controle e pela liderança da equipe.</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**Normatização (</w:t>
      </w:r>
      <w:r>
        <w:rPr>
          <w:rFonts w:ascii="Arial" w:hAnsi="Arial"/>
          <w:b w:val="0"/>
          <w:i/>
          <w:color w:val="111827"/>
          <w:sz w:val="22"/>
        </w:rPr>
        <w:t>Norming</w:t>
      </w:r>
      <w:r>
        <w:rPr>
          <w:rFonts w:ascii="Arial" w:hAnsi="Arial"/>
          <w:b w:val="0"/>
          <w:i w:val="0"/>
          <w:color w:val="111827"/>
          <w:sz w:val="22"/>
        </w:rPr>
        <w:t>):** O conflito é superado, restabelecendo-se a harmonia. Desenvolvem-se relacionamentos estreitos, camaradagem e forte senso de coesão, formalizando-se as regras e expectativas mútuas de conduta.</w:t>
      </w:r>
    </w:p>
    <w:p>
      <w:pPr>
        <w:spacing w:line="276" w:lineRule="auto" w:before="20" w:after="40"/>
        <w:ind w:left="425"/>
      </w:pPr>
      <w:r>
        <w:rPr>
          <w:rFonts w:ascii="Arial" w:hAnsi="Arial"/>
          <w:b/>
          <w:color w:val="1B365D"/>
          <w:sz w:val="22"/>
        </w:rPr>
        <w:t xml:space="preserve">4. </w:t>
      </w:r>
      <w:r>
        <w:rPr>
          <w:rFonts w:ascii="Arial" w:hAnsi="Arial"/>
          <w:b w:val="0"/>
          <w:i w:val="0"/>
          <w:color w:val="111827"/>
          <w:sz w:val="22"/>
        </w:rPr>
        <w:t>**Desempenho (</w:t>
      </w:r>
      <w:r>
        <w:rPr>
          <w:rFonts w:ascii="Arial" w:hAnsi="Arial"/>
          <w:b w:val="0"/>
          <w:i/>
          <w:color w:val="111827"/>
          <w:sz w:val="22"/>
        </w:rPr>
        <w:t>Performing</w:t>
      </w:r>
      <w:r>
        <w:rPr>
          <w:rFonts w:ascii="Arial" w:hAnsi="Arial"/>
          <w:b w:val="0"/>
          <w:i w:val="0"/>
          <w:color w:val="111827"/>
          <w:sz w:val="22"/>
        </w:rPr>
        <w:t>):** O grupo atinge sua plena maturidade funcional. A energia dos participantes não é mais desperdiçada em disputas interpessoais, canalizando-se diretamente para a execução com excelência das tarefas e projetos.</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**Desintegração / Encerramento (</w:t>
      </w:r>
      <w:r>
        <w:rPr>
          <w:rFonts w:ascii="Arial" w:hAnsi="Arial"/>
          <w:b w:val="0"/>
          <w:i/>
          <w:color w:val="111827"/>
          <w:sz w:val="22"/>
        </w:rPr>
        <w:t>Adjourning</w:t>
      </w:r>
      <w:r>
        <w:rPr>
          <w:rFonts w:ascii="Arial" w:hAnsi="Arial"/>
          <w:b w:val="0"/>
          <w:i w:val="0"/>
          <w:color w:val="111827"/>
          <w:sz w:val="22"/>
        </w:rPr>
        <w:t>):** Aplica-se a equipes temporárias (forças-tarefa, comissões de concurso, grupos de trabalho). O foco desloca-se do alto rendimento para a conclusão das pendências, documentação final e dissolução formal do grupo.</w:t>
      </w:r>
    </w:p>
    <w:p>
      <w:pPr>
        <w:keepNext/>
        <w:spacing w:before="200" w:after="80"/>
      </w:pPr>
      <w:r>
        <w:rPr>
          <w:rFonts w:ascii="Arial" w:hAnsi="Arial"/>
          <w:b/>
          <w:i w:val="0"/>
          <w:color w:val="2B6CB0"/>
          <w:sz w:val="24"/>
        </w:rPr>
        <w:t>3. Evolução das Teorias de Liderança e a Liderança Situacional</w:t>
      </w:r>
    </w:p>
    <w:p>
      <w:pPr>
        <w:spacing w:line="360" w:lineRule="auto" w:before="0" w:after="80"/>
        <w:jc w:val="both"/>
      </w:pPr>
      <w:r>
        <w:rPr>
          <w:rFonts w:ascii="Arial" w:hAnsi="Arial"/>
          <w:b w:val="0"/>
          <w:i w:val="0"/>
          <w:color w:val="111827"/>
          <w:sz w:val="24"/>
        </w:rPr>
        <w:t xml:space="preserve">A liderança é o processo social de exercer influência legítima e voluntária sobre indivíduos e grupos para direcioná-los ao alcance de metas. Difere da chefia formal: o gerente/chefe possui </w:t>
      </w:r>
      <w:r>
        <w:rPr>
          <w:rFonts w:ascii="Arial" w:hAnsi="Arial"/>
          <w:b/>
          <w:i w:val="0"/>
          <w:color w:val="111827"/>
          <w:sz w:val="24"/>
        </w:rPr>
        <w:t>autoridade formal</w:t>
      </w:r>
      <w:r>
        <w:rPr>
          <w:rFonts w:ascii="Arial" w:hAnsi="Arial"/>
          <w:b w:val="0"/>
          <w:i w:val="0"/>
          <w:color w:val="111827"/>
          <w:sz w:val="24"/>
        </w:rPr>
        <w:t xml:space="preserve"> outorgada pela hierarquia; o líder possui </w:t>
      </w:r>
      <w:r>
        <w:rPr>
          <w:rFonts w:ascii="Arial" w:hAnsi="Arial"/>
          <w:b/>
          <w:i w:val="0"/>
          <w:color w:val="111827"/>
          <w:sz w:val="24"/>
        </w:rPr>
        <w:t>influência pessoal</w:t>
      </w:r>
      <w:r>
        <w:rPr>
          <w:rFonts w:ascii="Arial" w:hAnsi="Arial"/>
          <w:b w:val="0"/>
          <w:i w:val="0"/>
          <w:color w:val="111827"/>
          <w:sz w:val="24"/>
        </w:rPr>
        <w:t xml:space="preserve"> legitimada pelos liderados.</w:t>
      </w:r>
    </w:p>
    <w:p>
      <w:pPr>
        <w:spacing w:after="120"/>
      </w:pPr>
    </w:p>
    <w:p>
      <w:pPr>
        <w:keepNext/>
        <w:spacing w:before="120" w:after="40"/>
      </w:pPr>
      <w:r>
        <w:rPr>
          <w:rFonts w:ascii="Arial" w:hAnsi="Arial"/>
          <w:b/>
          <w:i/>
          <w:color w:val="334155"/>
          <w:sz w:val="22"/>
        </w:rPr>
        <w:t>A Teoria da Liderança Situacional de Paul Hersey e Kenneth Blanchard:</w:t>
      </w:r>
    </w:p>
    <w:p>
      <w:pPr>
        <w:spacing w:line="360" w:lineRule="auto" w:before="0" w:after="80"/>
        <w:jc w:val="both"/>
      </w:pPr>
      <w:r>
        <w:rPr>
          <w:rFonts w:ascii="Arial" w:hAnsi="Arial"/>
          <w:b w:val="0"/>
          <w:i w:val="0"/>
          <w:color w:val="111827"/>
          <w:sz w:val="24"/>
        </w:rPr>
        <w:t xml:space="preserve">Postula que não existe um estilo único e universal de liderança. O estilo ideal </w:t>
      </w:r>
      <w:r>
        <w:rPr>
          <w:rFonts w:ascii="Arial" w:hAnsi="Arial"/>
          <w:b/>
          <w:i w:val="0"/>
          <w:color w:val="111827"/>
          <w:sz w:val="24"/>
        </w:rPr>
        <w:t>depende da prontidão ou maturidade</w:t>
      </w:r>
      <w:r>
        <w:rPr>
          <w:rFonts w:ascii="Arial" w:hAnsi="Arial"/>
          <w:b w:val="0"/>
          <w:i w:val="0"/>
          <w:color w:val="111827"/>
          <w:sz w:val="24"/>
        </w:rPr>
        <w:t xml:space="preserve"> dos liderados, categorizada em quatro níveis:</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(DELEGAÇÃO NA LIDERANÇA SITUACIONAL):</w:t>
            </w:r>
          </w:p>
          <w:p>
            <w:pPr>
              <w:spacing w:line="288" w:lineRule="auto" w:before="40" w:after="40"/>
            </w:pPr>
            <w:r>
              <w:rPr>
                <w:rFonts w:ascii="Arial" w:hAnsi="Arial"/>
                <w:b w:val="0"/>
                <w:i w:val="0"/>
                <w:color w:val="111827"/>
                <w:sz w:val="21"/>
              </w:rPr>
              <w:t xml:space="preserve">Questão favorita da banca: afirmar que "o líder exemplar deve sempre adotar o estilo de delegação, conferindo autonomia ampla a todos os servidores subordinados". </w:t>
            </w:r>
            <w:r>
              <w:rPr>
                <w:rFonts w:ascii="Arial" w:hAnsi="Arial"/>
                <w:b/>
                <w:i w:val="0"/>
                <w:color w:val="111827"/>
                <w:sz w:val="21"/>
              </w:rPr>
              <w:t>FALSO!</w:t>
            </w:r>
            <w:r>
              <w:rPr>
                <w:rFonts w:ascii="Arial" w:hAnsi="Arial"/>
                <w:b w:val="0"/>
                <w:i w:val="0"/>
                <w:color w:val="111827"/>
                <w:sz w:val="21"/>
              </w:rPr>
              <w:t xml:space="preserve"> A delegação só é correta e eficaz quando o liderado apresenta </w:t>
            </w:r>
            <w:r>
              <w:rPr>
                <w:rFonts w:ascii="Arial" w:hAnsi="Arial"/>
                <w:b/>
                <w:i w:val="0"/>
                <w:color w:val="111827"/>
                <w:sz w:val="21"/>
              </w:rPr>
              <w:t>maturidade M4</w:t>
            </w:r>
            <w:r>
              <w:rPr>
                <w:rFonts w:ascii="Arial" w:hAnsi="Arial"/>
                <w:b w:val="0"/>
                <w:i w:val="0"/>
                <w:color w:val="111827"/>
                <w:sz w:val="21"/>
              </w:rPr>
              <w:t xml:space="preserve"> (alta competência técnica e alta confiança). Se delegar a um servidor novato M1 (sem conhecimento das rotinas), haverá frustração e erro operacional grave. A liderança eficaz </w:t>
            </w:r>
            <w:r>
              <w:rPr>
                <w:rFonts w:ascii="Arial" w:hAnsi="Arial"/>
                <w:b/>
                <w:i w:val="0"/>
                <w:color w:val="111827"/>
                <w:sz w:val="21"/>
              </w:rPr>
              <w:t>depende da situação</w:t>
            </w:r>
            <w:r>
              <w:rPr>
                <w:rFonts w:ascii="Arial" w:hAnsi="Arial"/>
                <w:b w:val="0"/>
                <w:i w:val="0"/>
                <w:color w:val="111827"/>
                <w:sz w:val="21"/>
              </w:rPr>
              <w:t>!</w:t>
            </w:r>
          </w:p>
        </w:tc>
      </w:tr>
    </w:tbl>
    <w:p>
      <w:pPr>
        <w:spacing w:before="0"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(LÍDER VS. GERENTE):</w:t>
            </w:r>
          </w:p>
          <w:p>
            <w:pPr>
              <w:spacing w:line="288" w:lineRule="auto" w:before="40" w:after="40"/>
            </w:pPr>
            <w:r>
              <w:rPr>
                <w:rFonts w:ascii="Arial" w:hAnsi="Arial"/>
                <w:b w:val="0"/>
                <w:i w:val="0"/>
                <w:color w:val="111827"/>
                <w:sz w:val="21"/>
              </w:rPr>
              <w:t xml:space="preserve">O gerente tem </w:t>
            </w:r>
            <w:r>
              <w:rPr>
                <w:rFonts w:ascii="Arial" w:hAnsi="Arial"/>
                <w:b/>
                <w:i w:val="0"/>
                <w:color w:val="111827"/>
                <w:sz w:val="21"/>
              </w:rPr>
              <w:t>autoridade formal</w:t>
            </w:r>
            <w:r>
              <w:rPr>
                <w:rFonts w:ascii="Arial" w:hAnsi="Arial"/>
                <w:b w:val="0"/>
                <w:i w:val="0"/>
                <w:color w:val="111827"/>
                <w:sz w:val="21"/>
              </w:rPr>
              <w:t xml:space="preserve"> outorgada pelo cargo institucional; o líder possui </w:t>
            </w:r>
            <w:r>
              <w:rPr>
                <w:rFonts w:ascii="Arial" w:hAnsi="Arial"/>
                <w:b/>
                <w:i w:val="0"/>
                <w:color w:val="111827"/>
                <w:sz w:val="21"/>
              </w:rPr>
              <w:t>influência pessoal e legítima</w:t>
            </w:r>
            <w:r>
              <w:rPr>
                <w:rFonts w:ascii="Arial" w:hAnsi="Arial"/>
                <w:b w:val="0"/>
                <w:i w:val="0"/>
                <w:color w:val="111827"/>
                <w:sz w:val="21"/>
              </w:rPr>
              <w:t xml:space="preserve"> conquistada pelo respeito, admiração e confiança das pessoas. Um chefe pode não ser líder, e um líder pode não ocupar cargo formal de chefia.</w:t>
            </w:r>
          </w:p>
        </w:tc>
      </w:tr>
    </w:tbl>
    <w:p>
      <w:pPr>
        <w:spacing w:before="0" w:after="120"/>
      </w:pPr>
    </w:p>
    <w:p>
      <w:pPr>
        <w:keepNext/>
        <w:spacing w:before="200" w:after="80"/>
      </w:pPr>
      <w:r>
        <w:rPr>
          <w:rFonts w:ascii="Arial" w:hAnsi="Arial"/>
          <w:b/>
          <w:i w:val="0"/>
          <w:color w:val="2B6CB0"/>
          <w:sz w:val="24"/>
        </w:rPr>
        <w:t>4. Liderança Transacional vs. Liderança Transformacional</w:t>
      </w:r>
    </w:p>
    <w:p>
      <w:pPr>
        <w:spacing w:after="120"/>
      </w:pPr>
    </w:p>
    <w:p>
      <w:pPr>
        <w:keepNext/>
        <w:spacing w:before="120" w:after="40"/>
      </w:pPr>
      <w:r>
        <w:rPr>
          <w:rFonts w:ascii="Arial" w:hAnsi="Arial"/>
          <w:b/>
          <w:i/>
          <w:color w:val="334155"/>
          <w:sz w:val="22"/>
        </w:rPr>
        <w:t>Os Quatro Pilares da Liderança Transformacional (Bernard Bass - Os "4 Is"):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Influência Idealizada (Carisma):</w:t>
      </w:r>
      <w:r>
        <w:rPr>
          <w:rFonts w:ascii="Arial" w:hAnsi="Arial"/>
          <w:b w:val="0"/>
          <w:i w:val="0"/>
          <w:color w:val="111827"/>
          <w:sz w:val="22"/>
        </w:rPr>
        <w:t xml:space="preserve"> O líder atua como modelo ético e moral a ser imitado, despertando orgulho institucional, respeito incondicional e lealdade nos subordinados.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Motivação Inspiradora:</w:t>
      </w:r>
      <w:r>
        <w:rPr>
          <w:rFonts w:ascii="Arial" w:hAnsi="Arial"/>
          <w:b w:val="0"/>
          <w:i w:val="0"/>
          <w:color w:val="111827"/>
          <w:sz w:val="22"/>
        </w:rPr>
        <w:t xml:space="preserve"> O líder comunica uma visão estimulante do futuro com entusiasmo e energia contagiante, demonstrando como o esforço de cada analista contribui para um propósito grandioso.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Estimulação Intelectual:</w:t>
      </w:r>
      <w:r>
        <w:rPr>
          <w:rFonts w:ascii="Arial" w:hAnsi="Arial"/>
          <w:b w:val="0"/>
          <w:i w:val="0"/>
          <w:color w:val="111827"/>
          <w:sz w:val="22"/>
        </w:rPr>
        <w:t xml:space="preserve"> O líder encoraja os liderados a desafiarem o conformismo e o comodismo do </w:t>
      </w:r>
      <w:r>
        <w:rPr>
          <w:rFonts w:ascii="Arial" w:hAnsi="Arial"/>
          <w:b w:val="0"/>
          <w:i/>
          <w:color w:val="111827"/>
          <w:sz w:val="22"/>
        </w:rPr>
        <w:t>status quo</w:t>
      </w:r>
      <w:r>
        <w:rPr>
          <w:rFonts w:ascii="Arial" w:hAnsi="Arial"/>
          <w:b w:val="0"/>
          <w:i w:val="0"/>
          <w:color w:val="111827"/>
          <w:sz w:val="22"/>
        </w:rPr>
        <w:t>, instigando-os a repensar processos burocráticos e a sugerir soluções inovadoras sem medo de errar.</w:t>
      </w:r>
    </w:p>
    <w:p>
      <w:pPr>
        <w:spacing w:line="276" w:lineRule="auto" w:before="20" w:after="40"/>
        <w:ind w:left="425"/>
      </w:pPr>
      <w:r>
        <w:rPr>
          <w:rFonts w:ascii="Arial" w:hAnsi="Arial"/>
          <w:b/>
          <w:color w:val="1B365D"/>
          <w:sz w:val="22"/>
        </w:rPr>
        <w:t xml:space="preserve">4. </w:t>
      </w:r>
      <w:r>
        <w:rPr>
          <w:rFonts w:ascii="Arial" w:hAnsi="Arial"/>
          <w:b/>
          <w:i w:val="0"/>
          <w:color w:val="111827"/>
          <w:sz w:val="22"/>
        </w:rPr>
        <w:t>Consideração Individualizada:</w:t>
      </w:r>
      <w:r>
        <w:rPr>
          <w:rFonts w:ascii="Arial" w:hAnsi="Arial"/>
          <w:b w:val="0"/>
          <w:i w:val="0"/>
          <w:color w:val="111827"/>
          <w:sz w:val="22"/>
        </w:rPr>
        <w:t xml:space="preserve"> O líder presta atenção personalizada às particularidades de cada colaborador, identificando suas necessidades singulares de crescimento e atuando ativamente como mentor ou conselheiro.</w:t>
      </w:r>
    </w:p>
    <w:p>
      <w:pPr>
        <w:keepNext/>
        <w:spacing w:before="200" w:after="80"/>
      </w:pPr>
      <w:r>
        <w:rPr>
          <w:rFonts w:ascii="Arial" w:hAnsi="Arial"/>
          <w:b/>
          <w:i w:val="0"/>
          <w:color w:val="2B6CB0"/>
          <w:sz w:val="24"/>
        </w:rPr>
        <w:t>5. O Processo de Comunicação Organizacional e suas Barreiras</w:t>
      </w:r>
    </w:p>
    <w:p>
      <w:pPr>
        <w:spacing w:line="360" w:lineRule="auto" w:before="0" w:after="80"/>
        <w:jc w:val="both"/>
      </w:pPr>
      <w:r>
        <w:rPr>
          <w:rFonts w:ascii="Arial" w:hAnsi="Arial"/>
          <w:b w:val="0"/>
          <w:i w:val="0"/>
          <w:color w:val="111827"/>
          <w:sz w:val="24"/>
        </w:rPr>
        <w:t>A comunicação é a transferência e compreensão de significados entre um emissor e um receptor. Seu fluxo operacional organiza-se nas seguintes etapas fundamentais:</w:t>
      </w:r>
    </w:p>
    <w:p>
      <w:pPr>
        <w:spacing w:after="120"/>
      </w:pPr>
    </w:p>
    <w:p>
      <w:pPr>
        <w:keepNext/>
        <w:spacing w:before="120" w:after="40"/>
      </w:pPr>
      <w:r>
        <w:rPr>
          <w:rFonts w:ascii="Arial" w:hAnsi="Arial"/>
          <w:b/>
          <w:i/>
          <w:color w:val="334155"/>
          <w:sz w:val="22"/>
        </w:rPr>
        <w:t>A) Direções dos Fluxos de Comunicação: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Fluxo Descendente (Top-Down):</w:t>
      </w:r>
      <w:r>
        <w:rPr>
          <w:rFonts w:ascii="Arial" w:hAnsi="Arial"/>
          <w:b w:val="0"/>
          <w:i w:val="0"/>
          <w:color w:val="111827"/>
          <w:sz w:val="22"/>
        </w:rPr>
        <w:t xml:space="preserve"> Da cúpula para a base (diretrizes estratégicas, políticas regimentais, ordens de serviço e memorandos de chefia).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Fluxo Ascendente (Bottom-Up):</w:t>
      </w:r>
      <w:r>
        <w:rPr>
          <w:rFonts w:ascii="Arial" w:hAnsi="Arial"/>
          <w:b w:val="0"/>
          <w:i w:val="0"/>
          <w:color w:val="111827"/>
          <w:sz w:val="22"/>
        </w:rPr>
        <w:t xml:space="preserve"> Da base operacional para a alta direção (relatórios de fiscalização, sugestões de melhoria, queixas e pedidos de esclarecimento).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Fluxo Horizontal / Lateral:</w:t>
      </w:r>
      <w:r>
        <w:rPr>
          <w:rFonts w:ascii="Arial" w:hAnsi="Arial"/>
          <w:b w:val="0"/>
          <w:i w:val="0"/>
          <w:color w:val="111827"/>
          <w:sz w:val="22"/>
        </w:rPr>
        <w:t xml:space="preserve"> Entre colegas de trabalho do mesmo nível hierárquico (coordenação interdisciplinar e alinhamento mútuo entre auditores).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Fluxo Diagonal:</w:t>
      </w:r>
      <w:r>
        <w:rPr>
          <w:rFonts w:ascii="Arial" w:hAnsi="Arial"/>
          <w:b w:val="0"/>
          <w:i w:val="0"/>
          <w:color w:val="111827"/>
          <w:sz w:val="22"/>
        </w:rPr>
        <w:t xml:space="preserve"> Entre setores e níveis hierárquicos distintos (ex.: auditor de campo comunicando-se diretamente com o diretor de TI para ajustar um software).</w:t>
      </w:r>
    </w:p>
    <w:p>
      <w:pPr>
        <w:keepNext/>
        <w:spacing w:before="120" w:after="40"/>
      </w:pPr>
      <w:r>
        <w:rPr>
          <w:rFonts w:ascii="Arial" w:hAnsi="Arial"/>
          <w:b/>
          <w:i/>
          <w:color w:val="334155"/>
          <w:sz w:val="22"/>
        </w:rPr>
        <w:t>B) Principais Barreiras Comunicacionais Cobradas pela FCC:</w:t>
      </w:r>
    </w:p>
    <w:p>
      <w:pPr>
        <w:spacing w:line="276" w:lineRule="auto" w:before="20" w:after="40"/>
        <w:ind w:left="425"/>
      </w:pPr>
      <w:r>
        <w:rPr>
          <w:rFonts w:ascii="Arial" w:hAnsi="Arial"/>
          <w:b/>
          <w:color w:val="2B6CB0"/>
          <w:sz w:val="22"/>
        </w:rPr>
        <w:t xml:space="preserve">• </w:t>
      </w:r>
      <w:r>
        <w:rPr>
          <w:rFonts w:ascii="Arial" w:hAnsi="Arial"/>
          <w:b/>
          <w:i w:val="0"/>
          <w:color w:val="111827"/>
          <w:sz w:val="22"/>
        </w:rPr>
        <w:t>Filtragem:</w:t>
      </w:r>
      <w:r>
        <w:rPr>
          <w:rFonts w:ascii="Arial" w:hAnsi="Arial"/>
          <w:b w:val="0"/>
          <w:i w:val="0"/>
          <w:color w:val="111827"/>
          <w:sz w:val="22"/>
        </w:rPr>
        <w:t xml:space="preserve"> Manipulação deliberada da mensagem pelo emissor para que ela seja recebida de modo mais favorável ou menos punitivo pelo superior hierárquico (ex.: servidor que oculta intencionalmente atrasos de cronograma em seu relatório para não se indispor com o diretor).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Percepção Seletiva:</w:t>
      </w:r>
      <w:r>
        <w:rPr>
          <w:rFonts w:ascii="Arial" w:hAnsi="Arial"/>
          <w:b w:val="0"/>
          <w:i w:val="0"/>
          <w:color w:val="111827"/>
          <w:sz w:val="22"/>
        </w:rPr>
        <w:t xml:space="preserve"> Tendência psicológica pela qual o receptor escuta e decodifica a mensagem com base em seus próprios preconceitos, interesses pessoais, necessidades ou histórico de vida, ignorando partes cruciais do conteúdo.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Sobrecarga de Informação:</w:t>
      </w:r>
      <w:r>
        <w:rPr>
          <w:rFonts w:ascii="Arial" w:hAnsi="Arial"/>
          <w:b w:val="0"/>
          <w:i w:val="0"/>
          <w:color w:val="111827"/>
          <w:sz w:val="22"/>
        </w:rPr>
        <w:t xml:space="preserve"> Ocorre quando o volume de dados e despachos supera a capacidade cognitiva de processamento do servidor, gerando esquecimentos, estresse e atrasos processuais.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Barreiras Semânticas:</w:t>
      </w:r>
      <w:r>
        <w:rPr>
          <w:rFonts w:ascii="Arial" w:hAnsi="Arial"/>
          <w:b w:val="0"/>
          <w:i w:val="0"/>
          <w:color w:val="111827"/>
          <w:sz w:val="22"/>
        </w:rPr>
        <w:t xml:space="preserve"> Utilização de termos ambíguos, abreviações herméticas ou jargões excessivamente técnicos que impedem o receptor de decodificar com precisão o que foi emitido.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ATENÇÃO (FILTRAGEM NA COMUNICAÇÃO):</w:t>
            </w:r>
          </w:p>
          <w:p>
            <w:pPr>
              <w:spacing w:line="288" w:lineRule="auto" w:before="40" w:after="40"/>
            </w:pPr>
            <w:r>
              <w:rPr>
                <w:rFonts w:ascii="Arial" w:hAnsi="Arial"/>
                <w:b w:val="0"/>
                <w:i w:val="0"/>
                <w:color w:val="111827"/>
                <w:sz w:val="21"/>
              </w:rPr>
              <w:t xml:space="preserve">Se a questão descrever um servidor que altera os relatórios antes de entregar ao diretor, omitindo dados negativos para que a situação pareça sob controle, o conceito técnico é a </w:t>
            </w:r>
            <w:r>
              <w:rPr>
                <w:rFonts w:ascii="Arial" w:hAnsi="Arial"/>
                <w:b/>
                <w:i w:val="0"/>
                <w:color w:val="111827"/>
                <w:sz w:val="21"/>
              </w:rPr>
              <w:t>FILTRAGEM</w:t>
            </w:r>
            <w:r>
              <w:rPr>
                <w:rFonts w:ascii="Arial" w:hAnsi="Arial"/>
                <w:b w:val="0"/>
                <w:i w:val="0"/>
                <w:color w:val="111827"/>
                <w:sz w:val="21"/>
              </w:rPr>
              <w:t xml:space="preserve"> da informação!</w:t>
            </w:r>
          </w:p>
        </w:tc>
      </w:tr>
    </w:tbl>
    <w:p>
      <w:pPr>
        <w:spacing w:before="0" w:after="120"/>
      </w:pPr>
    </w:p>
    <w:p>
      <w:pPr>
        <w:keepNext/>
        <w:spacing w:before="200" w:after="80"/>
      </w:pPr>
      <w:r>
        <w:rPr>
          <w:rFonts w:ascii="Arial" w:hAnsi="Arial"/>
          <w:b/>
          <w:i w:val="0"/>
          <w:color w:val="2B6CB0"/>
          <w:sz w:val="24"/>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ROBBINS, Stephen P.; JUDGE, Timothy A. Comportamento Organizacional. 18ª Edição. Editora Pearson.</w:t>
      </w:r>
      <w:r>
        <w:rPr>
          <w:rFonts w:ascii="Arial" w:hAnsi="Arial"/>
          <w:b w:val="0"/>
          <w:i w:val="0"/>
          <w:color w:val="111827"/>
          <w:sz w:val="22"/>
        </w:rPr>
        <w:t xml:space="preserve"> - Capítulos sobre Grupos, Equipes, Liderança e Comunicação.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HERSEY, Paul; BLANCHARD, Kenneth H. Psicologia para Administradores: a teoria e as técnicas da liderança situacional. EPU.</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BASS, Bernard M.; AVOLIO, Bruce J. Improving Organizational Effectiveness Through Transformational Leadership. SAGE Publications.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TUCKMAN, Bruce W. Developmental Sequence in Small Groups. Psychological Bulletin.</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CHIAVENATO, Idalberto. Comportamento Organizacional: a dinâmica do sucesso das organizações. Atlas.</w:t>
      </w:r>
      <w:r>
        <w:rPr>
          <w:rFonts w:ascii="Arial" w:hAnsi="Arial"/>
          <w:b w:val="0"/>
          <w:i w:val="0"/>
          <w:color w:val="111827"/>
          <w:sz w:val="22"/>
        </w:rPr>
        <w:t>.</w:t>
      </w:r>
    </w:p>
    <w:p>
      <w:pPr>
        <w:keepNext/>
        <w:spacing w:before="200" w:after="80"/>
      </w:pPr>
      <w:r>
        <w:rPr>
          <w:rFonts w:ascii="Arial" w:hAnsi="Arial"/>
          <w:b/>
          <w:i w:val="0"/>
          <w:color w:val="2B6CB0"/>
          <w:sz w:val="24"/>
        </w:rPr>
        <w:t>7.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A respeito da Teoria da Liderança Situacional proposta por Paul Hersey e Kenneth Blanchard, considere um grupo de servidores recém-aprovados em concurso público que acaba de ser lotado em uma gerência de fiscalização contábil. Os novos servidores apresentam grande entusiasmo e disposição para aprender, todavia desconhecem completamente as normas regimentais específicas e as ferramentas operacionais do sistema informatizado de controle externo (nível de maturidade M2). De acordo com a teoria, o estilo de liderança mais apropriado a ser adotado pelo gestor da unidade é:</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Estilo de Delegação (baixo comportamento de tarefa e baixo comportamento de relacionamento).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Estilo de Persuasão / Orientação (alto comportamento de tarefa e alto comportamento de relacionamento).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Estilo de Não Intervenção / Laissez-Faire (isenção de qualquer comando diretivo ou cobrança de metas).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Estilo Apoiador Exclusivo (baixo comportamento de tarefa e alto comportamento de relacionamento).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Estilo de Imposição Burocrática Inflexível sem concessão de explicações pedagógicas.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Delegar (E4) aplica-se exclusivamente a liderados com maturidade M4 (altamente competentes e autônomos).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No modelo de Hersey e Blanchard, liderados com nível de prontidão </w:t>
            </w:r>
            <w:r>
              <w:rPr>
                <w:rFonts w:ascii="Arial" w:hAnsi="Arial"/>
                <w:b/>
                <w:i w:val="0"/>
                <w:color w:val="111827"/>
                <w:sz w:val="21"/>
              </w:rPr>
              <w:t>M2</w:t>
            </w:r>
            <w:r>
              <w:rPr>
                <w:rFonts w:ascii="Arial" w:hAnsi="Arial"/>
                <w:b w:val="0"/>
                <w:i w:val="0"/>
                <w:color w:val="111827"/>
                <w:sz w:val="21"/>
              </w:rPr>
              <w:t xml:space="preserve"> (possuem entusiasmo e motivação, mas ainda não têm competência técnica prática consolidada) exigem o estilo </w:t>
            </w:r>
            <w:r>
              <w:rPr>
                <w:rFonts w:ascii="Arial" w:hAnsi="Arial"/>
                <w:b/>
                <w:i w:val="0"/>
                <w:color w:val="111827"/>
                <w:sz w:val="21"/>
              </w:rPr>
              <w:t>E2 - Persuadir / Orientar / Vender</w:t>
            </w:r>
            <w:r>
              <w:rPr>
                <w:rFonts w:ascii="Arial" w:hAnsi="Arial"/>
                <w:b w:val="0"/>
                <w:i w:val="0"/>
                <w:color w:val="111827"/>
                <w:sz w:val="21"/>
              </w:rPr>
              <w:t xml:space="preserve">, que combina </w:t>
            </w:r>
            <w:r>
              <w:rPr>
                <w:rFonts w:ascii="Arial" w:hAnsi="Arial"/>
                <w:b/>
                <w:i w:val="0"/>
                <w:color w:val="111827"/>
                <w:sz w:val="21"/>
              </w:rPr>
              <w:t>alto comportamento de tarefa</w:t>
            </w:r>
            <w:r>
              <w:rPr>
                <w:rFonts w:ascii="Arial" w:hAnsi="Arial"/>
                <w:b w:val="0"/>
                <w:i w:val="0"/>
                <w:color w:val="111827"/>
                <w:sz w:val="21"/>
              </w:rPr>
              <w:t xml:space="preserve"> (o líder ensina, direciona e dá instruções de trabalho) com </w:t>
            </w:r>
            <w:r>
              <w:rPr>
                <w:rFonts w:ascii="Arial" w:hAnsi="Arial"/>
                <w:b/>
                <w:i w:val="0"/>
                <w:color w:val="111827"/>
                <w:sz w:val="21"/>
              </w:rPr>
              <w:t>alto comportamento de relacionamento</w:t>
            </w:r>
            <w:r>
              <w:rPr>
                <w:rFonts w:ascii="Arial" w:hAnsi="Arial"/>
                <w:b w:val="0"/>
                <w:i w:val="0"/>
                <w:color w:val="111827"/>
                <w:sz w:val="21"/>
              </w:rPr>
              <w:t xml:space="preserve"> (o líder apoia, dialoga e mantém acesa a motivação do servidor).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Laissez-faire é a ausência de liderança, prejudicial para iniciantes.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estilo apoiador (E3) destina-se a pessoas aptas tecnicamente, mas inseguras (M3).</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mero autoritarismo mina a motivação e não transmite competência.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TCE-RS – Auditor de Controle Externo)</w:t>
      </w:r>
    </w:p>
    <w:p>
      <w:pPr>
        <w:spacing w:line="360" w:lineRule="auto" w:before="0" w:after="80"/>
        <w:jc w:val="both"/>
      </w:pPr>
      <w:r>
        <w:rPr>
          <w:rFonts w:ascii="Arial" w:hAnsi="Arial"/>
          <w:b w:val="0"/>
          <w:i w:val="0"/>
          <w:color w:val="111827"/>
          <w:sz w:val="24"/>
        </w:rPr>
        <w:t>No âmbito dos estudos sobre liderança nas organizações contemporâneas, o modelo de Liderança Transformacional diferencia-se da Liderança Transacional fundamentalmente porque: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liderança transformacional fundamenta-se estritamente na concessão de incentivos financeiros contingentes ao atingimento das metas contratuais acordadas.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líder transformacional inspira e estimula seus seguidores a transcenderem seus interesses individuais em prol da missão e dos valores superiores da organização, promovendo profundas mudanças culturais.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liderança transacional rejeita qualquer tipo de recompensa ou cobrança de cumprimento de rotinas operacionais.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líder transformacional restringe sua atuação à gestão por exceção, intervindo unicamente quando ocorrem falhas graves na linha de montagem.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liderança transformacional é restrita a estruturas organizacionais mecanicistas e lineares do setor militar.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uso de incentivos pecuniários contingentes por metas pactuadas caracteriza a liderança </w:t>
            </w:r>
            <w:r>
              <w:rPr>
                <w:rFonts w:ascii="Arial" w:hAnsi="Arial"/>
                <w:b/>
                <w:i w:val="0"/>
                <w:color w:val="111827"/>
                <w:sz w:val="21"/>
              </w:rPr>
              <w:t>transacional</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w:t>
            </w:r>
            <w:r>
              <w:rPr>
                <w:rFonts w:ascii="Arial" w:hAnsi="Arial"/>
                <w:b/>
                <w:i w:val="0"/>
                <w:color w:val="111827"/>
                <w:sz w:val="21"/>
              </w:rPr>
              <w:t>Liderança Transformacional</w:t>
            </w:r>
            <w:r>
              <w:rPr>
                <w:rFonts w:ascii="Arial" w:hAnsi="Arial"/>
                <w:b w:val="0"/>
                <w:i w:val="0"/>
                <w:color w:val="111827"/>
                <w:sz w:val="21"/>
              </w:rPr>
              <w:t xml:space="preserve"> vai além da troca transacional imediata; por meio dos quatro pilares clássicos (carisma, consideração individualizada, inspiração motivacional e estimulação intelectual), o líder transformacional motiva os seguidores a superarem seus interesses individuais em benefício do propósito coletivo da instituição, fomentando transformações culturais perenes.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liderança transacional apoia-se exatamente na cobrança de rotinas e trocas formais de incentivos.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Gestão por exceção é atributo típico da liderança </w:t>
            </w:r>
            <w:r>
              <w:rPr>
                <w:rFonts w:ascii="Arial" w:hAnsi="Arial"/>
                <w:b/>
                <w:i w:val="0"/>
                <w:color w:val="111827"/>
                <w:sz w:val="21"/>
              </w:rPr>
              <w:t>transacional</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liderança transformacional é amplamente aplicada e valorizada em órgãos públicos modernos e democráticos.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TRT-2ª Região – Analista Judiciário: Área Administrativa)</w:t>
      </w:r>
    </w:p>
    <w:p>
      <w:pPr>
        <w:spacing w:line="360" w:lineRule="auto" w:before="0" w:after="80"/>
        <w:jc w:val="both"/>
      </w:pPr>
      <w:r>
        <w:rPr>
          <w:rFonts w:ascii="Arial" w:hAnsi="Arial"/>
          <w:b w:val="0"/>
          <w:i w:val="0"/>
          <w:color w:val="111827"/>
          <w:sz w:val="24"/>
        </w:rPr>
        <w:t>De acordo com o modelo de desenvolvimento de pequenos grupos concebido por Bruce Tuckman, o estágio em que surgem conflitos explícitos entre os participantes, disputas internas pelo controle do grupo e resistências à liderança formal pré-estabelecida é denominado: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Estágio de Formação (</w:t>
      </w:r>
      <w:r>
        <w:rPr>
          <w:rFonts w:ascii="Arial" w:hAnsi="Arial"/>
          <w:b w:val="0"/>
          <w:i/>
          <w:color w:val="111827"/>
          <w:sz w:val="22"/>
        </w:rPr>
        <w:t>Forming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Estágio de Tormenta ou Conflito (</w:t>
      </w:r>
      <w:r>
        <w:rPr>
          <w:rFonts w:ascii="Arial" w:hAnsi="Arial"/>
          <w:b w:val="0"/>
          <w:i/>
          <w:color w:val="111827"/>
          <w:sz w:val="22"/>
        </w:rPr>
        <w:t>Storming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Estágio de Normatização (</w:t>
      </w:r>
      <w:r>
        <w:rPr>
          <w:rFonts w:ascii="Arial" w:hAnsi="Arial"/>
          <w:b w:val="0"/>
          <w:i/>
          <w:color w:val="111827"/>
          <w:sz w:val="22"/>
        </w:rPr>
        <w:t>Norming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Estágio de Desempenho (</w:t>
      </w:r>
      <w:r>
        <w:rPr>
          <w:rFonts w:ascii="Arial" w:hAnsi="Arial"/>
          <w:b w:val="0"/>
          <w:i/>
          <w:color w:val="111827"/>
          <w:sz w:val="22"/>
        </w:rPr>
        <w:t>Performing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Estágio de Desintegração (</w:t>
      </w:r>
      <w:r>
        <w:rPr>
          <w:rFonts w:ascii="Arial" w:hAnsi="Arial"/>
          <w:b w:val="0"/>
          <w:i/>
          <w:color w:val="111827"/>
          <w:sz w:val="22"/>
        </w:rPr>
        <w:t>Adjourning</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Formação é a fase inicial de reconhecimento mútuo e incerteza.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estágio de **Tormenta (ou Conflito / </w:t>
            </w:r>
            <w:r>
              <w:rPr>
                <w:rFonts w:ascii="Arial" w:hAnsi="Arial"/>
                <w:b w:val="0"/>
                <w:i/>
                <w:color w:val="111827"/>
                <w:sz w:val="21"/>
              </w:rPr>
              <w:t>Storming</w:t>
            </w:r>
            <w:r>
              <w:rPr>
                <w:rFonts w:ascii="Arial" w:hAnsi="Arial"/>
                <w:b w:val="0"/>
                <w:i w:val="0"/>
                <w:color w:val="111827"/>
                <w:sz w:val="21"/>
              </w:rPr>
              <w:t>)** é caracterizado exatamente pelo surgimento de embates internos de poder e discordâncias quanto às regras; os participantes aceitam a existência do grupo, mas resistem ao controle exercido sobre eles e disputam a liderança até que a hierarquia de papéis se estabilize.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Normatização é a fase posterior em que a coesão é restabelecida e surgem regras claras.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Desempenho é a fase em que o grupo atinge a produtividade máxima e maturidade funcional.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Desintegração é a fase final de dissolução do grupo após a entrega dos resultados.</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DPE-RS – Analista: Área Administrativa)</w:t>
      </w:r>
    </w:p>
    <w:p>
      <w:pPr>
        <w:spacing w:line="360" w:lineRule="auto" w:before="0" w:after="80"/>
        <w:jc w:val="both"/>
      </w:pPr>
      <w:r>
        <w:rPr>
          <w:rFonts w:ascii="Arial" w:hAnsi="Arial"/>
          <w:b w:val="0"/>
          <w:i w:val="0"/>
          <w:color w:val="111827"/>
          <w:sz w:val="24"/>
        </w:rPr>
        <w:t>A respeito da distinção conceitual entre Grupos de Trabalho e Equipes de Trabalho segundo a literatura especializada de comportamento organizacional, assinale a opção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Em um grupo de trabalho, a responsabilidade pelos resultados é solidária e mútua entre todos os integrantes, inexistindo metas isoladas.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As equipes de trabalho caracterizam-se por apresentar sinergia positiva, na qual o desempenho coletivo conjunto é superior à soma das contribuições individuais isoladas.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Os grupos de trabalho dependem compulsoriamente de habilidades técnicas altamente complementares entre seus membros.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Em uma equipe de trabalho, a sinergia é sempre neutra, limitando-se os integrantes a trocar informações de rotina sem compromisso mútuo com as metas.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 equipes autogerenciadas são aquelas nas quais o gestor superior centraliza todas as decisões operacionais sem delegar autoridade aos membros.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responsabilidade no grupo de trabalho é puramente individual; na equipe é que ela é mútua e compartilhada.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As </w:t>
            </w:r>
            <w:r>
              <w:rPr>
                <w:rFonts w:ascii="Arial" w:hAnsi="Arial"/>
                <w:b/>
                <w:i w:val="0"/>
                <w:color w:val="111827"/>
                <w:sz w:val="21"/>
              </w:rPr>
              <w:t>Equipes de Trabalho</w:t>
            </w:r>
            <w:r>
              <w:rPr>
                <w:rFonts w:ascii="Arial" w:hAnsi="Arial"/>
                <w:b w:val="0"/>
                <w:i w:val="0"/>
                <w:color w:val="111827"/>
                <w:sz w:val="21"/>
              </w:rPr>
              <w:t xml:space="preserve"> caracterizam-se pela </w:t>
            </w:r>
            <w:r>
              <w:rPr>
                <w:rFonts w:ascii="Arial" w:hAnsi="Arial"/>
                <w:b/>
                <w:i w:val="0"/>
                <w:color w:val="111827"/>
                <w:sz w:val="21"/>
              </w:rPr>
              <w:t>sinergia positiva</w:t>
            </w:r>
            <w:r>
              <w:rPr>
                <w:rFonts w:ascii="Arial" w:hAnsi="Arial"/>
                <w:b w:val="0"/>
                <w:i w:val="0"/>
                <w:color w:val="111827"/>
                <w:sz w:val="21"/>
              </w:rPr>
              <w:t xml:space="preserve"> (</w:t>
            </w:r>
            <w:r>
              <w:rPr>
                <w:rFonts w:ascii="Cambria Math" w:hAnsi="Cambria Math"/>
                <w:i/>
                <w:color w:val="1B365D"/>
                <w:sz w:val="21"/>
              </w:rPr>
              <w:t>1 + 1 &gt; 2</w:t>
            </w:r>
            <w:r>
              <w:rPr>
                <w:rFonts w:ascii="Arial" w:hAnsi="Arial"/>
                <w:b w:val="0"/>
                <w:i w:val="0"/>
                <w:color w:val="111827"/>
                <w:sz w:val="21"/>
              </w:rPr>
              <w:t>), o que significa que o esforço coordenado e integrado dos membros resulta em um patamar de entrega e desempenho global muito superior à mera soma aritmética das ações individuais isoladas.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As habilidades complementares são requisito essencial das </w:t>
            </w:r>
            <w:r>
              <w:rPr>
                <w:rFonts w:ascii="Arial" w:hAnsi="Arial"/>
                <w:b/>
                <w:i w:val="0"/>
                <w:color w:val="111827"/>
                <w:sz w:val="21"/>
              </w:rPr>
              <w:t>equipes</w:t>
            </w:r>
            <w:r>
              <w:rPr>
                <w:rFonts w:ascii="Arial" w:hAnsi="Arial"/>
                <w:b w:val="0"/>
                <w:i w:val="0"/>
                <w:color w:val="111827"/>
                <w:sz w:val="21"/>
              </w:rPr>
              <w:t>, ao passo que nos grupos as habilidades são aleatórias.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sinergia neutra e a mera troca de dados caracterizam os grupos, e não as equipes.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As equipes autogerenciadas possuem altíssima autonomia decisória, operando sem supervisão direta diária.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ARTESP – Especialista em Regulação de Transportes)</w:t>
      </w:r>
    </w:p>
    <w:p>
      <w:pPr>
        <w:spacing w:line="360" w:lineRule="auto" w:before="0" w:after="80"/>
        <w:jc w:val="both"/>
      </w:pPr>
      <w:r>
        <w:rPr>
          <w:rFonts w:ascii="Arial" w:hAnsi="Arial"/>
          <w:b w:val="0"/>
          <w:i w:val="0"/>
          <w:color w:val="111827"/>
          <w:sz w:val="24"/>
        </w:rPr>
        <w:t>Durante a elaboração de um relatório de fiscalização, determinado analista deliberadamente omitiu informações cruciais sobre irregularidades graves na conservação da malha rodoviária, selecionando e apresentando apenas dados favoráveis à concessionária, com o objetivo expresso de evitar atritos com seu superior hierárquico e fazer com que o documento parecesse positivo. No processo de comunicação organizacional, a conduta desse servidor materializa a barreira denominada: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Sobrecarga informacional.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Filtragem da informação.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Barreira de decodificação receptiva.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Ruído semântico involuntário.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Percepção sensorial dilatada.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Sobrecarga ocorre quando o volume de dados ultrapassa a capacidade de processamento mental.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w:t>
            </w:r>
            <w:r>
              <w:rPr>
                <w:rFonts w:ascii="Arial" w:hAnsi="Arial"/>
                <w:b/>
                <w:i w:val="0"/>
                <w:color w:val="111827"/>
                <w:sz w:val="21"/>
              </w:rPr>
              <w:t>Filtragem</w:t>
            </w:r>
            <w:r>
              <w:rPr>
                <w:rFonts w:ascii="Arial" w:hAnsi="Arial"/>
                <w:b w:val="0"/>
                <w:i w:val="0"/>
                <w:color w:val="111827"/>
                <w:sz w:val="21"/>
              </w:rPr>
              <w:t xml:space="preserve"> é a manipulação deliberada da mensagem pelo emissor para que ela seja vista de modo mais favorável pelo receptor (muito comum em organizações hierarquizadas quando o subordinado omite más notícias para agradar a chefia ou não se indispor com superiores).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omissão partiu do emissor no momento do envio, e não da decodificação pelo receptor.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Ruídos semânticos dizem respeito a palavras ambíguas ou jargões incompreendidos, sem má-fé deliberada.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Conceito sem pertinência técnica com o processo de comunicação.</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03 - Conflito, Negociação, Cultura, Clima e Desenvolvimento Organizacional</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Comportamento Organizacional</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w:t>
      </w:r>
    </w:p>
    <w:p>
      <w:pPr>
        <w:spacing w:line="240" w:lineRule="auto" w:before="20" w:after="40"/>
        <w:ind w:left="2268"/>
      </w:pPr>
      <w:r>
        <w:rPr>
          <w:rFonts w:ascii="Arial" w:hAnsi="Arial"/>
          <w:b/>
          <w:i w:val="0"/>
          <w:color w:val="4B5563"/>
          <w:sz w:val="20"/>
        </w:rPr>
        <w:t>Arquivo:</w:t>
      </w:r>
      <w:r>
        <w:rPr>
          <w:rFonts w:ascii="Arial" w:hAnsi="Arial"/>
          <w:b w:val="0"/>
          <w:i w:val="0"/>
          <w:color w:val="4B5563"/>
          <w:sz w:val="20"/>
        </w:rPr>
        <w:t xml:space="preserve"> </w:t>
      </w:r>
      <w:r>
        <w:rPr>
          <w:rFonts w:ascii="Consolas" w:hAnsi="Consolas"/>
          <w:b w:val="0"/>
          <w:color w:val="991B1B"/>
          <w:sz w:val="20"/>
        </w:rPr>
        <w:t>03_conflito_negociacao_cultura_clima_e_desenvolvimento_organizacional.md</w:t>
      </w:r>
    </w:p>
    <w:p>
      <w:pPr>
        <w:spacing w:after="120"/>
      </w:pPr>
    </w:p>
    <w:p>
      <w:pPr>
        <w:keepNext/>
        <w:spacing w:before="280" w:after="120"/>
      </w:pPr>
      <w:r>
        <w:rPr>
          <w:rFonts w:ascii="Arial" w:hAnsi="Arial"/>
          <w:b/>
          <w:i w:val="0"/>
          <w:color w:val="2C5282"/>
          <w:sz w:val="28"/>
        </w:rPr>
        <w:t>📌 Ementa / Itens do Edital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Conflito Organizacional: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Evolução das correntes teóricas sobre o conflito: Visão Tradicional (disfuncional e prejudicial), Visão de Relações Humanas (natural e inevitável) e Visão Interacionista (positivo e indispensável para evitar acomodação);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Conflito Funcional (construtivo, fomenta inovação e debate sadio) versus Conflito Disfuncional (destrutivo, desagrega equipes e bloqueia metas);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Tipos de conflito por conteúdo: Conflito de Tarefa, Conflito de Processo e Conflito de Relacionamento (quase sempre disfuncional);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Estilos de gestão de conflitos no modelo bidimensional de Kenneth Thomas e Ralph Kilmann (Competição/Forçamento, Colaboração, Acordo/Compromisso, Evitação/Fuga e Acomodação);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Técnicas de Negociação Organizacional: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Negociação Distributiva (modelo "ganha-perde", soma zero, foco em posições antagônicas e partilha de recursos fixos);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Negociação Integrativa (modelo "ganha-ganha", expansão do valor global, foco nos interesses mútuos subjacentes e relacionamentos duradouros);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Zona de Possível Acordo (ZOPA) e Melhor Alternativa para um Acordo Negociado (MAPAN / BATNA - </w:t>
      </w:r>
      <w:r>
        <w:rPr>
          <w:rFonts w:ascii="Arial" w:hAnsi="Arial"/>
          <w:b w:val="0"/>
          <w:i/>
          <w:color w:val="111827"/>
          <w:sz w:val="22"/>
        </w:rPr>
        <w:t>Best Alternative to a Negotiated Agreement</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Cultura Organizacional: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Conceito, funções, transmissão cultural (histórias, rituais, símbolos materiais e linguagem);</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Os três níveis da cultura organizacional de Edgar Schein: Artefatos (superficiais e visíveis), Valores Compartilhados (justificativas conscientes) e Pressupostos Básicos Subjacentes (núcleo invisível e inquestionável);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Culturas organizacionais fortes versus culturas fracas;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Clima Organizacional: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Definição: atmosfera psicológica e percepções compartilhadas dos membros sobre o ambiente funcional;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Diferenças fundamentais entre Cultura (permanente, antropológica e duradoura) e Clima (mutável, conjuntural e reflexo do momento);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Desenvolvimento Organizacional (DO) e Gestão da Mudança: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modelo de mudança planejada em três fases de Kurt Lewin: Descongelamento (</w:t>
      </w:r>
      <w:r>
        <w:rPr>
          <w:rFonts w:ascii="Arial" w:hAnsi="Arial"/>
          <w:b w:val="0"/>
          <w:i/>
          <w:color w:val="111827"/>
          <w:sz w:val="22"/>
        </w:rPr>
        <w:t>Unfreezing</w:t>
      </w:r>
      <w:r>
        <w:rPr>
          <w:rFonts w:ascii="Arial" w:hAnsi="Arial"/>
          <w:b w:val="0"/>
          <w:i w:val="0"/>
          <w:color w:val="111827"/>
          <w:sz w:val="22"/>
        </w:rPr>
        <w:t>), Mudança/Movimento (</w:t>
      </w:r>
      <w:r>
        <w:rPr>
          <w:rFonts w:ascii="Arial" w:hAnsi="Arial"/>
          <w:b w:val="0"/>
          <w:i/>
          <w:color w:val="111827"/>
          <w:sz w:val="22"/>
        </w:rPr>
        <w:t>Moving</w:t>
      </w:r>
      <w:r>
        <w:rPr>
          <w:rFonts w:ascii="Arial" w:hAnsi="Arial"/>
          <w:b w:val="0"/>
          <w:i w:val="0"/>
          <w:color w:val="111827"/>
          <w:sz w:val="22"/>
        </w:rPr>
        <w:t>) e Recongelamento (</w:t>
      </w:r>
      <w:r>
        <w:rPr>
          <w:rFonts w:ascii="Arial" w:hAnsi="Arial"/>
          <w:b w:val="0"/>
          <w:i/>
          <w:color w:val="111827"/>
          <w:sz w:val="22"/>
        </w:rPr>
        <w:t>Refreezing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Análise do Campo de Forças de Lewin: forças propulsoras/impulsoras versus forças restritivas;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Fontes de resistência à mudança individuais e organizacionais.</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Evolução Teórica do Conflito e Tipologias por Conteúdo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Estilos de Administração de Conflitos (Thomas-Kilmann)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Técnicas de Negociação: Distributiva vs. Integrativa (Modelo Harvard)</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Cultura Organizacional e os Três Níveis de Edgar Schein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Cultura Organizacional versus Clima Organizacional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Desenvolvimento Organizacional e Gestão da Mudança (Kurt Lewin)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8. Questões de Concurso FCC Comentadas</w:t>
      </w:r>
    </w:p>
    <w:p>
      <w:pPr>
        <w:keepNext/>
        <w:spacing w:before="280" w:after="120"/>
      </w:pPr>
      <w:r>
        <w:rPr>
          <w:rFonts w:ascii="Arial" w:hAnsi="Arial"/>
          <w:b/>
          <w:i w:val="0"/>
          <w:color w:val="2C5282"/>
          <w:sz w:val="28"/>
        </w:rPr>
        <w:t>📖 Resumo Teórico Aprofundado &amp; Esquematizado</w:t>
      </w:r>
    </w:p>
    <w:p>
      <w:pPr>
        <w:keepNext/>
        <w:spacing w:before="200" w:after="80"/>
      </w:pPr>
      <w:r>
        <w:rPr>
          <w:rFonts w:ascii="Arial" w:hAnsi="Arial"/>
          <w:b/>
          <w:i w:val="0"/>
          <w:color w:val="2B6CB0"/>
          <w:sz w:val="24"/>
        </w:rPr>
        <w:t>1. Evolução Teórica do Conflito e Tipologias por Conteúdo</w:t>
      </w:r>
    </w:p>
    <w:p>
      <w:pPr>
        <w:spacing w:line="360" w:lineRule="auto" w:before="0" w:after="80"/>
        <w:jc w:val="both"/>
      </w:pPr>
      <w:r>
        <w:rPr>
          <w:rFonts w:ascii="Arial" w:hAnsi="Arial"/>
          <w:b w:val="0"/>
          <w:i w:val="0"/>
          <w:color w:val="111827"/>
          <w:sz w:val="24"/>
        </w:rPr>
        <w:t>O conflito é um processo que se inicia quando uma das partes percebe que a outra afetou ou está prestes a afetar negativamente algo que lhe é importante. A compreensão do conflito evoluiu em três correntes históricas fundamentais: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Conflito Funcional (Construtivo):</w:t>
      </w:r>
      <w:r>
        <w:rPr>
          <w:rFonts w:ascii="Arial" w:hAnsi="Arial"/>
          <w:b w:val="0"/>
          <w:i w:val="0"/>
          <w:color w:val="111827"/>
          <w:sz w:val="22"/>
        </w:rPr>
        <w:t xml:space="preserve"> Apoia as metas organizacionais, desafia o conformismo, promove a revisão crítica de rotinas ultrapassadas e aperfeiçoa as decisões da equipe.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Conflito Disfuncional (Destrutivo):</w:t>
      </w:r>
      <w:r>
        <w:rPr>
          <w:rFonts w:ascii="Arial" w:hAnsi="Arial"/>
          <w:b w:val="0"/>
          <w:i w:val="0"/>
          <w:color w:val="111827"/>
          <w:sz w:val="22"/>
        </w:rPr>
        <w:t xml:space="preserve"> Atrapalha o desempenho da instituição, alimenta hostilidades pessoais, reduz a comunicação interna, destrói a coesão e paralisa as entregas de valor público.</w:t>
      </w:r>
    </w:p>
    <w:p>
      <w:pPr>
        <w:keepNext/>
        <w:spacing w:before="120" w:after="40"/>
      </w:pPr>
      <w:r>
        <w:rPr>
          <w:rFonts w:ascii="Arial" w:hAnsi="Arial"/>
          <w:b/>
          <w:i/>
          <w:color w:val="334155"/>
          <w:sz w:val="22"/>
        </w:rPr>
        <w:t>Classificação dos Conflitos por Conteúdo: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Conflito de Tarefa:</w:t>
      </w:r>
      <w:r>
        <w:rPr>
          <w:rFonts w:ascii="Arial" w:hAnsi="Arial"/>
          <w:b w:val="0"/>
          <w:i w:val="0"/>
          <w:color w:val="111827"/>
          <w:sz w:val="22"/>
        </w:rPr>
        <w:t xml:space="preserve"> Envolve divergências quanto ao conteúdo, às metas e aos resultados almejados no trabalho. Em níveis moderados, costuma ser </w:t>
      </w:r>
      <w:r>
        <w:rPr>
          <w:rFonts w:ascii="Arial" w:hAnsi="Arial"/>
          <w:b/>
          <w:i w:val="0"/>
          <w:color w:val="111827"/>
          <w:sz w:val="22"/>
        </w:rPr>
        <w:t>funcional e positivo</w:t>
      </w:r>
      <w:r>
        <w:rPr>
          <w:rFonts w:ascii="Arial" w:hAnsi="Arial"/>
          <w:b w:val="0"/>
          <w:i w:val="0"/>
          <w:color w:val="111827"/>
          <w:sz w:val="22"/>
        </w:rPr>
        <w:t xml:space="preserve"> para o surgimento de novas ideias.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Conflito de Processo:</w:t>
      </w:r>
      <w:r>
        <w:rPr>
          <w:rFonts w:ascii="Arial" w:hAnsi="Arial"/>
          <w:b w:val="0"/>
          <w:i w:val="0"/>
          <w:color w:val="111827"/>
          <w:sz w:val="22"/>
        </w:rPr>
        <w:t xml:space="preserve"> Refere-se a divergências sobre </w:t>
      </w:r>
      <w:r>
        <w:rPr>
          <w:rFonts w:ascii="Arial" w:hAnsi="Arial"/>
          <w:b w:val="0"/>
          <w:i/>
          <w:color w:val="111827"/>
          <w:sz w:val="22"/>
        </w:rPr>
        <w:t>como</w:t>
      </w:r>
      <w:r>
        <w:rPr>
          <w:rFonts w:ascii="Arial" w:hAnsi="Arial"/>
          <w:b w:val="0"/>
          <w:i w:val="0"/>
          <w:color w:val="111827"/>
          <w:sz w:val="22"/>
        </w:rPr>
        <w:t xml:space="preserve"> o trabalho deve ser executado e quem deve assumir cada responsabilidade operacional. Costuma ser produtivo apenas em níveis muito baixos.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Conflito de Relacionamento:</w:t>
      </w:r>
      <w:r>
        <w:rPr>
          <w:rFonts w:ascii="Arial" w:hAnsi="Arial"/>
          <w:b w:val="0"/>
          <w:i w:val="0"/>
          <w:color w:val="111827"/>
          <w:sz w:val="22"/>
        </w:rPr>
        <w:t xml:space="preserve"> Focado em incompatibilidades interpessoais, antipatias afetivas e atritos emocionais entre servidores. É </w:t>
      </w:r>
      <w:r>
        <w:rPr>
          <w:rFonts w:ascii="Arial" w:hAnsi="Arial"/>
          <w:b/>
          <w:i w:val="0"/>
          <w:color w:val="111827"/>
          <w:sz w:val="22"/>
        </w:rPr>
        <w:t>quase invariavelmente DISFUNCIONAL</w:t>
      </w:r>
      <w:r>
        <w:rPr>
          <w:rFonts w:ascii="Arial" w:hAnsi="Arial"/>
          <w:b w:val="0"/>
          <w:i w:val="0"/>
          <w:color w:val="111827"/>
          <w:sz w:val="22"/>
        </w:rPr>
        <w:t>, desestabilizando o ambiente e destruindo a cooperação mútua.</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ATENÇÃO (O CONFLITO DE RELACIONAMENTO É DISFUNCIONAL):</w:t>
            </w:r>
          </w:p>
          <w:p>
            <w:pPr>
              <w:spacing w:line="288" w:lineRule="auto" w:before="40" w:after="40"/>
            </w:pPr>
            <w:r>
              <w:rPr>
                <w:rFonts w:ascii="Arial" w:hAnsi="Arial"/>
                <w:b w:val="0"/>
                <w:i w:val="0"/>
                <w:color w:val="111827"/>
                <w:sz w:val="21"/>
              </w:rPr>
              <w:t xml:space="preserve">A visão interacionista afirma que o conflito de tarefas pode ser funcional, mas alerta categoricamente que o </w:t>
            </w:r>
            <w:r>
              <w:rPr>
                <w:rFonts w:ascii="Arial" w:hAnsi="Arial"/>
                <w:b/>
                <w:i w:val="0"/>
                <w:color w:val="111827"/>
                <w:sz w:val="21"/>
              </w:rPr>
              <w:t>conflito de relacionamento (interpessoal/afetivo) é quase sempre DISFUNCIONAL</w:t>
            </w:r>
            <w:r>
              <w:rPr>
                <w:rFonts w:ascii="Arial" w:hAnsi="Arial"/>
                <w:b w:val="0"/>
                <w:i w:val="0"/>
                <w:color w:val="111827"/>
                <w:sz w:val="21"/>
              </w:rPr>
              <w:t>, pois desgasta a convivência, destrói a confiança mútua e paralisa as entregas públicas!</w:t>
            </w:r>
          </w:p>
        </w:tc>
      </w:tr>
    </w:tbl>
    <w:p>
      <w:pPr>
        <w:spacing w:before="0" w:after="120"/>
      </w:pPr>
    </w:p>
    <w:p>
      <w:pPr>
        <w:keepNext/>
        <w:spacing w:before="200" w:after="80"/>
      </w:pPr>
      <w:r>
        <w:rPr>
          <w:rFonts w:ascii="Arial" w:hAnsi="Arial"/>
          <w:b/>
          <w:i w:val="0"/>
          <w:color w:val="2B6CB0"/>
          <w:sz w:val="24"/>
        </w:rPr>
        <w:t>2. Estilos de Administração de Conflitos (Thomas-Kilmann)</w:t>
      </w:r>
    </w:p>
    <w:p>
      <w:pPr>
        <w:spacing w:line="360" w:lineRule="auto" w:before="0" w:after="80"/>
        <w:jc w:val="both"/>
      </w:pPr>
      <w:r>
        <w:rPr>
          <w:rFonts w:ascii="Arial" w:hAnsi="Arial"/>
          <w:b w:val="0"/>
          <w:i w:val="0"/>
          <w:color w:val="111827"/>
          <w:sz w:val="24"/>
        </w:rPr>
        <w:t xml:space="preserve">Kenneth Thomas e Ralph Kilmann estruturaram a resolução de conflitos sobre dois eixos comportamentais fundamentais: </w:t>
      </w:r>
      <w:r>
        <w:rPr>
          <w:rFonts w:ascii="Arial" w:hAnsi="Arial"/>
          <w:b/>
          <w:i w:val="0"/>
          <w:color w:val="111827"/>
          <w:sz w:val="24"/>
        </w:rPr>
        <w:t>Assertividade</w:t>
      </w:r>
      <w:r>
        <w:rPr>
          <w:rFonts w:ascii="Arial" w:hAnsi="Arial"/>
          <w:b w:val="0"/>
          <w:i w:val="0"/>
          <w:color w:val="111827"/>
          <w:sz w:val="24"/>
        </w:rPr>
        <w:t xml:space="preserve"> (grau em que o sujeito busca fazer valer seus próprios interesses) e </w:t>
      </w:r>
      <w:r>
        <w:rPr>
          <w:rFonts w:ascii="Arial" w:hAnsi="Arial"/>
          <w:b/>
          <w:i w:val="0"/>
          <w:color w:val="111827"/>
          <w:sz w:val="24"/>
        </w:rPr>
        <w:t>Cooperatividade</w:t>
      </w:r>
      <w:r>
        <w:rPr>
          <w:rFonts w:ascii="Arial" w:hAnsi="Arial"/>
          <w:b w:val="0"/>
          <w:i w:val="0"/>
          <w:color w:val="111827"/>
          <w:sz w:val="24"/>
        </w:rPr>
        <w:t xml:space="preserve"> (grau em que busca atender às necessidades da contraparte):</w:t>
      </w:r>
    </w:p>
    <w:p>
      <w:pPr>
        <w:spacing w:after="120"/>
      </w:pPr>
    </w:p>
    <w:p>
      <w:pPr>
        <w:keepNext/>
        <w:spacing w:before="200" w:after="80"/>
      </w:pPr>
      <w:r>
        <w:rPr>
          <w:rFonts w:ascii="Arial" w:hAnsi="Arial"/>
          <w:b/>
          <w:i w:val="0"/>
          <w:color w:val="2B6CB0"/>
          <w:sz w:val="24"/>
        </w:rPr>
        <w:t>3. Técnicas de Negociação: Distributiva vs. Integrativa (Modelo Harvard)</w:t>
      </w:r>
    </w:p>
    <w:p>
      <w:pPr>
        <w:spacing w:line="360" w:lineRule="auto" w:before="0" w:after="80"/>
        <w:jc w:val="both"/>
      </w:pPr>
      <w:r>
        <w:rPr>
          <w:rFonts w:ascii="Arial" w:hAnsi="Arial"/>
          <w:b w:val="0"/>
          <w:i w:val="0"/>
          <w:color w:val="111827"/>
          <w:sz w:val="24"/>
        </w:rPr>
        <w:t>A negociação é um processo dialógico de tomada de decisão conjunta em que duas ou mais partes interdependentes procuram formular um acordo:</w:t>
      </w:r>
    </w:p>
    <w:p>
      <w:pPr>
        <w:spacing w:after="120"/>
      </w:pPr>
    </w:p>
    <w:p>
      <w:pPr>
        <w:keepNext/>
        <w:spacing w:before="120" w:after="40"/>
      </w:pPr>
      <w:r>
        <w:rPr>
          <w:rFonts w:ascii="Arial" w:hAnsi="Arial"/>
          <w:b/>
          <w:i/>
          <w:color w:val="334155"/>
          <w:sz w:val="22"/>
        </w:rPr>
        <w:t>Fundamentos do Projeto de Negociação de Harvard:</w:t>
      </w:r>
    </w:p>
    <w:p>
      <w:pPr>
        <w:spacing w:line="276" w:lineRule="auto" w:before="20" w:after="40"/>
        <w:ind w:left="425"/>
      </w:pPr>
      <w:r>
        <w:rPr>
          <w:rFonts w:ascii="Arial" w:hAnsi="Arial"/>
          <w:b/>
          <w:color w:val="1B365D"/>
          <w:sz w:val="22"/>
        </w:rPr>
        <w:t xml:space="preserve">1. </w:t>
      </w:r>
      <w:r>
        <w:rPr>
          <w:rFonts w:ascii="Arial" w:hAnsi="Arial"/>
          <w:b/>
          <w:i w:val="0"/>
          <w:color w:val="111827"/>
          <w:sz w:val="22"/>
        </w:rPr>
        <w:t>Separar as Pessoas do Problema:</w:t>
      </w:r>
      <w:r>
        <w:rPr>
          <w:rFonts w:ascii="Arial" w:hAnsi="Arial"/>
          <w:b w:val="0"/>
          <w:i w:val="0"/>
          <w:color w:val="111827"/>
          <w:sz w:val="22"/>
        </w:rPr>
        <w:t xml:space="preserve"> Ser firme e assertivo com o conteúdo da divergência, porém empático, cordial e respeitoso com o interlocutor.</w:t>
      </w:r>
    </w:p>
    <w:p>
      <w:pPr>
        <w:spacing w:line="276" w:lineRule="auto" w:before="20" w:after="40"/>
        <w:ind w:left="425"/>
      </w:pPr>
      <w:r>
        <w:rPr>
          <w:rFonts w:ascii="Arial" w:hAnsi="Arial"/>
          <w:b/>
          <w:color w:val="1B365D"/>
          <w:sz w:val="22"/>
        </w:rPr>
        <w:t xml:space="preserve">2. </w:t>
      </w:r>
      <w:r>
        <w:rPr>
          <w:rFonts w:ascii="Arial" w:hAnsi="Arial"/>
          <w:b/>
          <w:i w:val="0"/>
          <w:color w:val="111827"/>
          <w:sz w:val="22"/>
        </w:rPr>
        <w:t>Focar nos Interesses, não nas Posições:</w:t>
      </w:r>
      <w:r>
        <w:rPr>
          <w:rFonts w:ascii="Arial" w:hAnsi="Arial"/>
          <w:b w:val="0"/>
          <w:i w:val="0"/>
          <w:color w:val="111827"/>
          <w:sz w:val="22"/>
        </w:rPr>
        <w:t xml:space="preserve"> As </w:t>
      </w:r>
      <w:r>
        <w:rPr>
          <w:rFonts w:ascii="Arial" w:hAnsi="Arial"/>
          <w:b/>
          <w:i w:val="0"/>
          <w:color w:val="111827"/>
          <w:sz w:val="22"/>
        </w:rPr>
        <w:t>posições</w:t>
      </w:r>
      <w:r>
        <w:rPr>
          <w:rFonts w:ascii="Arial" w:hAnsi="Arial"/>
          <w:b w:val="0"/>
          <w:i w:val="0"/>
          <w:color w:val="111827"/>
          <w:sz w:val="22"/>
        </w:rPr>
        <w:t xml:space="preserve"> correspondem àquilo que as partes declaram verbalmente que querem; os </w:t>
      </w:r>
      <w:r>
        <w:rPr>
          <w:rFonts w:ascii="Arial" w:hAnsi="Arial"/>
          <w:b/>
          <w:i w:val="0"/>
          <w:color w:val="111827"/>
          <w:sz w:val="22"/>
        </w:rPr>
        <w:t>interesses</w:t>
      </w:r>
      <w:r>
        <w:rPr>
          <w:rFonts w:ascii="Arial" w:hAnsi="Arial"/>
          <w:b w:val="0"/>
          <w:i w:val="0"/>
          <w:color w:val="111827"/>
          <w:sz w:val="22"/>
        </w:rPr>
        <w:t xml:space="preserve"> expressam as necessidades reais, motivações e anseios subjacentes que motivam tais posições.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Criar Opções de Ganho Mútuo:</w:t>
      </w:r>
      <w:r>
        <w:rPr>
          <w:rFonts w:ascii="Arial" w:hAnsi="Arial"/>
          <w:b w:val="0"/>
          <w:i w:val="0"/>
          <w:color w:val="111827"/>
          <w:sz w:val="22"/>
        </w:rPr>
        <w:t xml:space="preserve"> Exercício de criatividade conjunta antes de bater o martelo para encontrar soluções que agreguem valor para ambos os lados.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ZOPA (Zona de Possível Acordo):</w:t>
      </w:r>
      <w:r>
        <w:rPr>
          <w:rFonts w:ascii="Arial" w:hAnsi="Arial"/>
          <w:b w:val="0"/>
          <w:i w:val="0"/>
          <w:color w:val="111827"/>
          <w:sz w:val="22"/>
        </w:rPr>
        <w:t xml:space="preserve"> Faixa de intersecção compreendida entre os valores de reserva (pontos de recuo) dos negociadores. Havendo sobreposição favorável, a ZOPA é positiva e existe viabilidade negocial concreta.</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**BATNA / MAPAN (</w:t>
      </w:r>
      <w:r>
        <w:rPr>
          <w:rFonts w:ascii="Arial" w:hAnsi="Arial"/>
          <w:b w:val="0"/>
          <w:i/>
          <w:color w:val="111827"/>
          <w:sz w:val="22"/>
        </w:rPr>
        <w:t>Best Alternative to a Negotiated Agreement</w:t>
      </w:r>
      <w:r>
        <w:rPr>
          <w:rFonts w:ascii="Arial" w:hAnsi="Arial"/>
          <w:b w:val="0"/>
          <w:i w:val="0"/>
          <w:color w:val="111827"/>
          <w:sz w:val="22"/>
        </w:rPr>
        <w:t xml:space="preserve"> / Melhor Alternativa para um Acordo Negociado):** A melhor opção de contingência que o negociador possui fora da mesa se as tratativas terminarem sem consenso. Quanto mais forte e atrativo for o BATNA, maior será o poder de barganha do negociador.</w:t>
      </w:r>
    </w:p>
    <w:p>
      <w:pPr>
        <w:keepNext/>
        <w:spacing w:before="200" w:after="80"/>
      </w:pPr>
      <w:r>
        <w:rPr>
          <w:rFonts w:ascii="Arial" w:hAnsi="Arial"/>
          <w:b/>
          <w:i w:val="0"/>
          <w:color w:val="2B6CB0"/>
          <w:sz w:val="24"/>
        </w:rPr>
        <w:t>4. Cultura Organizacional e os Três Níveis de Edgar Schein</w:t>
      </w:r>
    </w:p>
    <w:p>
      <w:pPr>
        <w:spacing w:line="360" w:lineRule="auto" w:before="0" w:after="80"/>
        <w:jc w:val="both"/>
      </w:pPr>
      <w:r>
        <w:rPr>
          <w:rFonts w:ascii="Arial" w:hAnsi="Arial"/>
          <w:b w:val="0"/>
          <w:i w:val="0"/>
          <w:color w:val="111827"/>
          <w:sz w:val="24"/>
        </w:rPr>
        <w:t xml:space="preserve">A cultura organizacional é o sistema de significados compartilhados, valores, crenças e normas que diferenciam uma instituição de todas as outras. Edgar Schein concebeu a cultura como uma estrutura em camadas, assemelhada a um </w:t>
      </w:r>
      <w:r>
        <w:rPr>
          <w:rFonts w:ascii="Arial" w:hAnsi="Arial"/>
          <w:b w:val="0"/>
          <w:i/>
          <w:color w:val="111827"/>
          <w:sz w:val="24"/>
        </w:rPr>
        <w:t>iceberg</w:t>
      </w:r>
      <w:r>
        <w:rPr>
          <w:rFonts w:ascii="Arial" w:hAnsi="Arial"/>
          <w:b w:val="0"/>
          <w:i w:val="0"/>
          <w:color w:val="111827"/>
          <w:sz w:val="24"/>
        </w:rPr>
        <w:t>:</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Artefatos:</w:t>
      </w:r>
      <w:r>
        <w:rPr>
          <w:rFonts w:ascii="Arial" w:hAnsi="Arial"/>
          <w:b w:val="0"/>
          <w:i w:val="0"/>
          <w:color w:val="111827"/>
          <w:sz w:val="22"/>
        </w:rPr>
        <w:t xml:space="preserve"> Manifestações físicas, visuais e auditivas observáveis (o modelo de mesas no TCE-GO, o uniforme, a forma de tratamento entre os servidores, a tecnologia em uso). São fáceis de constatar, mas a interpretação de seu significado profundo exige cautela analítica.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Valores Compartilhados:</w:t>
      </w:r>
      <w:r>
        <w:rPr>
          <w:rFonts w:ascii="Arial" w:hAnsi="Arial"/>
          <w:b w:val="0"/>
          <w:i w:val="0"/>
          <w:color w:val="111827"/>
          <w:sz w:val="22"/>
        </w:rPr>
        <w:t xml:space="preserve"> Valores conscientemente explicitados, regras de convivência social e discursos oficiais adotados pelos líderes para justificar suas decisões.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Pressupostos Básicos Subjacentes:</w:t>
      </w:r>
      <w:r>
        <w:rPr>
          <w:rFonts w:ascii="Arial" w:hAnsi="Arial"/>
          <w:b w:val="0"/>
          <w:i w:val="0"/>
          <w:color w:val="111827"/>
          <w:sz w:val="22"/>
        </w:rPr>
        <w:t xml:space="preserve"> O núcleo central e mais profundo da cultura. São verdades tão enraizadas e óbvias para o grupo que já se tornaram automáticas, inconscientes e inquestionáveis, ditando como os membros percebem a realidade e agem no cotidiano.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(PRESSUPOSTOS BÁSICOS DE SCHEIN):</w:t>
            </w:r>
          </w:p>
          <w:p>
            <w:pPr>
              <w:spacing w:line="288" w:lineRule="auto" w:before="40" w:after="40"/>
            </w:pPr>
            <w:r>
              <w:rPr>
                <w:rFonts w:ascii="Arial" w:hAnsi="Arial"/>
                <w:b w:val="0"/>
                <w:i w:val="0"/>
                <w:color w:val="111827"/>
                <w:sz w:val="21"/>
              </w:rPr>
              <w:t xml:space="preserve">Questão predileta da FCC: afirmar que "os pressupostos básicos da cultura organizacional são formalmente redigidos no código de ética e afixados nos murais da entidade". </w:t>
            </w:r>
            <w:r>
              <w:rPr>
                <w:rFonts w:ascii="Arial" w:hAnsi="Arial"/>
                <w:b/>
                <w:i w:val="0"/>
                <w:color w:val="111827"/>
                <w:sz w:val="21"/>
              </w:rPr>
              <w:t>FALSO!</w:t>
            </w:r>
            <w:r>
              <w:rPr>
                <w:rFonts w:ascii="Arial" w:hAnsi="Arial"/>
                <w:b w:val="0"/>
                <w:i w:val="0"/>
                <w:color w:val="111827"/>
                <w:sz w:val="21"/>
              </w:rPr>
              <w:t xml:space="preserve"> Códigos formais e murais são </w:t>
            </w:r>
            <w:r>
              <w:rPr>
                <w:rFonts w:ascii="Arial" w:hAnsi="Arial"/>
                <w:b/>
                <w:i w:val="0"/>
                <w:color w:val="111827"/>
                <w:sz w:val="21"/>
              </w:rPr>
              <w:t>Artefatos</w:t>
            </w:r>
            <w:r>
              <w:rPr>
                <w:rFonts w:ascii="Arial" w:hAnsi="Arial"/>
                <w:b w:val="0"/>
                <w:i w:val="0"/>
                <w:color w:val="111827"/>
                <w:sz w:val="21"/>
              </w:rPr>
              <w:t xml:space="preserve"> ou </w:t>
            </w:r>
            <w:r>
              <w:rPr>
                <w:rFonts w:ascii="Arial" w:hAnsi="Arial"/>
                <w:b/>
                <w:i w:val="0"/>
                <w:color w:val="111827"/>
                <w:sz w:val="21"/>
              </w:rPr>
              <w:t>Valores Compartilhados</w:t>
            </w:r>
            <w:r>
              <w:rPr>
                <w:rFonts w:ascii="Arial" w:hAnsi="Arial"/>
                <w:b w:val="0"/>
                <w:i w:val="0"/>
                <w:color w:val="111827"/>
                <w:sz w:val="21"/>
              </w:rPr>
              <w:t xml:space="preserve"> expressos. Os </w:t>
            </w:r>
            <w:r>
              <w:rPr>
                <w:rFonts w:ascii="Arial" w:hAnsi="Arial"/>
                <w:b/>
                <w:i w:val="0"/>
                <w:color w:val="111827"/>
                <w:sz w:val="21"/>
              </w:rPr>
              <w:t>Pressupostos Básicos Subjacentes</w:t>
            </w:r>
            <w:r>
              <w:rPr>
                <w:rFonts w:ascii="Arial" w:hAnsi="Arial"/>
                <w:b w:val="0"/>
                <w:i w:val="0"/>
                <w:color w:val="111827"/>
                <w:sz w:val="21"/>
              </w:rPr>
              <w:t xml:space="preserve"> são </w:t>
            </w:r>
            <w:r>
              <w:rPr>
                <w:rFonts w:ascii="Arial" w:hAnsi="Arial"/>
                <w:b/>
                <w:i w:val="0"/>
                <w:color w:val="111827"/>
                <w:sz w:val="21"/>
              </w:rPr>
              <w:t>inconscientes, tácitos e invisíveis</w:t>
            </w:r>
            <w:r>
              <w:rPr>
                <w:rFonts w:ascii="Arial" w:hAnsi="Arial"/>
                <w:b w:val="0"/>
                <w:i w:val="0"/>
                <w:color w:val="111827"/>
                <w:sz w:val="21"/>
              </w:rPr>
              <w:t>, operando de modo automático e natural na mente dos membros!</w:t>
            </w:r>
          </w:p>
        </w:tc>
      </w:tr>
    </w:tbl>
    <w:p>
      <w:pPr>
        <w:spacing w:before="0" w:after="120"/>
      </w:pPr>
    </w:p>
    <w:p>
      <w:pPr>
        <w:keepNext/>
        <w:spacing w:before="200" w:after="80"/>
      </w:pPr>
      <w:r>
        <w:rPr>
          <w:rFonts w:ascii="Arial" w:hAnsi="Arial"/>
          <w:b/>
          <w:i w:val="0"/>
          <w:color w:val="2B6CB0"/>
          <w:sz w:val="24"/>
        </w:rPr>
        <w:t>5. Cultura Organizacional versus Clima Organizacional</w:t>
      </w:r>
    </w:p>
    <w:p>
      <w:pPr>
        <w:spacing w:after="120"/>
      </w:pPr>
    </w:p>
    <w:p>
      <w:pPr>
        <w:keepNext/>
        <w:spacing w:before="120" w:after="40"/>
      </w:pPr>
      <w:r>
        <w:rPr>
          <w:rFonts w:ascii="Arial" w:hAnsi="Arial"/>
          <w:b/>
          <w:i/>
          <w:color w:val="334155"/>
          <w:sz w:val="22"/>
        </w:rPr>
        <w:t>Tabela Comparativa Analítica:</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Cultura Organizacional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Clima Organizacional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Origem e Natureza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Histórica, antropológica e estrutural da organização.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Psicológica, conjuntural e perceptual dos servidores.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Estabilidade no Tempo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Perene e altamente estável:</w:t>
            </w:r>
            <w:r>
              <w:rPr>
                <w:rFonts w:ascii="Arial" w:hAnsi="Arial"/>
                <w:b w:val="0"/>
                <w:i w:val="0"/>
                <w:color w:val="111827"/>
                <w:sz w:val="19"/>
              </w:rPr>
              <w:t xml:space="preserve"> Demora décadas para se enraizar e anos para se transformar.</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Transitório e volátil:</w:t>
            </w:r>
            <w:r>
              <w:rPr>
                <w:rFonts w:ascii="Arial" w:hAnsi="Arial"/>
                <w:b w:val="0"/>
                <w:i w:val="0"/>
                <w:color w:val="111827"/>
                <w:sz w:val="19"/>
              </w:rPr>
              <w:t xml:space="preserve"> Pode mudar rapidamente com a troca de um diretor, reformas prediais ou novo plano salarial.</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Objeto de Análise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Valores morais, crenças, mitos, rituais e pressupostos básicos inconscientes.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Sentimentos, motivação momentânea e percepções compartilhadas sobre o ambiente de trabalho.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Metáfora Clássica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É o </w:t>
            </w:r>
            <w:r>
              <w:rPr>
                <w:rFonts w:ascii="Arial" w:hAnsi="Arial"/>
                <w:b/>
                <w:i w:val="0"/>
                <w:color w:val="111827"/>
                <w:sz w:val="19"/>
              </w:rPr>
              <w:t>DNA e a Personalidade</w:t>
            </w:r>
            <w:r>
              <w:rPr>
                <w:rFonts w:ascii="Arial" w:hAnsi="Arial"/>
                <w:b w:val="0"/>
                <w:i w:val="0"/>
                <w:color w:val="111827"/>
                <w:sz w:val="19"/>
              </w:rPr>
              <w:t xml:space="preserve"> duradoura da instituição.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É o </w:t>
            </w:r>
            <w:r>
              <w:rPr>
                <w:rFonts w:ascii="Arial" w:hAnsi="Arial"/>
                <w:b/>
                <w:i w:val="0"/>
                <w:color w:val="111827"/>
                <w:sz w:val="19"/>
              </w:rPr>
              <w:t>Estado de Espírito e o Humor</w:t>
            </w:r>
            <w:r>
              <w:rPr>
                <w:rFonts w:ascii="Arial" w:hAnsi="Arial"/>
                <w:b w:val="0"/>
                <w:i w:val="0"/>
                <w:color w:val="111827"/>
                <w:sz w:val="19"/>
              </w:rPr>
              <w:t xml:space="preserve"> momentâneo da equipe.</w:t>
            </w:r>
          </w:p>
        </w:tc>
      </w:tr>
    </w:tbl>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(CULTURA VS. CLIMA ORGANIZACIONAL):</w:t>
            </w:r>
          </w:p>
          <w:p>
            <w:pPr>
              <w:spacing w:line="288" w:lineRule="auto" w:before="40" w:after="40"/>
            </w:pPr>
            <w:r>
              <w:rPr>
                <w:rFonts w:ascii="Arial" w:hAnsi="Arial"/>
                <w:b w:val="0"/>
                <w:i w:val="0"/>
                <w:color w:val="111827"/>
                <w:sz w:val="21"/>
              </w:rPr>
              <w:t xml:space="preserve">- Se o enunciado relatar o moral da equipe, a atmosfera vivenciada após uma nomeação ou o nível momentâneo de entusiasmo com um bônus: trata-se de </w:t>
            </w:r>
            <w:r>
              <w:rPr>
                <w:rFonts w:ascii="Arial" w:hAnsi="Arial"/>
                <w:b/>
                <w:i w:val="0"/>
                <w:color w:val="111827"/>
                <w:sz w:val="21"/>
              </w:rPr>
              <w:t>CLIMA</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Se relatar tradições institucionais de décadas, rituais históricos consolidados, crenças profundas e valores compartilhados: trata-se de </w:t>
            </w:r>
            <w:r>
              <w:rPr>
                <w:rFonts w:ascii="Arial" w:hAnsi="Arial"/>
                <w:b/>
                <w:i w:val="0"/>
                <w:color w:val="111827"/>
                <w:sz w:val="21"/>
              </w:rPr>
              <w:t>CULTURA</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6. Desenvolvimento Organizacional e Gestão da Mudança (Kurt Lewin)</w:t>
      </w:r>
    </w:p>
    <w:p>
      <w:pPr>
        <w:spacing w:line="360" w:lineRule="auto" w:before="0" w:after="80"/>
        <w:jc w:val="both"/>
      </w:pPr>
      <w:r>
        <w:rPr>
          <w:rFonts w:ascii="Arial" w:hAnsi="Arial"/>
          <w:b w:val="0"/>
          <w:i w:val="0"/>
          <w:color w:val="111827"/>
          <w:sz w:val="24"/>
        </w:rPr>
        <w:t>O Desenvolvimento Organizacional (DO) é uma abordagem planejada de longo prazo voltada para transformar as atitudes, valores, processos e estruturas da organização, assegurando sua adaptabilidade contínua.</w:t>
      </w:r>
    </w:p>
    <w:p>
      <w:pPr>
        <w:spacing w:line="360" w:lineRule="auto" w:before="0" w:after="80"/>
        <w:jc w:val="both"/>
      </w:pPr>
      <w:r>
        <w:rPr>
          <w:rFonts w:ascii="Arial" w:hAnsi="Arial"/>
          <w:b w:val="0"/>
          <w:i w:val="0"/>
          <w:color w:val="111827"/>
          <w:sz w:val="24"/>
        </w:rPr>
        <w:t xml:space="preserve">Kurt Lewin formulou o clássico </w:t>
      </w:r>
      <w:r>
        <w:rPr>
          <w:rFonts w:ascii="Arial" w:hAnsi="Arial"/>
          <w:b/>
          <w:i w:val="0"/>
          <w:color w:val="111827"/>
          <w:sz w:val="24"/>
        </w:rPr>
        <w:t>Modelo de Mudança Planejada em Três Fases</w:t>
      </w:r>
      <w:r>
        <w:rPr>
          <w:rFonts w:ascii="Arial" w:hAnsi="Arial"/>
          <w:b w:val="0"/>
          <w:i w:val="0"/>
          <w:color w:val="111827"/>
          <w:sz w:val="24"/>
        </w:rPr>
        <w:t>:</w:t>
      </w:r>
    </w:p>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**Descongelamento (</w:t>
      </w:r>
      <w:r>
        <w:rPr>
          <w:rFonts w:ascii="Arial" w:hAnsi="Arial"/>
          <w:b w:val="0"/>
          <w:i/>
          <w:color w:val="111827"/>
          <w:sz w:val="22"/>
        </w:rPr>
        <w:t>Unfreezing</w:t>
      </w:r>
      <w:r>
        <w:rPr>
          <w:rFonts w:ascii="Arial" w:hAnsi="Arial"/>
          <w:b w:val="0"/>
          <w:i w:val="0"/>
          <w:color w:val="111827"/>
          <w:sz w:val="22"/>
        </w:rPr>
        <w:t xml:space="preserve">):** A liderança quebra a inércia e desafia o </w:t>
      </w:r>
      <w:r>
        <w:rPr>
          <w:rFonts w:ascii="Arial" w:hAnsi="Arial"/>
          <w:b w:val="0"/>
          <w:i/>
          <w:color w:val="111827"/>
          <w:sz w:val="22"/>
        </w:rPr>
        <w:t>status quo</w:t>
      </w:r>
      <w:r>
        <w:rPr>
          <w:rFonts w:ascii="Arial" w:hAnsi="Arial"/>
          <w:b w:val="0"/>
          <w:i w:val="0"/>
          <w:color w:val="111827"/>
          <w:sz w:val="22"/>
        </w:rPr>
        <w:t xml:space="preserve"> vigente, conscientizando os servidores de que as rotinas antigas estão superadas, criando a prontidão psicológica indispensável para a mudança.</w:t>
      </w:r>
    </w:p>
    <w:p>
      <w:pPr>
        <w:spacing w:line="276" w:lineRule="auto" w:before="20" w:after="40"/>
        <w:ind w:left="425"/>
      </w:pPr>
      <w:r>
        <w:rPr>
          <w:rFonts w:ascii="Arial" w:hAnsi="Arial"/>
          <w:b/>
          <w:color w:val="1B365D"/>
          <w:sz w:val="22"/>
        </w:rPr>
        <w:t xml:space="preserve">2. </w:t>
      </w:r>
      <w:r>
        <w:rPr>
          <w:rFonts w:ascii="Arial" w:hAnsi="Arial"/>
          <w:b w:val="0"/>
          <w:i w:val="0"/>
          <w:color w:val="111827"/>
          <w:sz w:val="22"/>
        </w:rPr>
        <w:t>**Movimento / Mudança (</w:t>
      </w:r>
      <w:r>
        <w:rPr>
          <w:rFonts w:ascii="Arial" w:hAnsi="Arial"/>
          <w:b w:val="0"/>
          <w:i/>
          <w:color w:val="111827"/>
          <w:sz w:val="22"/>
        </w:rPr>
        <w:t>Changing</w:t>
      </w:r>
      <w:r>
        <w:rPr>
          <w:rFonts w:ascii="Arial" w:hAnsi="Arial"/>
          <w:b w:val="0"/>
          <w:i w:val="0"/>
          <w:color w:val="111827"/>
          <w:sz w:val="22"/>
        </w:rPr>
        <w:t>):** Fase de transição e implementação prática; os servidores recebem capacitação, assimilam novos softwares e passam a adotar novos processos de trabalho.</w:t>
      </w:r>
    </w:p>
    <w:p>
      <w:pPr>
        <w:spacing w:line="276" w:lineRule="auto" w:before="20" w:after="40"/>
        <w:ind w:left="425"/>
      </w:pPr>
      <w:r>
        <w:rPr>
          <w:rFonts w:ascii="Arial" w:hAnsi="Arial"/>
          <w:b/>
          <w:color w:val="1B365D"/>
          <w:sz w:val="22"/>
        </w:rPr>
        <w:t xml:space="preserve">3. </w:t>
      </w:r>
      <w:r>
        <w:rPr>
          <w:rFonts w:ascii="Arial" w:hAnsi="Arial"/>
          <w:b w:val="0"/>
          <w:i w:val="0"/>
          <w:color w:val="111827"/>
          <w:sz w:val="22"/>
        </w:rPr>
        <w:t>**Recongelamento (</w:t>
      </w:r>
      <w:r>
        <w:rPr>
          <w:rFonts w:ascii="Arial" w:hAnsi="Arial"/>
          <w:b w:val="0"/>
          <w:i/>
          <w:color w:val="111827"/>
          <w:sz w:val="22"/>
        </w:rPr>
        <w:t>Refreezing</w:t>
      </w:r>
      <w:r>
        <w:rPr>
          <w:rFonts w:ascii="Arial" w:hAnsi="Arial"/>
          <w:b w:val="0"/>
          <w:i w:val="0"/>
          <w:color w:val="111827"/>
          <w:sz w:val="22"/>
        </w:rPr>
        <w:t>):** Estabilização e institucionalização das novas práticas no cotidiano e na cultura do órgão, assegurando que o novo padrão se torne permanente e evitando a regressão aos velhos hábitos.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Análise do Campo de Forças (Lewin):</w:t>
      </w:r>
      <w:r>
        <w:rPr>
          <w:rFonts w:ascii="Arial" w:hAnsi="Arial"/>
          <w:b w:val="0"/>
          <w:i w:val="0"/>
          <w:color w:val="111827"/>
          <w:sz w:val="22"/>
        </w:rPr>
        <w:t xml:space="preserve"> Toda mudança organizacional decorre do equilíbrio dinâmico entre </w:t>
      </w:r>
      <w:r>
        <w:rPr>
          <w:rFonts w:ascii="Arial" w:hAnsi="Arial"/>
          <w:b/>
          <w:i w:val="0"/>
          <w:color w:val="111827"/>
          <w:sz w:val="22"/>
        </w:rPr>
        <w:t>Forças Propulsoras/Impulsoras</w:t>
      </w:r>
      <w:r>
        <w:rPr>
          <w:rFonts w:ascii="Arial" w:hAnsi="Arial"/>
          <w:b w:val="0"/>
          <w:i w:val="0"/>
          <w:color w:val="111827"/>
          <w:sz w:val="22"/>
        </w:rPr>
        <w:t xml:space="preserve"> (que estimulam a transformação) e </w:t>
      </w:r>
      <w:r>
        <w:rPr>
          <w:rFonts w:ascii="Arial" w:hAnsi="Arial"/>
          <w:b/>
          <w:i w:val="0"/>
          <w:color w:val="111827"/>
          <w:sz w:val="22"/>
        </w:rPr>
        <w:t>Forças Restritivas</w:t>
      </w:r>
      <w:r>
        <w:rPr>
          <w:rFonts w:ascii="Arial" w:hAnsi="Arial"/>
          <w:b w:val="0"/>
          <w:i w:val="0"/>
          <w:color w:val="111827"/>
          <w:sz w:val="22"/>
        </w:rPr>
        <w:t xml:space="preserve"> (que resistem à inovação e buscam manter a inércia). Gestores eficientes concentram esforços em </w:t>
      </w:r>
      <w:r>
        <w:rPr>
          <w:rFonts w:ascii="Arial" w:hAnsi="Arial"/>
          <w:b/>
          <w:i w:val="0"/>
          <w:color w:val="111827"/>
          <w:sz w:val="22"/>
        </w:rPr>
        <w:t>atenuar e reduzir as forças restritivas</w:t>
      </w:r>
      <w:r>
        <w:rPr>
          <w:rFonts w:ascii="Arial" w:hAnsi="Arial"/>
          <w:b w:val="0"/>
          <w:i w:val="0"/>
          <w:color w:val="111827"/>
          <w:sz w:val="22"/>
        </w:rPr>
        <w:t>, mitigando o medo do desconhecido e o estresse da equipe.</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(O PAPEL DO RECONGELAMENTO DE LEWIN):</w:t>
            </w:r>
          </w:p>
          <w:p>
            <w:pPr>
              <w:spacing w:line="288" w:lineRule="auto" w:before="40" w:after="40"/>
            </w:pPr>
            <w:r>
              <w:rPr>
                <w:rFonts w:ascii="Arial" w:hAnsi="Arial"/>
                <w:b w:val="0"/>
                <w:i w:val="0"/>
                <w:color w:val="111827"/>
                <w:sz w:val="21"/>
              </w:rPr>
              <w:t xml:space="preserve">Sem a terceira etapa de </w:t>
            </w:r>
            <w:r>
              <w:rPr>
                <w:rFonts w:ascii="Arial" w:hAnsi="Arial"/>
                <w:b/>
                <w:i w:val="0"/>
                <w:color w:val="111827"/>
                <w:sz w:val="21"/>
              </w:rPr>
              <w:t>Recongelamento</w:t>
            </w:r>
            <w:r>
              <w:rPr>
                <w:rFonts w:ascii="Arial" w:hAnsi="Arial"/>
                <w:b w:val="0"/>
                <w:i w:val="0"/>
                <w:color w:val="111827"/>
                <w:sz w:val="21"/>
              </w:rPr>
              <w:t>, a organização sofre regressão natural aos velhos hábitos assim que a pressão inicial da chefia diminui. Recongelar significa institucionalizar as novas rotinas e premiar a conformidade com o novo padrão.</w:t>
            </w:r>
          </w:p>
        </w:tc>
      </w:tr>
    </w:tbl>
    <w:p>
      <w:pPr>
        <w:spacing w:before="0" w:after="120"/>
      </w:pPr>
    </w:p>
    <w:p>
      <w:pPr>
        <w:keepNext/>
        <w:spacing w:before="200" w:after="80"/>
      </w:pPr>
      <w:r>
        <w:rPr>
          <w:rFonts w:ascii="Arial" w:hAnsi="Arial"/>
          <w:b/>
          <w:i w:val="0"/>
          <w:color w:val="2B6CB0"/>
          <w:sz w:val="24"/>
        </w:rPr>
        <w:t>7.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SCHEIN, Edgar H. Cultura Organizacional e Liderança. Editora Atlas.</w:t>
      </w:r>
      <w:r>
        <w:rPr>
          <w:rFonts w:ascii="Arial" w:hAnsi="Arial"/>
          <w:b w:val="0"/>
          <w:i w:val="0"/>
          <w:color w:val="111827"/>
          <w:sz w:val="22"/>
        </w:rPr>
        <w:t xml:space="preserve"> - A teoria dos três níveis da cultura.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LEWIN, Kurt. Teoria de Campo em Ciência Social. Pioneira Thomson Learning.</w:t>
      </w:r>
      <w:r>
        <w:rPr>
          <w:rFonts w:ascii="Arial" w:hAnsi="Arial"/>
          <w:b w:val="0"/>
          <w:i w:val="0"/>
          <w:color w:val="111827"/>
          <w:sz w:val="22"/>
        </w:rPr>
        <w:t xml:space="preserve"> - Modelo de mudança planejada.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ROBBINS, Stephen P.; JUDGE, Timothy A. Comportamento Organizacional. Pearson.</w:t>
      </w:r>
      <w:r>
        <w:rPr>
          <w:rFonts w:ascii="Arial" w:hAnsi="Arial"/>
          <w:b w:val="0"/>
          <w:i w:val="0"/>
          <w:color w:val="111827"/>
          <w:sz w:val="22"/>
        </w:rPr>
        <w:t xml:space="preserve"> - Conflitos, negociação e cultura.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FISHER, Roger; URY, William; PATTON, Bruce. Como Chegar ao Sim: a negociação baseada em princípios. Editora Sextante.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THOMAS, Kenneth W.; KILMANN, Ralph H. Conflict Mode Instrument (TKI)</w:t>
      </w:r>
      <w:r>
        <w:rPr>
          <w:rFonts w:ascii="Arial" w:hAnsi="Arial"/>
          <w:b w:val="0"/>
          <w:i w:val="0"/>
          <w:color w:val="111827"/>
          <w:sz w:val="22"/>
        </w:rPr>
        <w:t xml:space="preserve"> - Estilos de conflito.</w:t>
      </w:r>
    </w:p>
    <w:p>
      <w:pPr>
        <w:keepNext/>
        <w:spacing w:before="200" w:after="80"/>
      </w:pPr>
      <w:r>
        <w:rPr>
          <w:rFonts w:ascii="Arial" w:hAnsi="Arial"/>
          <w:b/>
          <w:i w:val="0"/>
          <w:color w:val="2B6CB0"/>
          <w:sz w:val="24"/>
        </w:rPr>
        <w:t>8.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TCE-PI – Auditor de Controle Externo)</w:t>
      </w:r>
    </w:p>
    <w:p>
      <w:pPr>
        <w:spacing w:line="360" w:lineRule="auto" w:before="0" w:after="80"/>
        <w:jc w:val="both"/>
      </w:pPr>
      <w:r>
        <w:rPr>
          <w:rFonts w:ascii="Arial" w:hAnsi="Arial"/>
          <w:b w:val="0"/>
          <w:i w:val="0"/>
          <w:color w:val="111827"/>
          <w:sz w:val="24"/>
        </w:rPr>
        <w:t>Segundo a teoria dos níveis da cultura organizacional desenvolvida por Edgar Schein, os elementos mais profundos, enraizados e invisíveis da cultura, constituídos por crenças e percepções tidas como verdades absolutas e inquestionáveis que orientam o comportamento dos colaboradores sem que eles sequer tomem consciência disso, denominam-se: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Artefatos visíveis.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Valores compartilhados adotados.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Símbolos materiais e cerimoniais.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Pressupostos básicos subjacentes.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Códigos formais de ética institucional.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Artefatos são os elementos superficiais e plenamente visíveis da cultura (prédios, vestuário, mobília, slogans).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Valores compartilhados são premissas conscientes verbalizadas pela liderança.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Símbolos materiais integram o nível dos artefatos.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CORRETA.</w:t>
            </w:r>
            <w:r>
              <w:rPr>
                <w:rFonts w:ascii="Arial" w:hAnsi="Arial"/>
                <w:b w:val="0"/>
                <w:i w:val="0"/>
                <w:color w:val="111827"/>
                <w:sz w:val="21"/>
              </w:rPr>
              <w:t xml:space="preserve"> No modelo concebido por Edgar Schein, o nível mais profundo do </w:t>
            </w:r>
            <w:r>
              <w:rPr>
                <w:rFonts w:ascii="Arial" w:hAnsi="Arial"/>
                <w:b w:val="0"/>
                <w:i/>
                <w:color w:val="111827"/>
                <w:sz w:val="21"/>
              </w:rPr>
              <w:t>iceberg</w:t>
            </w:r>
            <w:r>
              <w:rPr>
                <w:rFonts w:ascii="Arial" w:hAnsi="Arial"/>
                <w:b w:val="0"/>
                <w:i w:val="0"/>
                <w:color w:val="111827"/>
                <w:sz w:val="21"/>
              </w:rPr>
              <w:t xml:space="preserve"> cultural é composto pelos </w:t>
            </w:r>
            <w:r>
              <w:rPr>
                <w:rFonts w:ascii="Arial" w:hAnsi="Arial"/>
                <w:b/>
                <w:i w:val="0"/>
                <w:color w:val="111827"/>
                <w:sz w:val="21"/>
              </w:rPr>
              <w:t>Pressupostos Básicos Subjacentes</w:t>
            </w:r>
            <w:r>
              <w:rPr>
                <w:rFonts w:ascii="Arial" w:hAnsi="Arial"/>
                <w:b w:val="0"/>
                <w:i w:val="0"/>
                <w:color w:val="111827"/>
                <w:sz w:val="21"/>
              </w:rPr>
              <w:t>, que representam crenças inconscientes, valores internalizados e verdades tidas como certas e inquestionáveis, as quais moldam a forma como a organização percebe e reage ao ambiente.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Códigos de ética são documentos normativos formais e conscientes (valores/artefatos).</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TCE-RS – Auditor de Controle Externo)</w:t>
      </w:r>
    </w:p>
    <w:p>
      <w:pPr>
        <w:spacing w:line="360" w:lineRule="auto" w:before="0" w:after="80"/>
        <w:jc w:val="both"/>
      </w:pPr>
      <w:r>
        <w:rPr>
          <w:rFonts w:ascii="Arial" w:hAnsi="Arial"/>
          <w:b w:val="0"/>
          <w:i w:val="0"/>
          <w:color w:val="111827"/>
          <w:sz w:val="24"/>
        </w:rPr>
        <w:t xml:space="preserve">No modelo clássico de gestão da mudança organizacional formulado por Kurt Lewin, a fase em que a liderança da instituição cria intencionalmente a necessidade percebida de mudança, desestabilizando o </w:t>
      </w:r>
      <w:r>
        <w:rPr>
          <w:rFonts w:ascii="Arial" w:hAnsi="Arial"/>
          <w:b w:val="0"/>
          <w:i/>
          <w:color w:val="111827"/>
          <w:sz w:val="24"/>
        </w:rPr>
        <w:t>status quo</w:t>
      </w:r>
      <w:r>
        <w:rPr>
          <w:rFonts w:ascii="Arial" w:hAnsi="Arial"/>
          <w:b w:val="0"/>
          <w:i w:val="0"/>
          <w:color w:val="111827"/>
          <w:sz w:val="24"/>
        </w:rPr>
        <w:t xml:space="preserve"> vigente e quebrando velhos hábitos arraigados na equipe para prepará-la para o aprendizado de novas práticas operacionais, é denominada: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Descongelamento (</w:t>
      </w:r>
      <w:r>
        <w:rPr>
          <w:rFonts w:ascii="Arial" w:hAnsi="Arial"/>
          <w:b w:val="0"/>
          <w:i/>
          <w:color w:val="111827"/>
          <w:sz w:val="22"/>
        </w:rPr>
        <w:t>Unfreezing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Recongelamento (</w:t>
      </w:r>
      <w:r>
        <w:rPr>
          <w:rFonts w:ascii="Arial" w:hAnsi="Arial"/>
          <w:b w:val="0"/>
          <w:i/>
          <w:color w:val="111827"/>
          <w:sz w:val="22"/>
        </w:rPr>
        <w:t>Refreezing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Movimento (</w:t>
      </w:r>
      <w:r>
        <w:rPr>
          <w:rFonts w:ascii="Arial" w:hAnsi="Arial"/>
          <w:b w:val="0"/>
          <w:i/>
          <w:color w:val="111827"/>
          <w:sz w:val="22"/>
        </w:rPr>
        <w:t>Moving</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Entropia negativa.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Institucionalização de valor.</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CORRETA.</w:t>
            </w:r>
            <w:r>
              <w:rPr>
                <w:rFonts w:ascii="Arial" w:hAnsi="Arial"/>
                <w:b w:val="0"/>
                <w:i w:val="0"/>
                <w:color w:val="111827"/>
                <w:sz w:val="21"/>
              </w:rPr>
              <w:t xml:space="preserve"> A fase de **Descongelamento (</w:t>
            </w:r>
            <w:r>
              <w:rPr>
                <w:rFonts w:ascii="Arial" w:hAnsi="Arial"/>
                <w:b w:val="0"/>
                <w:i/>
                <w:color w:val="111827"/>
                <w:sz w:val="21"/>
              </w:rPr>
              <w:t>Unfreezing</w:t>
            </w:r>
            <w:r>
              <w:rPr>
                <w:rFonts w:ascii="Arial" w:hAnsi="Arial"/>
                <w:b w:val="0"/>
                <w:i w:val="0"/>
                <w:color w:val="111827"/>
                <w:sz w:val="21"/>
              </w:rPr>
              <w:t xml:space="preserve">)** no modelo de Kurt Lewin visa precisamente desafiar e quebrar a inércia do </w:t>
            </w:r>
            <w:r>
              <w:rPr>
                <w:rFonts w:ascii="Arial" w:hAnsi="Arial"/>
                <w:b w:val="0"/>
                <w:i/>
                <w:color w:val="111827"/>
                <w:sz w:val="21"/>
              </w:rPr>
              <w:t>status quo</w:t>
            </w:r>
            <w:r>
              <w:rPr>
                <w:rFonts w:ascii="Arial" w:hAnsi="Arial"/>
                <w:b w:val="0"/>
                <w:i w:val="0"/>
                <w:color w:val="111827"/>
                <w:sz w:val="21"/>
              </w:rPr>
              <w:t>, conscientizando os servidores de que os procedimentos atuais são obsoletos ou ineficazes e gerando a prontidão psicológica indispensável para assimilar novos hábitos.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recongelamento é a fase final de estabilização e padronização da nova conduta aprendida.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movimento é a etapa intermediária de transição e assimilação dos novos métodos.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Entropia negativa é conceito da Teoria Geral dos Sistemas.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Termo sem pertinência com o modelo tridimensional de Lewin.</w:t>
            </w:r>
          </w:p>
          <w:p>
            <w:pPr>
              <w:spacing w:line="288" w:lineRule="auto" w:before="120" w:after="80"/>
            </w:pPr>
            <w:r>
              <w:rPr>
                <w:rFonts w:ascii="Arial" w:hAnsi="Arial"/>
                <w:b/>
                <w:i w:val="0"/>
                <w:color w:val="047857"/>
                <w:sz w:val="22"/>
              </w:rPr>
              <w:t>Gabarito: A</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TRT-2ª Região – Analista Judiciário: Área Administrativa)</w:t>
      </w:r>
    </w:p>
    <w:p>
      <w:pPr>
        <w:spacing w:line="360" w:lineRule="auto" w:before="0" w:after="80"/>
        <w:jc w:val="both"/>
      </w:pPr>
      <w:r>
        <w:rPr>
          <w:rFonts w:ascii="Arial" w:hAnsi="Arial"/>
          <w:b w:val="0"/>
          <w:i w:val="0"/>
          <w:color w:val="111827"/>
          <w:sz w:val="24"/>
        </w:rPr>
        <w:t>A respeito da diferença essencial entre Cultura Organizacional e Clima Organizacional,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clima organizacional é duradouro e perene, demandando décadas de história para ser alterado, ao passo que a cultura organizacional é efêmera e flutua semanalmente.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cultura organizacional reflete as percepções momentâneas e o estado de ânimo conjuntural dos colaboradores, ao passo que o clima constitui o DNA estrutural da entidade.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cultura organizacional é a personalidade e o alicerce antropológico profundo da instituição, enquanto o clima organizacional é a atmosfera psicológica conjuntural e perceptual do momento.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 cultura e o clima são termos estritamente sinônimos na teoria das organizações, distinguindo-se apenas quanto ao nível hierárquico dos avaliados.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clima organizacional manifesta-se exclusivamente através dos pressupostos básicos subjacentes inconscientes descritos por Edgar Schein.</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cultura é duradoura e perene; o clima é transitório e mutável.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questão inverteu os conceitos de cultura e clima.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A </w:t>
            </w:r>
            <w:r>
              <w:rPr>
                <w:rFonts w:ascii="Arial" w:hAnsi="Arial"/>
                <w:b/>
                <w:i w:val="0"/>
                <w:color w:val="111827"/>
                <w:sz w:val="21"/>
              </w:rPr>
              <w:t>Cultura Organizacional</w:t>
            </w:r>
            <w:r>
              <w:rPr>
                <w:rFonts w:ascii="Arial" w:hAnsi="Arial"/>
                <w:b w:val="0"/>
                <w:i w:val="0"/>
                <w:color w:val="111827"/>
                <w:sz w:val="21"/>
              </w:rPr>
              <w:t xml:space="preserve"> corresponde ao DNA, à personalidade estável e aos valores históricos da instituição; o </w:t>
            </w:r>
            <w:r>
              <w:rPr>
                <w:rFonts w:ascii="Arial" w:hAnsi="Arial"/>
                <w:b/>
                <w:i w:val="0"/>
                <w:color w:val="111827"/>
                <w:sz w:val="21"/>
              </w:rPr>
              <w:t>Clima Organizacional</w:t>
            </w:r>
            <w:r>
              <w:rPr>
                <w:rFonts w:ascii="Arial" w:hAnsi="Arial"/>
                <w:b w:val="0"/>
                <w:i w:val="0"/>
                <w:color w:val="111827"/>
                <w:sz w:val="21"/>
              </w:rPr>
              <w:t xml:space="preserve"> traduz o estado de espírito, o "humor" momentâneo e as percepções transitórias compartilhadas pelos servidores em dado período (como após uma reestruturação ou atraso salarial).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Não são sinônimos; possuem fundamentos conceituais e horizontes temporais distintos.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Os pressupostos básicos subjacentes pertencem ao núcleo da </w:t>
            </w:r>
            <w:r>
              <w:rPr>
                <w:rFonts w:ascii="Arial" w:hAnsi="Arial"/>
                <w:b/>
                <w:i w:val="0"/>
                <w:color w:val="111827"/>
                <w:sz w:val="21"/>
              </w:rPr>
              <w:t>cultura organizacional</w:t>
            </w:r>
            <w:r>
              <w:rPr>
                <w:rFonts w:ascii="Arial" w:hAnsi="Arial"/>
                <w:b w:val="0"/>
                <w:i w:val="0"/>
                <w:color w:val="111827"/>
                <w:sz w:val="21"/>
              </w:rPr>
              <w:t>.</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DPE-RS – Analista: Área Administrativa)</w:t>
      </w:r>
    </w:p>
    <w:p>
      <w:pPr>
        <w:spacing w:line="360" w:lineRule="auto" w:before="0" w:after="80"/>
        <w:jc w:val="both"/>
      </w:pPr>
      <w:r>
        <w:rPr>
          <w:rFonts w:ascii="Arial" w:hAnsi="Arial"/>
          <w:b w:val="0"/>
          <w:i w:val="0"/>
          <w:color w:val="111827"/>
          <w:sz w:val="24"/>
        </w:rPr>
        <w:t>No âmbito da teoria contemporânea de gestão de conflitos, a abordagem Interacionista defende que: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Todo conflito em qualquer nível é intrinsicamente danoso e prejudicial à eficácia da instituição, devendo ser erradicado sumariamente pela chefia.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ausência absoluta de conflitos é o indicador supremo de maturidade e inovação contínua de uma organização.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Um nível controlado de conflito funcional de tarefas deve ser incentivado, pois estimula a autocrítica, desafia ideias acomodadas e fomenta a criatividade e a inovação.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Os conflitos de relacionamento interpessoal devem ser estimulados pela direção para desarticular a coesão de grupos corporativos informais.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As organizações que operam sob a abordagem interacionista eliminam a figura do líder para permitir conflitos ilimitados e irrestritos.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Essa é a Visão Tradicional do conflito (anos 1930/40).</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ausência total de conflitos sinaliza apatia, estagnação e pensamento grupal acrítico (</w:t>
            </w:r>
            <w:r>
              <w:rPr>
                <w:rFonts w:ascii="Arial" w:hAnsi="Arial"/>
                <w:b w:val="0"/>
                <w:i/>
                <w:color w:val="111827"/>
                <w:sz w:val="21"/>
              </w:rPr>
              <w:t>groupthink</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A </w:t>
            </w:r>
            <w:r>
              <w:rPr>
                <w:rFonts w:ascii="Arial" w:hAnsi="Arial"/>
                <w:b/>
                <w:i w:val="0"/>
                <w:color w:val="111827"/>
                <w:sz w:val="21"/>
              </w:rPr>
              <w:t>Visão Interacionista</w:t>
            </w:r>
            <w:r>
              <w:rPr>
                <w:rFonts w:ascii="Arial" w:hAnsi="Arial"/>
                <w:b w:val="0"/>
                <w:i w:val="0"/>
                <w:color w:val="111827"/>
                <w:sz w:val="21"/>
              </w:rPr>
              <w:t xml:space="preserve"> preconiza que um nível </w:t>
            </w:r>
            <w:r>
              <w:rPr>
                <w:rFonts w:ascii="Arial" w:hAnsi="Arial"/>
                <w:b/>
                <w:i w:val="0"/>
                <w:color w:val="111827"/>
                <w:sz w:val="21"/>
              </w:rPr>
              <w:t>mínimo e moderado de conflito funcional</w:t>
            </w:r>
            <w:r>
              <w:rPr>
                <w:rFonts w:ascii="Arial" w:hAnsi="Arial"/>
                <w:b w:val="0"/>
                <w:i w:val="0"/>
                <w:color w:val="111827"/>
                <w:sz w:val="21"/>
              </w:rPr>
              <w:t xml:space="preserve"> (focado no conteúdo das tarefas) é saudável e indispensável para manter o grupo vivo, criativo e inovador, impedindo que a equipe caia na estagnação e no comodismo.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conflito de relacionamento (choque interpessoal) é quase sempre disfuncional e altamente prejudicial à cooperação.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conflito interacionista deve ser monitorado e gerido por lideranças competentes.</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ARTESP – Especialista em Regulação de Transportes)</w:t>
      </w:r>
    </w:p>
    <w:p>
      <w:pPr>
        <w:spacing w:line="360" w:lineRule="auto" w:before="0" w:after="80"/>
        <w:jc w:val="both"/>
      </w:pPr>
      <w:r>
        <w:rPr>
          <w:rFonts w:ascii="Arial" w:hAnsi="Arial"/>
          <w:b w:val="0"/>
          <w:i w:val="0"/>
          <w:color w:val="111827"/>
          <w:sz w:val="24"/>
        </w:rPr>
        <w:t>Durante uma negociação contratual complexa entre um órgão público e uma empresa concessionária de serviços, as partes optaram por adotar os preceitos da Negociação Integrativa (</w:t>
      </w:r>
      <w:r>
        <w:rPr>
          <w:rFonts w:ascii="Arial" w:hAnsi="Arial"/>
          <w:b w:val="0"/>
          <w:i/>
          <w:color w:val="111827"/>
          <w:sz w:val="24"/>
        </w:rPr>
        <w:t>Ganha-Ganha</w:t>
      </w:r>
      <w:r>
        <w:rPr>
          <w:rFonts w:ascii="Arial" w:hAnsi="Arial"/>
          <w:b w:val="0"/>
          <w:i w:val="0"/>
          <w:color w:val="111827"/>
          <w:sz w:val="24"/>
        </w:rPr>
        <w:t>). Essa modalidade negocial caracteriza-se essencialmente por: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Focar exclusivamente na defesa intransigente de posições antagônicas pré-fixadas e na partilha de recursos fixos em regime de soma zero.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Buscar a expansão do valor total disponível e a construção de soluções colaborativas que atendam aos interesses subjacentes de ambas as partes, preservando o relacionamento de longo prazo.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Exigir que uma das partes capitule integralmente em suas pretensões econômicas em favor da outra para viabilizar o acordo.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Eliminar a Zona de Possível Acordo (ZOPA) e desconsiderar o valor de reserva estipulado no termo de referência.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Restringir-se a transações mercantis esporádicas de compra imediata, nas quais a única variável relevante é o menor preço à vista.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Foco em posições fixas e partilha de soma zero caracterizam a negociação </w:t>
            </w:r>
            <w:r>
              <w:rPr>
                <w:rFonts w:ascii="Arial" w:hAnsi="Arial"/>
                <w:b/>
                <w:i w:val="0"/>
                <w:color w:val="111827"/>
                <w:sz w:val="21"/>
              </w:rPr>
              <w:t>distributiva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**Negociação Integrativa (Ganha-Ganha / </w:t>
            </w:r>
            <w:r>
              <w:rPr>
                <w:rFonts w:ascii="Arial" w:hAnsi="Arial"/>
                <w:b w:val="0"/>
                <w:i/>
                <w:color w:val="111827"/>
                <w:sz w:val="21"/>
              </w:rPr>
              <w:t>Win-Win</w:t>
            </w:r>
            <w:r>
              <w:rPr>
                <w:rFonts w:ascii="Arial" w:hAnsi="Arial"/>
                <w:b w:val="0"/>
                <w:i w:val="0"/>
                <w:color w:val="111827"/>
                <w:sz w:val="21"/>
              </w:rPr>
              <w:t>)</w:t>
            </w:r>
            <w:r>
              <w:rPr>
                <w:rFonts w:ascii="Arial" w:hAnsi="Arial"/>
                <w:b/>
                <w:i w:val="0"/>
                <w:color w:val="111827"/>
                <w:sz w:val="21"/>
              </w:rPr>
              <w:t xml:space="preserve"> foca nos </w:t>
            </w:r>
            <w:r>
              <w:rPr>
                <w:rFonts w:ascii="Arial" w:hAnsi="Arial"/>
                <w:b w:val="0"/>
                <w:i w:val="0"/>
                <w:color w:val="111827"/>
                <w:sz w:val="21"/>
              </w:rPr>
              <w:t>interesses subjacentes** mútuos das partes, buscando "aumentar o bolo" (criar valor conjunto) por meio de opções criativas que satisfaçam as necessidades de ambos os lados e fortaleçam a parceria institucional de longo prazo.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Capitulação unilateral corresponde ao estilo de acomodação ou perda forçada, oposto ao ganha-ganha.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negociação bem-sucedida pressupõe a existência e aproveitamento de uma ZOPA positiva.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Transações frias baseadas unicamente no preço caracterizam a negociação distributiva transacional.</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01 - Processos de Gestão de Pessoas, Recrutamento, Seleção e Integração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Gestão de Pessoas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 (TCE-GO)</w:t>
      </w:r>
    </w:p>
    <w:p>
      <w:pPr>
        <w:spacing w:line="240" w:lineRule="auto" w:before="20" w:after="40"/>
        <w:ind w:left="2268"/>
      </w:pPr>
      <w:r>
        <w:rPr>
          <w:rFonts w:ascii="Arial" w:hAnsi="Arial"/>
          <w:b/>
          <w:i w:val="0"/>
          <w:color w:val="4B5563"/>
          <w:sz w:val="20"/>
        </w:rPr>
        <w:t>Conteúdo Oficial:</w:t>
      </w:r>
      <w:r>
        <w:rPr>
          <w:rFonts w:ascii="Arial" w:hAnsi="Arial"/>
          <w:b w:val="0"/>
          <w:i w:val="0"/>
          <w:color w:val="4B5563"/>
          <w:sz w:val="20"/>
        </w:rPr>
        <w:t xml:space="preserve"> Processos de Gestão de Pessoas (modelo de Chiavenato); Recrutamento e Seleção de Pessoas; Rotinas de Departamento Pessoal; O Concurso Público como Instrumento Republicano; Socialização e Integração Organizacional (</w:t>
      </w:r>
      <w:r>
        <w:rPr>
          <w:rFonts w:ascii="Arial" w:hAnsi="Arial"/>
          <w:b w:val="0"/>
          <w:i/>
          <w:color w:val="4B5563"/>
          <w:sz w:val="20"/>
        </w:rPr>
        <w:t>Onboarding</w:t>
      </w:r>
      <w:r>
        <w:rPr>
          <w:rFonts w:ascii="Arial" w:hAnsi="Arial"/>
          <w:b w:val="0"/>
          <w:i w:val="0"/>
          <w:color w:val="4B5563"/>
          <w:sz w:val="20"/>
        </w:rPr>
        <w:t>).</w:t>
      </w:r>
    </w:p>
    <w:p>
      <w:pPr>
        <w:spacing w:after="120"/>
      </w:pPr>
    </w:p>
    <w:p>
      <w:pPr>
        <w:keepNext/>
        <w:spacing w:before="280" w:after="120"/>
      </w:pPr>
      <w:r>
        <w:rPr>
          <w:rFonts w:ascii="Arial" w:hAnsi="Arial"/>
          <w:b/>
          <w:i w:val="0"/>
          <w:color w:val="2C5282"/>
          <w:sz w:val="28"/>
        </w:rPr>
        <w:t>📌 Ementa &amp; Delimitação do Conteúdo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Evolução Histórica dos Paradigmas de Pessoas: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Fase Contábil / Departamento Pessoal: foco estritamente legal, registro de ponto, apuração de folha de pagamento e custos operacionais; pessoas tratadas como engrenagens mecânicas e mão de obra passiva.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Fase Legal / Relações Industriais: impacto da legislação trabalhista e relações sindicais; conciliação de conflitos corporativos.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Fase Clássica / Administração de Recursos Humanos (ARH): pessoas vistas como insumos e recursos produtivos homogêneos sujeitos a comando e controle.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Fase Estratégica / Gestão Estratégica de Pessoas (GEP): pessoas como parceiras ativas do negócio, sujeitos dotados de competências, inteligência, iniciativa e capital intelectual indispensável para a entrega de valor público.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Os Seis Processos da Gestão de Pessoas (Modelo de Idalberto Chiavenato):</w:t>
      </w:r>
    </w:p>
    <w:p>
      <w:pPr>
        <w:spacing w:line="276" w:lineRule="auto" w:before="20" w:after="40"/>
        <w:ind w:left="992"/>
      </w:pPr>
      <w:r>
        <w:rPr>
          <w:rFonts w:ascii="Arial" w:hAnsi="Arial"/>
          <w:b/>
          <w:color w:val="2B6CB0"/>
          <w:sz w:val="22"/>
        </w:rPr>
        <w:t xml:space="preserve">• </w:t>
      </w:r>
      <w:r>
        <w:rPr>
          <w:rFonts w:ascii="Arial" w:hAnsi="Arial"/>
          <w:b/>
          <w:i w:val="0"/>
          <w:color w:val="111827"/>
          <w:sz w:val="22"/>
        </w:rPr>
        <w:t>Agregar Pessoas:</w:t>
      </w:r>
      <w:r>
        <w:rPr>
          <w:rFonts w:ascii="Arial" w:hAnsi="Arial"/>
          <w:b w:val="0"/>
          <w:i w:val="0"/>
          <w:color w:val="111827"/>
          <w:sz w:val="22"/>
        </w:rPr>
        <w:t xml:space="preserve"> quem deve trabalhar na organização (recrutamento, seleção e planejamento de RH).</w:t>
      </w:r>
    </w:p>
    <w:p>
      <w:pPr>
        <w:spacing w:line="276" w:lineRule="auto" w:before="20" w:after="40"/>
        <w:ind w:left="992"/>
      </w:pPr>
      <w:r>
        <w:rPr>
          <w:rFonts w:ascii="Arial" w:hAnsi="Arial"/>
          <w:b/>
          <w:color w:val="2B6CB0"/>
          <w:sz w:val="22"/>
        </w:rPr>
        <w:t xml:space="preserve">• </w:t>
      </w:r>
      <w:r>
        <w:rPr>
          <w:rFonts w:ascii="Arial" w:hAnsi="Arial"/>
          <w:b/>
          <w:i w:val="0"/>
          <w:color w:val="111827"/>
          <w:sz w:val="22"/>
        </w:rPr>
        <w:t>Aplicar Pessoas:</w:t>
      </w:r>
      <w:r>
        <w:rPr>
          <w:rFonts w:ascii="Arial" w:hAnsi="Arial"/>
          <w:b w:val="0"/>
          <w:i w:val="0"/>
          <w:color w:val="111827"/>
          <w:sz w:val="22"/>
        </w:rPr>
        <w:t xml:space="preserve"> o que as pessoas farão na organização (desenho de cargos, análise funcional, orientação/socialização organizacional e avaliação de desempenho).</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Recompensar Pessoas:</w:t>
      </w:r>
      <w:r>
        <w:rPr>
          <w:rFonts w:ascii="Arial" w:hAnsi="Arial"/>
          <w:b w:val="0"/>
          <w:i w:val="0"/>
          <w:color w:val="111827"/>
          <w:sz w:val="22"/>
        </w:rPr>
        <w:t xml:space="preserve"> como incentivar e motivar os colaboradores (vencimento, remuneração, benefícios e incentivos).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Desenvolver Pessoas:</w:t>
      </w:r>
      <w:r>
        <w:rPr>
          <w:rFonts w:ascii="Arial" w:hAnsi="Arial"/>
          <w:b w:val="0"/>
          <w:i w:val="0"/>
          <w:color w:val="111827"/>
          <w:sz w:val="22"/>
        </w:rPr>
        <w:t xml:space="preserve"> como capacitar e aprimorar competências (treinamento, desenvolvimento funcional, aprendizagem organizacional e planos de carreira).</w:t>
      </w:r>
    </w:p>
    <w:p>
      <w:pPr>
        <w:spacing w:line="276" w:lineRule="auto" w:before="20" w:after="40"/>
        <w:ind w:left="992"/>
      </w:pPr>
      <w:r>
        <w:rPr>
          <w:rFonts w:ascii="Arial" w:hAnsi="Arial"/>
          <w:b/>
          <w:color w:val="2B6CB0"/>
          <w:sz w:val="22"/>
        </w:rPr>
        <w:t xml:space="preserve">• </w:t>
      </w:r>
      <w:r>
        <w:rPr>
          <w:rFonts w:ascii="Arial" w:hAnsi="Arial"/>
          <w:b/>
          <w:i w:val="0"/>
          <w:color w:val="111827"/>
          <w:sz w:val="22"/>
        </w:rPr>
        <w:t>Manter Pessoas:</w:t>
      </w:r>
      <w:r>
        <w:rPr>
          <w:rFonts w:ascii="Arial" w:hAnsi="Arial"/>
          <w:b w:val="0"/>
          <w:i w:val="0"/>
          <w:color w:val="111827"/>
          <w:sz w:val="22"/>
        </w:rPr>
        <w:t xml:space="preserve"> como criar condições ambientais e psicológicas de permanência (clima organizacional, cultura, higiene, segurança e qualidade de vida no trabalho - QVT).</w:t>
      </w:r>
    </w:p>
    <w:p>
      <w:pPr>
        <w:spacing w:line="276" w:lineRule="auto" w:before="20" w:after="40"/>
        <w:ind w:left="992"/>
      </w:pPr>
      <w:r>
        <w:rPr>
          <w:rFonts w:ascii="Arial" w:hAnsi="Arial"/>
          <w:b/>
          <w:color w:val="2B6CB0"/>
          <w:sz w:val="22"/>
        </w:rPr>
        <w:t xml:space="preserve">• </w:t>
      </w:r>
      <w:r>
        <w:rPr>
          <w:rFonts w:ascii="Arial" w:hAnsi="Arial"/>
          <w:b/>
          <w:i w:val="0"/>
          <w:color w:val="111827"/>
          <w:sz w:val="22"/>
        </w:rPr>
        <w:t>Monitorar Pessoas:</w:t>
      </w:r>
      <w:r>
        <w:rPr>
          <w:rFonts w:ascii="Arial" w:hAnsi="Arial"/>
          <w:b w:val="0"/>
          <w:i w:val="0"/>
          <w:color w:val="111827"/>
          <w:sz w:val="22"/>
        </w:rPr>
        <w:t xml:space="preserve"> como acompanhar e controlar as atividades e informações de pessoal (banco de dados, sistemas de informação gerencial de RH e auditoria de pessoal).</w:t>
      </w:r>
    </w:p>
    <w:p>
      <w:pPr>
        <w:spacing w:line="276" w:lineRule="auto" w:before="20" w:after="40"/>
        <w:ind w:left="425"/>
      </w:pPr>
      <w:r>
        <w:rPr>
          <w:rFonts w:ascii="Arial" w:hAnsi="Arial"/>
          <w:b/>
          <w:color w:val="1B365D"/>
          <w:sz w:val="22"/>
        </w:rPr>
        <w:t xml:space="preserve">3. </w:t>
      </w:r>
      <w:r>
        <w:rPr>
          <w:rFonts w:ascii="Arial" w:hAnsi="Arial"/>
          <w:b/>
          <w:i w:val="0"/>
          <w:color w:val="111827"/>
          <w:sz w:val="22"/>
        </w:rPr>
        <w:t>Rotinas Administrativas do Departamento de Pessoal no Setor Público: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Admissão, posse e exercício funcional; controle de assiduidade e pontualidade; processamento de folha de pagamento (vencimento básico, adicionais, gratificações e limites do teto constitucional); escala e concessão de férias; assentamentos individuais e prontuário funcional.</w:t>
      </w:r>
    </w:p>
    <w:p>
      <w:pPr>
        <w:spacing w:line="276" w:lineRule="auto" w:before="20" w:after="40"/>
        <w:ind w:left="425"/>
      </w:pPr>
      <w:r>
        <w:rPr>
          <w:rFonts w:ascii="Arial" w:hAnsi="Arial"/>
          <w:b/>
          <w:color w:val="1B365D"/>
          <w:sz w:val="22"/>
        </w:rPr>
        <w:t xml:space="preserve">4. </w:t>
      </w:r>
      <w:r>
        <w:rPr>
          <w:rFonts w:ascii="Arial" w:hAnsi="Arial"/>
          <w:b/>
          <w:i w:val="0"/>
          <w:color w:val="111827"/>
          <w:sz w:val="22"/>
        </w:rPr>
        <w:t>O Processo de Agregar Pessoas — Recrutamento e Seleção: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Recrutamento: mercado de trabalho vs. mercado de recursos humanos; técnicas de atração.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Recrutamento Interno vs. Recrutamento Externo vs. Recrutamento Misto: conceitos, vantagens e desvantagens de cada modalidade (destaque para a </w:t>
      </w:r>
      <w:r>
        <w:rPr>
          <w:rFonts w:ascii="Arial" w:hAnsi="Arial"/>
          <w:b w:val="0"/>
          <w:i/>
          <w:color w:val="111827"/>
          <w:sz w:val="22"/>
        </w:rPr>
        <w:t>endogamia cultural</w:t>
      </w:r>
      <w:r>
        <w:rPr>
          <w:rFonts w:ascii="Arial" w:hAnsi="Arial"/>
          <w:b w:val="0"/>
          <w:i w:val="0"/>
          <w:color w:val="111827"/>
          <w:sz w:val="22"/>
        </w:rPr>
        <w:t xml:space="preserve"> no interno e os custos/tempo no externo).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Seleção de Pessoas como processo de comparação e decisão: requisitos do cargo (perfil de competências) vs. qualificações do candidato.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Técnicas e instrumentos de seleção: provas de conhecimentos e habilidades, entrevistas estruturadas e comportamentais por competências (técnica STAR), testes de aptidão e personalidade, dinâmicas de grupo e avaliação de títulos.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Concurso Público (CF/88, art. 37, II): regime constitucional, princípios da impessoalidade, publicidade, isonomia e meritocracia; validade, prorrogação e direito subjetivo à nomeação dos aprovados no número de vagas.</w:t>
      </w:r>
    </w:p>
    <w:p>
      <w:pPr>
        <w:spacing w:line="276" w:lineRule="auto" w:before="20" w:after="40"/>
        <w:ind w:left="425"/>
      </w:pPr>
      <w:r>
        <w:rPr>
          <w:rFonts w:ascii="Arial" w:hAnsi="Arial"/>
          <w:b/>
          <w:color w:val="1B365D"/>
          <w:sz w:val="22"/>
        </w:rPr>
        <w:t xml:space="preserve">5. </w:t>
      </w:r>
      <w:r>
        <w:rPr>
          <w:rFonts w:ascii="Arial" w:hAnsi="Arial"/>
          <w:b w:val="0"/>
          <w:i w:val="0"/>
          <w:color w:val="111827"/>
          <w:sz w:val="22"/>
        </w:rPr>
        <w:t>**Processo de Socialização e Integração Organizacional (</w:t>
      </w:r>
      <w:r>
        <w:rPr>
          <w:rFonts w:ascii="Arial" w:hAnsi="Arial"/>
          <w:b w:val="0"/>
          <w:i/>
          <w:color w:val="111827"/>
          <w:sz w:val="22"/>
        </w:rPr>
        <w:t>Onboarding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Conceito, relevância para a administração pública e aceleração do período de estágio probatório.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As três fases da socialização organizacional (Socialização Antecipatória, Encontro/Confronto e Metamorfose/Adaptação).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Práticas de integração: manuais do servidor, programas de boas-vindas, tutoria/mentoria institucional e cursos de formação da Escola de Contas.</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Evolução Histórica dos Paradigmas de Gestão de Pessoas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Os Seis Processos da Gestão de Pessoas (Chiavenato)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Rotinas Administrativas do Departamento de Pessoal no Setor Público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O Processo de Agregar Pessoas: Recrutamento e Seleção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O Concurso Público como Instrumento Republicano (CF/88, art. 37)</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Processo de Socialização e Integração Organizacional (Onboarding)</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8. Questões de Concurso FCC Comentadas</w:t>
      </w:r>
    </w:p>
    <w:p>
      <w:pPr>
        <w:keepNext/>
        <w:spacing w:before="280" w:after="120"/>
      </w:pPr>
      <w:r>
        <w:rPr>
          <w:rFonts w:ascii="Arial" w:hAnsi="Arial"/>
          <w:b/>
          <w:i w:val="0"/>
          <w:color w:val="2C5282"/>
          <w:sz w:val="28"/>
        </w:rPr>
        <w:t>📖 Resumo Teórico Aprofundado &amp; Esquematizado</w:t>
      </w:r>
    </w:p>
    <w:p>
      <w:pPr>
        <w:keepNext/>
        <w:spacing w:before="200" w:after="80"/>
      </w:pPr>
      <w:r>
        <w:rPr>
          <w:rFonts w:ascii="Arial" w:hAnsi="Arial"/>
          <w:b/>
          <w:i w:val="0"/>
          <w:color w:val="2B6CB0"/>
          <w:sz w:val="24"/>
        </w:rPr>
        <w:t>1. Evolução Histórica dos Paradigmas de Gestão de Pessoas</w:t>
      </w:r>
    </w:p>
    <w:p>
      <w:pPr>
        <w:spacing w:line="360" w:lineRule="auto" w:before="0" w:after="80"/>
        <w:jc w:val="both"/>
      </w:pPr>
      <w:r>
        <w:rPr>
          <w:rFonts w:ascii="Arial" w:hAnsi="Arial"/>
          <w:b w:val="0"/>
          <w:i w:val="0"/>
          <w:color w:val="111827"/>
          <w:sz w:val="24"/>
        </w:rPr>
        <w:t>A administração do trabalho humano passou por profundas transformações ao longo dos séculos XX e XXI, transitando de uma visão puramente mecanicista e punitiva para uma abordagem estratégica voltada ao desenvolvimento de competências.</w:t>
      </w:r>
    </w:p>
    <w:p>
      <w:pPr>
        <w:spacing w:after="120"/>
      </w:pPr>
    </w:p>
    <w:p>
      <w:pPr>
        <w:keepNext/>
        <w:spacing w:before="120" w:after="40"/>
      </w:pPr>
      <w:r>
        <w:rPr>
          <w:rFonts w:ascii="Arial" w:hAnsi="Arial"/>
          <w:b/>
          <w:i/>
          <w:color w:val="334155"/>
          <w:sz w:val="22"/>
        </w:rPr>
        <w:t>Comparativo Histórico: As Quatro Eras</w:t>
      </w:r>
    </w:p>
    <w:tbl>
      <w:tblPr>
        <w:tblW w:type="auto" w:w="0"/>
        <w:jc w:val="center"/>
        <w:tblLayout w:type="fixed"/>
        <w:tblLook w:firstColumn="1" w:firstRow="1" w:lastColumn="0" w:lastRow="0" w:noHBand="0" w:noVBand="1" w:val="04A0"/>
      </w:tblPr>
      <w:tblGrid>
        <w:gridCol w:w="1814"/>
        <w:gridCol w:w="1814"/>
        <w:gridCol w:w="1814"/>
        <w:gridCol w:w="1814"/>
        <w:gridCol w:w="1814"/>
      </w:tblGrid>
      <w:tr>
        <w:trPr>
          <w:cantSplit/>
        </w:trPr>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Característica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Departamento Pessoal (Fase Contábil)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Relações Industriais (Fase Legal)</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Recursos Humanos (Fase Clássica)</w:t>
            </w:r>
          </w:p>
        </w:tc>
        <w:tc>
          <w:tcPr>
            <w:tcW w:type="dxa" w:w="181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Gestão Estratégica de Pessoas (Atual)</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Período Predominante</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Início do século XX (Teoria Clássica / Taylorismo).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Décadas de 1930 a 1950 (Pós-Revolução de 30 / CLT).</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Décadas de 1960 a 1980 (Abordagem Sistêmica / Contingencial).</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Década de 1990 em diante (Era do Conhecimento).</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Concepção das Pessoas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Engrenagens mecânicas, mão de obra braçal e geradoras de custo estrito.</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Funcionários tutelados por normas estatais e sindicais.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Recursos produtivos padronizados a serem geridos e alocados.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Parceiras estratégicas</w:t>
            </w:r>
            <w:r>
              <w:rPr>
                <w:rFonts w:ascii="Arial" w:hAnsi="Arial"/>
                <w:b w:val="0"/>
                <w:i w:val="0"/>
                <w:color w:val="111827"/>
                <w:sz w:val="19"/>
              </w:rPr>
              <w:t>, fontes de inteligência, competência e diferenciação.</w:t>
            </w:r>
          </w:p>
        </w:tc>
      </w:tr>
      <w:tr>
        <w:trPr>
          <w:cantSplit/>
        </w:trPr>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Foco de Atuação</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Registro mecânico de ponto, livros de registro e apuração de folha.</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Cumprimento de leis trabalhistas, contratos coletivos e litígios.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Técnicas operacionais especializadas (cargos, salários, testes).</w:t>
            </w:r>
          </w:p>
        </w:tc>
        <w:tc>
          <w:tcPr>
            <w:tcW w:type="dxa" w:w="181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Alinhamento com a estratégia</w:t>
            </w:r>
            <w:r>
              <w:rPr>
                <w:rFonts w:ascii="Arial" w:hAnsi="Arial"/>
                <w:b w:val="0"/>
                <w:i w:val="0"/>
                <w:color w:val="111827"/>
                <w:sz w:val="19"/>
              </w:rPr>
              <w:t>, geração de valor público e gestão do conhecimento.</w:t>
            </w:r>
          </w:p>
        </w:tc>
      </w:tr>
      <w:tr>
        <w:trPr>
          <w:cantSplit/>
        </w:trPr>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Papel da Liderança</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Fiscalização, vigilância e aplicação de punições regimentais.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Intermediação de acordos e gestão do cumprimento legal.</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Supervisão hierárquica e controle burocrático de procedimentos.</w:t>
            </w:r>
          </w:p>
        </w:tc>
        <w:tc>
          <w:tcPr>
            <w:tcW w:type="dxa" w:w="181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Liderança coach, facilitação do desenvolvimento e delegação de autoridade (</w:t>
            </w:r>
            <w:r>
              <w:rPr>
                <w:rFonts w:ascii="Arial" w:hAnsi="Arial"/>
                <w:b w:val="0"/>
                <w:i/>
                <w:color w:val="111827"/>
                <w:sz w:val="19"/>
              </w:rPr>
              <w:t>empowerment</w:t>
            </w:r>
            <w:r>
              <w:rPr>
                <w:rFonts w:ascii="Arial" w:hAnsi="Arial"/>
                <w:b w:val="0"/>
                <w:i w:val="0"/>
                <w:color w:val="111827"/>
                <w:sz w:val="19"/>
              </w:rPr>
              <w:t>).</w:t>
            </w:r>
          </w:p>
        </w:tc>
      </w:tr>
    </w:tbl>
    <w:p>
      <w:pPr>
        <w:spacing w:after="120"/>
      </w:pPr>
    </w:p>
    <w:p>
      <w:pPr>
        <w:keepNext/>
        <w:spacing w:before="120" w:after="40"/>
      </w:pPr>
      <w:r>
        <w:rPr>
          <w:rFonts w:ascii="Arial" w:hAnsi="Arial"/>
          <w:b/>
          <w:i/>
          <w:color w:val="334155"/>
          <w:sz w:val="22"/>
        </w:rPr>
        <w:t>Pessoas como Recursos vs. Pessoas como Parceiras (Idalberto Chiavenato)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Pessoas como Recursos: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Tratadas como elementos passivos e estáticos de produção;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Devem ser rigidamente controladas, padronizadas e subordinadas à hierarquia;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Consideradas exclusivamente como centro de custos que consome verbas orçamentárias;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Foco na execução mecânica de tarefas predefinidas, sem incentivo à iniciativa própria.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Pessoas como Parceiras (Capital Intelectual):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Tratadas como agentes proativos, autônomos e dotados de inteligência emocional e técnica;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Consideradas o ativo mais valioso e geradoras diretas de valor institucional;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Investimento prioritário da organização para a melhoria dos serviços públicos;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Estimuladas a inovar, assumir responsabilidade pelos resultados e compartilhar conhecimento.</w:t>
      </w:r>
    </w:p>
    <w:p>
      <w:pPr>
        <w:keepNext/>
        <w:spacing w:before="200" w:after="80"/>
      </w:pPr>
      <w:r>
        <w:rPr>
          <w:rFonts w:ascii="Arial" w:hAnsi="Arial"/>
          <w:b/>
          <w:i w:val="0"/>
          <w:color w:val="2B6CB0"/>
          <w:sz w:val="24"/>
        </w:rPr>
        <w:t>2. Os Seis Processos da Gestão de Pessoas (Chiavenato)</w:t>
      </w:r>
    </w:p>
    <w:p>
      <w:pPr>
        <w:spacing w:line="360" w:lineRule="auto" w:before="0" w:after="80"/>
        <w:jc w:val="both"/>
      </w:pPr>
      <w:r>
        <w:rPr>
          <w:rFonts w:ascii="Arial" w:hAnsi="Arial"/>
          <w:b w:val="0"/>
          <w:i w:val="0"/>
          <w:color w:val="111827"/>
          <w:sz w:val="24"/>
        </w:rPr>
        <w:t>Idalberto Chiavenato estrutura a gestão de pessoas como um sistema integrado composto por seis grandes macroprocessos dinâmicos e interdependentes:</w:t>
      </w: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Macroprocesso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Questão Central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Ações, Ferramentas e Subsistemas Compreendidos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 Agregar Pessoas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Quem deve ingressar na organização?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Planejamento de recursos humanos, recrutamento (interno/externo), seleção de pessoas e concurso público.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2. Aplicar Pessoas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O que as pessoas farão na organização?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Desenho organizacional de cargos, descrição e análise de funções, </w:t>
            </w:r>
            <w:r>
              <w:rPr>
                <w:rFonts w:ascii="Arial" w:hAnsi="Arial"/>
                <w:b/>
                <w:i w:val="0"/>
                <w:color w:val="111827"/>
                <w:sz w:val="19"/>
              </w:rPr>
              <w:t>socialização organizacional (integração)</w:t>
            </w:r>
            <w:r>
              <w:rPr>
                <w:rFonts w:ascii="Arial" w:hAnsi="Arial"/>
                <w:b w:val="0"/>
                <w:i w:val="0"/>
                <w:color w:val="111827"/>
                <w:sz w:val="19"/>
              </w:rPr>
              <w:t xml:space="preserve"> e </w:t>
            </w:r>
            <w:r>
              <w:rPr>
                <w:rFonts w:ascii="Arial" w:hAnsi="Arial"/>
                <w:b/>
                <w:i w:val="0"/>
                <w:color w:val="111827"/>
                <w:sz w:val="19"/>
              </w:rPr>
              <w:t>avaliação de desempenho funcional</w:t>
            </w:r>
            <w:r>
              <w:rPr>
                <w:rFonts w:ascii="Arial" w:hAnsi="Arial"/>
                <w:b w:val="0"/>
                <w:i w:val="0"/>
                <w:color w:val="111827"/>
                <w:sz w:val="19"/>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 Recompensar Pessoas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Como remunerar e incentivar o trabalho?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Remuneração direta (vencimento básico), remuneração indireta, gratificações, adicionais pecuniários e benefícios sociais.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4. Desenvolver Pessoas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Como capacitar e expandir o potencial?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Diagnóstico de necessidades de treinamento (LNT), programas de capacitação, desenvolvimento gerencial, gestão do conhecimento e planos de carreira.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5. Manter Pessoas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Como reter os servidores e assegurar bem-estar?</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Clima e cultura organizacional, programas de Qualidade de Vida no Trabalho (QVT), higiene, ergonomia, medicina do trabalho e relações sindicais.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6. Monitorar Pessoas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color w:val="111827"/>
                <w:sz w:val="19"/>
              </w:rPr>
              <w:t>Como registrar e acompanhar as informações?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Bancos de dados funcionais, prontuários do servidor, sistemas integrados de gestão de RH (SIRH) e auditoria de pessoal.</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(MACROPROCESSOS DE CHIAVENATO):</w:t>
            </w:r>
          </w:p>
          <w:p>
            <w:pPr>
              <w:spacing w:line="288" w:lineRule="auto" w:before="40" w:after="40"/>
            </w:pPr>
            <w:r>
              <w:rPr>
                <w:rFonts w:ascii="Arial" w:hAnsi="Arial"/>
                <w:b w:val="0"/>
                <w:i w:val="0"/>
                <w:color w:val="111827"/>
                <w:sz w:val="21"/>
              </w:rPr>
              <w:t>A Fundação Carlos Chagas cobra com frequência pegadinhas sobre a alocação de subsistemas nesse modelo:</w:t>
            </w:r>
          </w:p>
          <w:p>
            <w:pPr>
              <w:spacing w:line="288" w:lineRule="auto" w:before="40" w:after="40"/>
            </w:pPr>
            <w:r>
              <w:rPr>
                <w:rFonts w:ascii="Arial" w:hAnsi="Arial"/>
                <w:b w:val="0"/>
                <w:i w:val="0"/>
                <w:color w:val="111827"/>
                <w:sz w:val="21"/>
              </w:rPr>
              <w:t xml:space="preserve">1. A </w:t>
            </w:r>
            <w:r>
              <w:rPr>
                <w:rFonts w:ascii="Arial" w:hAnsi="Arial"/>
                <w:b/>
                <w:i w:val="0"/>
                <w:color w:val="111827"/>
                <w:sz w:val="21"/>
              </w:rPr>
              <w:t>Avaliação de Desempenho</w:t>
            </w:r>
            <w:r>
              <w:rPr>
                <w:rFonts w:ascii="Arial" w:hAnsi="Arial"/>
                <w:b w:val="0"/>
                <w:i w:val="0"/>
                <w:color w:val="111827"/>
                <w:sz w:val="21"/>
              </w:rPr>
              <w:t xml:space="preserve"> pertence ao macroprocesso de </w:t>
            </w:r>
            <w:r>
              <w:rPr>
                <w:rFonts w:ascii="Arial" w:hAnsi="Arial"/>
                <w:b/>
                <w:i w:val="0"/>
                <w:color w:val="111827"/>
                <w:sz w:val="21"/>
              </w:rPr>
              <w:t>APLICAR PESSOAS</w:t>
            </w:r>
            <w:r>
              <w:rPr>
                <w:rFonts w:ascii="Arial" w:hAnsi="Arial"/>
                <w:b w:val="0"/>
                <w:i w:val="0"/>
                <w:color w:val="111827"/>
                <w:sz w:val="21"/>
              </w:rPr>
              <w:t xml:space="preserve"> (e NÃO a "Monitorar pessoas" nem a "Desenvolver pessoas"). Aplicar significa verificar o que as pessoas fazem e como estão desempenhando suas atribuições.</w:t>
            </w:r>
          </w:p>
          <w:p>
            <w:pPr>
              <w:spacing w:line="288" w:lineRule="auto" w:before="40" w:after="40"/>
            </w:pPr>
            <w:r>
              <w:rPr>
                <w:rFonts w:ascii="Arial" w:hAnsi="Arial"/>
                <w:b w:val="0"/>
                <w:i w:val="0"/>
                <w:color w:val="111827"/>
                <w:sz w:val="21"/>
              </w:rPr>
              <w:t xml:space="preserve">2. A </w:t>
            </w:r>
            <w:r>
              <w:rPr>
                <w:rFonts w:ascii="Arial" w:hAnsi="Arial"/>
                <w:b/>
                <w:i w:val="0"/>
                <w:color w:val="111827"/>
                <w:sz w:val="21"/>
              </w:rPr>
              <w:t>Integração / Socialização Organizacional</w:t>
            </w:r>
            <w:r>
              <w:rPr>
                <w:rFonts w:ascii="Arial" w:hAnsi="Arial"/>
                <w:b w:val="0"/>
                <w:i w:val="0"/>
                <w:color w:val="111827"/>
                <w:sz w:val="21"/>
              </w:rPr>
              <w:t xml:space="preserve"> também integra os processos de </w:t>
            </w:r>
            <w:r>
              <w:rPr>
                <w:rFonts w:ascii="Arial" w:hAnsi="Arial"/>
                <w:b/>
                <w:i w:val="0"/>
                <w:color w:val="111827"/>
                <w:sz w:val="21"/>
              </w:rPr>
              <w:t>APLICAR PESSOAS</w:t>
            </w:r>
            <w:r>
              <w:rPr>
                <w:rFonts w:ascii="Arial" w:hAnsi="Arial"/>
                <w:b w:val="0"/>
                <w:i w:val="0"/>
                <w:color w:val="111827"/>
                <w:sz w:val="21"/>
              </w:rPr>
              <w:t>, pois orienta o servidor sobre como exercer seu cargo e agir dentro da instituição.</w:t>
            </w:r>
          </w:p>
          <w:p>
            <w:pPr>
              <w:spacing w:line="288" w:lineRule="auto" w:before="40" w:after="40"/>
            </w:pPr>
            <w:r>
              <w:rPr>
                <w:rFonts w:ascii="Arial" w:hAnsi="Arial"/>
                <w:b w:val="0"/>
                <w:i w:val="0"/>
                <w:color w:val="111827"/>
                <w:sz w:val="21"/>
              </w:rPr>
              <w:t xml:space="preserve">3. O macroprocesso de </w:t>
            </w:r>
            <w:r>
              <w:rPr>
                <w:rFonts w:ascii="Arial" w:hAnsi="Arial"/>
                <w:b/>
                <w:i w:val="0"/>
                <w:color w:val="111827"/>
                <w:sz w:val="21"/>
              </w:rPr>
              <w:t>Monitorar Pessoas</w:t>
            </w:r>
            <w:r>
              <w:rPr>
                <w:rFonts w:ascii="Arial" w:hAnsi="Arial"/>
                <w:b w:val="0"/>
                <w:i w:val="0"/>
                <w:color w:val="111827"/>
                <w:sz w:val="21"/>
              </w:rPr>
              <w:t xml:space="preserve"> restringe-se a cadastros, bancos de dados, relatórios gerenciais e auditoria de regularidade funcional.</w:t>
            </w:r>
          </w:p>
        </w:tc>
      </w:tr>
    </w:tbl>
    <w:p>
      <w:pPr>
        <w:spacing w:before="0" w:after="120"/>
      </w:pPr>
    </w:p>
    <w:p>
      <w:pPr>
        <w:keepNext/>
        <w:spacing w:before="200" w:after="80"/>
      </w:pPr>
      <w:r>
        <w:rPr>
          <w:rFonts w:ascii="Arial" w:hAnsi="Arial"/>
          <w:b/>
          <w:i w:val="0"/>
          <w:color w:val="2B6CB0"/>
          <w:sz w:val="24"/>
        </w:rPr>
        <w:t>3. Rotinas Administrativas do Departamento de Pessoal no Setor Público</w:t>
      </w:r>
    </w:p>
    <w:p>
      <w:pPr>
        <w:spacing w:line="360" w:lineRule="auto" w:before="0" w:after="80"/>
        <w:jc w:val="both"/>
      </w:pPr>
      <w:r>
        <w:rPr>
          <w:rFonts w:ascii="Arial" w:hAnsi="Arial"/>
          <w:b w:val="0"/>
          <w:i w:val="0"/>
          <w:color w:val="111827"/>
          <w:sz w:val="24"/>
        </w:rPr>
        <w:t>Mesmo sob uma ótica estratégica, as rotinas operacionais de pessoal são indispensáveis para garantir a estrita legalidade e conformidade dos atos de gestão pública:</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Admissão e Investidura: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Conferência de documentos pessoais e habilitação legal;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Realização de perícia médica oficial e aferição de aptidão física/mental;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Lavratura do termo de posse pela autoridade competente e registro do início do efetivo exercício.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Controle de Frequência e Assiduidade: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Acompanhamento do registro biométrico ou eletrônico de ponto;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Gestão de escalas de trabalho, compensações e banco de horas autorizadas;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Processamento de justificativas legais, faltas abonadas e desconto em folha decorrente de ausências não justificadas.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Elaboração e Processamento da Folha de Pagamento: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Apuração do vencimento básico atribuído ao cargo e padrão da carreira;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Lançamento de vantagens funcionais (quinquênios, gratificações de desempenho, adicionais de titulação, auxílio-alimentação e transporte);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Cálculo e retenção de descontos obrigatórios (Previdência Própria / Regime Geral e Imposto de Renda Retido na Fonte - IRRF);</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Gestão de consignações facultativas em folha (empréstimos consignados, planos de saúde, mensalidades sindicais);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Aplicação e corte de remunerações que excedam o </w:t>
      </w:r>
      <w:r>
        <w:rPr>
          <w:rFonts w:ascii="Arial" w:hAnsi="Arial"/>
          <w:b/>
          <w:i w:val="0"/>
          <w:color w:val="111827"/>
          <w:sz w:val="22"/>
        </w:rPr>
        <w:t>teto remuneratório constitucional</w:t>
      </w:r>
      <w:r>
        <w:rPr>
          <w:rFonts w:ascii="Arial" w:hAnsi="Arial"/>
          <w:b w:val="0"/>
          <w:i w:val="0"/>
          <w:color w:val="111827"/>
          <w:sz w:val="22"/>
        </w:rPr>
        <w:t xml:space="preserve"> (CF/88, art. 37, XI).</w:t>
      </w:r>
    </w:p>
    <w:p>
      <w:pPr>
        <w:spacing w:line="276" w:lineRule="auto" w:before="20" w:after="40"/>
        <w:ind w:left="425"/>
      </w:pPr>
      <w:r>
        <w:rPr>
          <w:rFonts w:ascii="Arial" w:hAnsi="Arial"/>
          <w:b/>
          <w:color w:val="1B365D"/>
          <w:sz w:val="22"/>
        </w:rPr>
        <w:t xml:space="preserve">4. </w:t>
      </w:r>
      <w:r>
        <w:rPr>
          <w:rFonts w:ascii="Arial" w:hAnsi="Arial"/>
          <w:b/>
          <w:i w:val="0"/>
          <w:color w:val="111827"/>
          <w:sz w:val="22"/>
        </w:rPr>
        <w:t>Escala e Concessão de Férias: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Controle do período aquisitivo (12 meses de efetivo exercício) e período concessivo;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Elaboração da escala anual de férias para evitar descontinuidade do serviço público;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Pagamento obrigatório do terço constitucional de férias.</w:t>
      </w:r>
    </w:p>
    <w:p>
      <w:pPr>
        <w:spacing w:line="276" w:lineRule="auto" w:before="20" w:after="40"/>
        <w:ind w:left="425"/>
      </w:pPr>
      <w:r>
        <w:rPr>
          <w:rFonts w:ascii="Arial" w:hAnsi="Arial"/>
          <w:b/>
          <w:color w:val="1B365D"/>
          <w:sz w:val="22"/>
        </w:rPr>
        <w:t xml:space="preserve">5. </w:t>
      </w:r>
      <w:r>
        <w:rPr>
          <w:rFonts w:ascii="Arial" w:hAnsi="Arial"/>
          <w:b/>
          <w:i w:val="0"/>
          <w:color w:val="111827"/>
          <w:sz w:val="22"/>
        </w:rPr>
        <w:t>Assentamentos Individuais e Prontuário Funcional: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Registro histórico de toda a vida funcional do servidor (designações, licenças, afastamentos, progressões, penalidades e elogios);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Averbação de tempo de contribuição prévio para fins de aposentadoria e disponibilidade.</w:t>
      </w:r>
    </w:p>
    <w:p>
      <w:pPr>
        <w:keepNext/>
        <w:spacing w:before="200" w:after="80"/>
      </w:pPr>
      <w:r>
        <w:rPr>
          <w:rFonts w:ascii="Arial" w:hAnsi="Arial"/>
          <w:b/>
          <w:i w:val="0"/>
          <w:color w:val="2B6CB0"/>
          <w:sz w:val="24"/>
        </w:rPr>
        <w:t>4. O Processo de Agregar Pessoas: Recrutamento e Seleção</w:t>
      </w:r>
    </w:p>
    <w:p>
      <w:pPr>
        <w:spacing w:line="360" w:lineRule="auto" w:before="0" w:after="80"/>
        <w:jc w:val="both"/>
      </w:pPr>
      <w:r>
        <w:rPr>
          <w:rFonts w:ascii="Arial" w:hAnsi="Arial"/>
          <w:b w:val="0"/>
          <w:i w:val="0"/>
          <w:color w:val="111827"/>
          <w:sz w:val="24"/>
        </w:rPr>
        <w:t>O processo de agregar pessoas inicia-se com o diagnóstico de necessidades de pessoal e desdobra-se em duas etapas interdependentes: o recrutamento (atração) e a seleção (escolha).</w:t>
      </w:r>
    </w:p>
    <w:p>
      <w:pPr>
        <w:spacing w:after="120"/>
      </w:pPr>
    </w:p>
    <w:p>
      <w:pPr>
        <w:keepNext/>
        <w:spacing w:before="120" w:after="40"/>
      </w:pPr>
      <w:r>
        <w:rPr>
          <w:rFonts w:ascii="Arial" w:hAnsi="Arial"/>
          <w:b/>
          <w:i/>
          <w:color w:val="334155"/>
          <w:sz w:val="22"/>
        </w:rPr>
        <w:t>Recrutamento Interno vs. Recrutamento Externo vs. Recrutamento Misto</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Análise</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Recrutamento Interno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Recrutamento Externo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Recrutamento Misto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Origem dos Candidatos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Colaboradores que já integram a instituição (promoções, relotações).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Candidatos externos disponíveis no mercado ou em outros órgãos.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Combina candidatos internos e externos na mesma disputa.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Custo Financeiro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Muito baixo:</w:t>
            </w:r>
            <w:r>
              <w:rPr>
                <w:rFonts w:ascii="Arial" w:hAnsi="Arial"/>
                <w:b w:val="0"/>
                <w:i w:val="0"/>
                <w:color w:val="111827"/>
                <w:sz w:val="19"/>
              </w:rPr>
              <w:t xml:space="preserve"> dispensa editais complexos e publicidade massiva.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Elevado:</w:t>
            </w:r>
            <w:r>
              <w:rPr>
                <w:rFonts w:ascii="Arial" w:hAnsi="Arial"/>
                <w:b w:val="0"/>
                <w:i w:val="0"/>
                <w:color w:val="111827"/>
                <w:sz w:val="19"/>
              </w:rPr>
              <w:t xml:space="preserve"> publicação de editais, contratação de bancas examinadoras.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Custo intermediário ou alto.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Tempo de Execução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Rápido:</w:t>
            </w:r>
            <w:r>
              <w:rPr>
                <w:rFonts w:ascii="Arial" w:hAnsi="Arial"/>
                <w:b w:val="0"/>
                <w:i w:val="0"/>
                <w:color w:val="111827"/>
                <w:sz w:val="19"/>
              </w:rPr>
              <w:t xml:space="preserve"> os colaboradores já são conhecidos e estão cadastrados.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Lento e moroso:</w:t>
            </w:r>
            <w:r>
              <w:rPr>
                <w:rFonts w:ascii="Arial" w:hAnsi="Arial"/>
                <w:b w:val="0"/>
                <w:i w:val="0"/>
                <w:color w:val="111827"/>
                <w:sz w:val="19"/>
              </w:rPr>
              <w:t xml:space="preserve"> prazos de inscrição, recursos e homologação.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Médio a longo.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Impacto na Motivação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Eleva a motivação interna e valoriza a carreira funcional.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Pode desmotivar servidores internos que almejavam a oportunidade.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Equilibra estímulo interno e ampliação de horizontes.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Inovação Cultural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**Risco de Endogamia Cultural (</w:t>
            </w:r>
            <w:r>
              <w:rPr>
                <w:rFonts w:ascii="Arial" w:hAnsi="Arial"/>
                <w:b w:val="0"/>
                <w:i/>
                <w:color w:val="111827"/>
                <w:sz w:val="19"/>
              </w:rPr>
              <w:t>Inbreeding</w:t>
            </w:r>
            <w:r>
              <w:rPr>
                <w:rFonts w:ascii="Arial" w:hAnsi="Arial"/>
                <w:b w:val="0"/>
                <w:i w:val="0"/>
                <w:color w:val="111827"/>
                <w:sz w:val="19"/>
              </w:rPr>
              <w:t>):** cristaliza velhos hábitos e rotinas.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**Renovação (</w:t>
            </w:r>
            <w:r>
              <w:rPr>
                <w:rFonts w:ascii="Arial" w:hAnsi="Arial"/>
                <w:b w:val="0"/>
                <w:i/>
                <w:color w:val="111827"/>
                <w:sz w:val="19"/>
              </w:rPr>
              <w:t>Sangue Novo</w:t>
            </w:r>
            <w:r>
              <w:rPr>
                <w:rFonts w:ascii="Arial" w:hAnsi="Arial"/>
                <w:b w:val="0"/>
                <w:i w:val="0"/>
                <w:color w:val="111827"/>
                <w:sz w:val="19"/>
              </w:rPr>
              <w:t>):** agrega novos saberes e rompe paradigmas.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Permite conciliar estabilidade institucional e inovação.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Aplicação no Setor Público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Restrito a funções de confiança e cargos em comissão privativos de efetivos.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Regra Geral Constitucional:</w:t>
            </w:r>
            <w:r>
              <w:rPr>
                <w:rFonts w:ascii="Arial" w:hAnsi="Arial"/>
                <w:b w:val="0"/>
                <w:i w:val="0"/>
                <w:color w:val="111827"/>
                <w:sz w:val="19"/>
              </w:rPr>
              <w:t xml:space="preserve"> Concurso Público de Provas ou Provas e Títulos.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Seleções internas prévias seguidas de concurso se deserto o quadro.</w:t>
            </w:r>
          </w:p>
        </w:tc>
      </w:tr>
    </w:tbl>
    <w:p>
      <w:pPr>
        <w:spacing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CONCEITO DE ENDOGAMIA CULTURAL:</w:t>
            </w:r>
          </w:p>
          <w:p>
            <w:pPr>
              <w:spacing w:line="288" w:lineRule="auto" w:before="40" w:after="40"/>
            </w:pPr>
            <w:r>
              <w:rPr>
                <w:rFonts w:ascii="Arial" w:hAnsi="Arial"/>
                <w:b w:val="0"/>
                <w:i w:val="0"/>
                <w:color w:val="111827"/>
                <w:sz w:val="21"/>
              </w:rPr>
              <w:t xml:space="preserve">A FCC adora cobrar o fenômeno da </w:t>
            </w:r>
            <w:r>
              <w:rPr>
                <w:rFonts w:ascii="Arial" w:hAnsi="Arial"/>
                <w:b/>
                <w:i w:val="0"/>
                <w:color w:val="111827"/>
                <w:sz w:val="21"/>
              </w:rPr>
              <w:t>endogamia organizacional</w:t>
            </w:r>
            <w:r>
              <w:rPr>
                <w:rFonts w:ascii="Arial" w:hAnsi="Arial"/>
                <w:b w:val="0"/>
                <w:i w:val="0"/>
                <w:color w:val="111827"/>
                <w:sz w:val="21"/>
              </w:rPr>
              <w:t xml:space="preserve"> (ou cultural). Trata-se da tendência de um órgão ou empresa, ao recrutar exclusivamente membros de seus próprios quadros internos, de perpetuar os mesmos padrões de pensamento, cristalizar defeitos e inibir o surgimento de ideias inovadoras. O recrutamento externo atua justamente como antídoto à endogamia.</w:t>
            </w:r>
          </w:p>
        </w:tc>
      </w:tr>
    </w:tbl>
    <w:p>
      <w:pPr>
        <w:spacing w:before="0" w:after="120"/>
      </w:pPr>
    </w:p>
    <w:p>
      <w:pPr>
        <w:keepNext/>
        <w:spacing w:before="120" w:after="40"/>
      </w:pPr>
      <w:r>
        <w:rPr>
          <w:rFonts w:ascii="Arial" w:hAnsi="Arial"/>
          <w:b/>
          <w:i/>
          <w:color w:val="334155"/>
          <w:sz w:val="22"/>
        </w:rPr>
        <w:t>Seleção de Pessoas: O Modelo de Comparação e Decisão</w:t>
      </w:r>
    </w:p>
    <w:p>
      <w:pPr>
        <w:spacing w:line="360" w:lineRule="auto" w:before="0" w:after="80"/>
        <w:jc w:val="both"/>
      </w:pPr>
      <w:r>
        <w:rPr>
          <w:rFonts w:ascii="Arial" w:hAnsi="Arial"/>
          <w:b w:val="0"/>
          <w:i w:val="0"/>
          <w:color w:val="111827"/>
          <w:sz w:val="24"/>
        </w:rPr>
        <w:t xml:space="preserve">Enquanto o recrutamento visa atrair o maior número possível de candidatos qualificados (processo positivo), a </w:t>
      </w:r>
      <w:r>
        <w:rPr>
          <w:rFonts w:ascii="Arial" w:hAnsi="Arial"/>
          <w:b/>
          <w:i w:val="0"/>
          <w:color w:val="111827"/>
          <w:sz w:val="24"/>
        </w:rPr>
        <w:t>seleção de pessoas é um processo de triagem, restrição e escolha (processo negativo ou de afunilamento)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 Seleção como Comparação:</w:t>
      </w:r>
      <w:r>
        <w:rPr>
          <w:rFonts w:ascii="Arial" w:hAnsi="Arial"/>
          <w:b w:val="0"/>
          <w:i w:val="0"/>
          <w:color w:val="111827"/>
          <w:sz w:val="22"/>
        </w:rPr>
        <w:t xml:space="preserve"> confronta os requisitos exigidos pelo cargo (</w:t>
      </w:r>
      <w:r>
        <w:rPr>
          <w:rFonts w:ascii="Arial" w:hAnsi="Arial"/>
          <w:b w:val="0"/>
          <w:i/>
          <w:color w:val="111827"/>
          <w:sz w:val="22"/>
        </w:rPr>
        <w:t>Job Description</w:t>
      </w:r>
      <w:r>
        <w:rPr>
          <w:rFonts w:ascii="Arial" w:hAnsi="Arial"/>
          <w:b w:val="0"/>
          <w:i w:val="0"/>
          <w:color w:val="111827"/>
          <w:sz w:val="22"/>
        </w:rPr>
        <w:t xml:space="preserve"> / perfil de competências) com o perfil de competências oferecido pelos candidatos (</w:t>
      </w:r>
      <w:r>
        <w:rPr>
          <w:rFonts w:ascii="Arial" w:hAnsi="Arial"/>
          <w:b w:val="0"/>
          <w:i/>
          <w:color w:val="111827"/>
          <w:sz w:val="22"/>
        </w:rPr>
        <w:t>Job Profile</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 Seleção como Decisão:</w:t>
      </w:r>
      <w:r>
        <w:rPr>
          <w:rFonts w:ascii="Arial" w:hAnsi="Arial"/>
          <w:b w:val="0"/>
          <w:i w:val="0"/>
          <w:color w:val="111827"/>
          <w:sz w:val="22"/>
        </w:rPr>
        <w:t xml:space="preserve"> escolha técnica fundamentada em critérios objetivos para preenchimento da vaga.</w:t>
      </w:r>
    </w:p>
    <w:p>
      <w:pPr>
        <w:spacing w:after="120"/>
      </w:pPr>
    </w:p>
    <w:p>
      <w:pPr>
        <w:keepNext/>
        <w:spacing w:before="120" w:after="40"/>
      </w:pPr>
      <w:r>
        <w:rPr>
          <w:rFonts w:ascii="Arial" w:hAnsi="Arial"/>
          <w:b/>
          <w:i/>
          <w:color w:val="334155"/>
          <w:sz w:val="22"/>
        </w:rPr>
        <w:t>Técnicas de Seleção de Pessoas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Provas de Conhecimentos ou de Capacidade: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Avaliam o nível de conhecimento teórico e prático exigido para a função;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Podem ser objetivas (múltipla escolha, verdadeiro/falso) ou discursivas (estudo de caso, redação técnica);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Constituem o núcleo central do concurso público brasileiro.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Entrevistas de Seleção: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Não estruturadas:</w:t>
      </w:r>
      <w:r>
        <w:rPr>
          <w:rFonts w:ascii="Arial" w:hAnsi="Arial"/>
          <w:b w:val="0"/>
          <w:i w:val="0"/>
          <w:color w:val="111827"/>
          <w:sz w:val="22"/>
        </w:rPr>
        <w:t xml:space="preserve"> livres, sem roteiro prévio (baixa confiabilidade);</w:t>
      </w:r>
    </w:p>
    <w:p>
      <w:pPr>
        <w:spacing w:line="276" w:lineRule="auto" w:before="20" w:after="40"/>
        <w:ind w:left="992"/>
      </w:pPr>
      <w:r>
        <w:rPr>
          <w:rFonts w:ascii="Arial" w:hAnsi="Arial"/>
          <w:b/>
          <w:color w:val="2B6CB0"/>
          <w:sz w:val="22"/>
        </w:rPr>
        <w:t xml:space="preserve">• </w:t>
      </w:r>
      <w:r>
        <w:rPr>
          <w:rFonts w:ascii="Arial" w:hAnsi="Arial"/>
          <w:b/>
          <w:i w:val="0"/>
          <w:color w:val="111827"/>
          <w:sz w:val="22"/>
        </w:rPr>
        <w:t>Estruturadas / Padronizadas:</w:t>
      </w:r>
      <w:r>
        <w:rPr>
          <w:rFonts w:ascii="Arial" w:hAnsi="Arial"/>
          <w:b w:val="0"/>
          <w:i w:val="0"/>
          <w:color w:val="111827"/>
          <w:sz w:val="22"/>
        </w:rPr>
        <w:t xml:space="preserve"> roteiro rígido de perguntas iguais para todos os candidatos (alta comparabilidade);</w:t>
      </w:r>
    </w:p>
    <w:p>
      <w:pPr>
        <w:spacing w:line="276" w:lineRule="auto" w:before="20" w:after="40"/>
        <w:ind w:left="992"/>
      </w:pPr>
      <w:r>
        <w:rPr>
          <w:rFonts w:ascii="Arial" w:hAnsi="Arial"/>
          <w:b/>
          <w:color w:val="2B6CB0"/>
          <w:sz w:val="22"/>
        </w:rPr>
        <w:t xml:space="preserve">• </w:t>
      </w:r>
      <w:r>
        <w:rPr>
          <w:rFonts w:ascii="Arial" w:hAnsi="Arial"/>
          <w:b/>
          <w:i w:val="0"/>
          <w:color w:val="111827"/>
          <w:sz w:val="22"/>
        </w:rPr>
        <w:t>Entrevista Comportamental com Foco em Competências (Técnica STAR):</w:t>
      </w:r>
      <w:r>
        <w:rPr>
          <w:rFonts w:ascii="Arial" w:hAnsi="Arial"/>
          <w:b w:val="0"/>
          <w:i w:val="0"/>
          <w:color w:val="111827"/>
          <w:sz w:val="22"/>
        </w:rPr>
        <w:t xml:space="preserve"> busca evidências de comportamentos passados para prever desempenhos futuros: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S</w:t>
      </w:r>
      <w:r>
        <w:rPr>
          <w:rFonts w:ascii="Arial" w:hAnsi="Arial"/>
          <w:b w:val="0"/>
          <w:i w:val="0"/>
          <w:color w:val="111827"/>
          <w:sz w:val="22"/>
        </w:rPr>
        <w:t xml:space="preserve"> (</w:t>
      </w:r>
      <w:r>
        <w:rPr>
          <w:rFonts w:ascii="Arial" w:hAnsi="Arial"/>
          <w:b w:val="0"/>
          <w:i/>
          <w:color w:val="111827"/>
          <w:sz w:val="22"/>
        </w:rPr>
        <w:t>Situação</w:t>
      </w:r>
      <w:r>
        <w:rPr>
          <w:rFonts w:ascii="Arial" w:hAnsi="Arial"/>
          <w:b w:val="0"/>
          <w:i w:val="0"/>
          <w:color w:val="111827"/>
          <w:sz w:val="22"/>
        </w:rPr>
        <w:t>): contexto fático enfrentado pelo candidato;</w:t>
      </w:r>
    </w:p>
    <w:p>
      <w:pPr>
        <w:spacing w:line="276" w:lineRule="auto" w:before="20" w:after="40"/>
        <w:ind w:left="992"/>
      </w:pPr>
      <w:r>
        <w:rPr>
          <w:rFonts w:ascii="Arial" w:hAnsi="Arial"/>
          <w:b/>
          <w:color w:val="2B6CB0"/>
          <w:sz w:val="22"/>
        </w:rPr>
        <w:t xml:space="preserve">• </w:t>
      </w:r>
      <w:r>
        <w:rPr>
          <w:rFonts w:ascii="Arial" w:hAnsi="Arial"/>
          <w:b/>
          <w:i w:val="0"/>
          <w:color w:val="111827"/>
          <w:sz w:val="22"/>
        </w:rPr>
        <w:t>T</w:t>
      </w:r>
      <w:r>
        <w:rPr>
          <w:rFonts w:ascii="Arial" w:hAnsi="Arial"/>
          <w:b w:val="0"/>
          <w:i w:val="0"/>
          <w:color w:val="111827"/>
          <w:sz w:val="22"/>
        </w:rPr>
        <w:t xml:space="preserve"> (</w:t>
      </w:r>
      <w:r>
        <w:rPr>
          <w:rFonts w:ascii="Arial" w:hAnsi="Arial"/>
          <w:b w:val="0"/>
          <w:i/>
          <w:color w:val="111827"/>
          <w:sz w:val="22"/>
        </w:rPr>
        <w:t>Tarefa</w:t>
      </w:r>
      <w:r>
        <w:rPr>
          <w:rFonts w:ascii="Arial" w:hAnsi="Arial"/>
          <w:b w:val="0"/>
          <w:i w:val="0"/>
          <w:color w:val="111827"/>
          <w:sz w:val="22"/>
        </w:rPr>
        <w:t>): responsabilidade ou desafio que cabia a ele resolver;</w:t>
      </w:r>
    </w:p>
    <w:p>
      <w:pPr>
        <w:spacing w:line="276" w:lineRule="auto" w:before="20" w:after="40"/>
        <w:ind w:left="992"/>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w:t>
      </w:r>
      <w:r>
        <w:rPr>
          <w:rFonts w:ascii="Arial" w:hAnsi="Arial"/>
          <w:b w:val="0"/>
          <w:i/>
          <w:color w:val="111827"/>
          <w:sz w:val="22"/>
        </w:rPr>
        <w:t>Ação</w:t>
      </w:r>
      <w:r>
        <w:rPr>
          <w:rFonts w:ascii="Arial" w:hAnsi="Arial"/>
          <w:b w:val="0"/>
          <w:i w:val="0"/>
          <w:color w:val="111827"/>
          <w:sz w:val="22"/>
        </w:rPr>
        <w:t>): atitudes e procedimentos concretos adotados pelo profissional;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R</w:t>
      </w:r>
      <w:r>
        <w:rPr>
          <w:rFonts w:ascii="Arial" w:hAnsi="Arial"/>
          <w:b w:val="0"/>
          <w:i w:val="0"/>
          <w:color w:val="111827"/>
          <w:sz w:val="22"/>
        </w:rPr>
        <w:t xml:space="preserve"> (</w:t>
      </w:r>
      <w:r>
        <w:rPr>
          <w:rFonts w:ascii="Arial" w:hAnsi="Arial"/>
          <w:b w:val="0"/>
          <w:i/>
          <w:color w:val="111827"/>
          <w:sz w:val="22"/>
        </w:rPr>
        <w:t>Resultado</w:t>
      </w:r>
      <w:r>
        <w:rPr>
          <w:rFonts w:ascii="Arial" w:hAnsi="Arial"/>
          <w:b w:val="0"/>
          <w:i w:val="0"/>
          <w:color w:val="111827"/>
          <w:sz w:val="22"/>
        </w:rPr>
        <w:t>): impactos qualitativos e quantitativos alcançados.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Testes Psicológicos e de Aptidão: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Testes Psicométricos:</w:t>
      </w:r>
      <w:r>
        <w:rPr>
          <w:rFonts w:ascii="Arial" w:hAnsi="Arial"/>
          <w:b w:val="0"/>
          <w:i w:val="0"/>
          <w:color w:val="111827"/>
          <w:sz w:val="22"/>
        </w:rPr>
        <w:t xml:space="preserve"> mensuram aptidões intelectuais, raciocínio lógico, atenção concentrada e memória;</w:t>
      </w:r>
    </w:p>
    <w:p>
      <w:pPr>
        <w:spacing w:line="276" w:lineRule="auto" w:before="20" w:after="40"/>
        <w:ind w:left="992"/>
      </w:pPr>
      <w:r>
        <w:rPr>
          <w:rFonts w:ascii="Arial" w:hAnsi="Arial"/>
          <w:b/>
          <w:color w:val="2B6CB0"/>
          <w:sz w:val="22"/>
        </w:rPr>
        <w:t xml:space="preserve">• </w:t>
      </w:r>
      <w:r>
        <w:rPr>
          <w:rFonts w:ascii="Arial" w:hAnsi="Arial"/>
          <w:b/>
          <w:i w:val="0"/>
          <w:color w:val="111827"/>
          <w:sz w:val="22"/>
        </w:rPr>
        <w:t>Testes de Personalidade:</w:t>
      </w:r>
      <w:r>
        <w:rPr>
          <w:rFonts w:ascii="Arial" w:hAnsi="Arial"/>
          <w:b w:val="0"/>
          <w:i w:val="0"/>
          <w:color w:val="111827"/>
          <w:sz w:val="22"/>
        </w:rPr>
        <w:t xml:space="preserve"> avaliam traços de caráter, temperamento, equilíbrio emocional e maturidade (ex.: testes projetivos e expressivos, devidamente validados pelo Conselho Federal de Psicologia).</w:t>
      </w:r>
    </w:p>
    <w:p>
      <w:pPr>
        <w:spacing w:line="276" w:lineRule="auto" w:before="20" w:after="40"/>
        <w:ind w:left="425"/>
      </w:pPr>
      <w:r>
        <w:rPr>
          <w:rFonts w:ascii="Arial" w:hAnsi="Arial"/>
          <w:b/>
          <w:color w:val="1B365D"/>
          <w:sz w:val="22"/>
        </w:rPr>
        <w:t xml:space="preserve">4. </w:t>
      </w:r>
      <w:r>
        <w:rPr>
          <w:rFonts w:ascii="Arial" w:hAnsi="Arial"/>
          <w:b/>
          <w:i w:val="0"/>
          <w:color w:val="111827"/>
          <w:sz w:val="22"/>
        </w:rPr>
        <w:t>Técnicas Vivenciais / Dinâmicas de Grupo: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Simulação de situações reais de trabalho, dramatizações (</w:t>
      </w:r>
      <w:r>
        <w:rPr>
          <w:rFonts w:ascii="Arial" w:hAnsi="Arial"/>
          <w:b w:val="0"/>
          <w:i/>
          <w:color w:val="111827"/>
          <w:sz w:val="22"/>
        </w:rPr>
        <w:t>role-playing</w:t>
      </w:r>
      <w:r>
        <w:rPr>
          <w:rFonts w:ascii="Arial" w:hAnsi="Arial"/>
          <w:b w:val="0"/>
          <w:i w:val="0"/>
          <w:color w:val="111827"/>
          <w:sz w:val="22"/>
        </w:rPr>
        <w:t>) e jogos de negócios para observar liderança, trabalho em equipe e comunicação interpessoal.</w:t>
      </w:r>
    </w:p>
    <w:p>
      <w:pPr>
        <w:spacing w:line="276" w:lineRule="auto" w:before="20" w:after="40"/>
        <w:ind w:left="425"/>
      </w:pPr>
      <w:r>
        <w:rPr>
          <w:rFonts w:ascii="Arial" w:hAnsi="Arial"/>
          <w:b/>
          <w:color w:val="1B365D"/>
          <w:sz w:val="22"/>
        </w:rPr>
        <w:t xml:space="preserve">5. </w:t>
      </w:r>
      <w:r>
        <w:rPr>
          <w:rFonts w:ascii="Arial" w:hAnsi="Arial"/>
          <w:b/>
          <w:i w:val="0"/>
          <w:color w:val="111827"/>
          <w:sz w:val="22"/>
        </w:rPr>
        <w:t>Avaliação de Títulos: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Pontuação objetiva de títulos acadêmicos (especialização, mestrado, doutorado) e experiência profissional prévia. </w:t>
      </w:r>
      <w:r>
        <w:rPr>
          <w:rFonts w:ascii="Arial" w:hAnsi="Arial"/>
          <w:b w:val="0"/>
          <w:i/>
          <w:color w:val="111827"/>
          <w:sz w:val="22"/>
        </w:rPr>
        <w:t>No setor público, a avaliação de títulos tem caráter estritamente classificatório, nunca eliminatório (CF/88, art. 37, II).</w:t>
      </w:r>
    </w:p>
    <w:p>
      <w:pPr>
        <w:keepNext/>
        <w:spacing w:before="200" w:after="80"/>
      </w:pPr>
      <w:r>
        <w:rPr>
          <w:rFonts w:ascii="Arial" w:hAnsi="Arial"/>
          <w:b/>
          <w:i w:val="0"/>
          <w:color w:val="2B6CB0"/>
          <w:sz w:val="24"/>
        </w:rPr>
        <w:t>5. O Concurso Público como Instrumento Republicano (CF/88, art. 37)</w:t>
      </w:r>
    </w:p>
    <w:p>
      <w:pPr>
        <w:spacing w:line="360" w:lineRule="auto" w:before="0" w:after="80"/>
        <w:jc w:val="both"/>
      </w:pPr>
      <w:r>
        <w:rPr>
          <w:rFonts w:ascii="Arial" w:hAnsi="Arial"/>
          <w:b w:val="0"/>
          <w:i w:val="0"/>
          <w:color w:val="111827"/>
          <w:sz w:val="24"/>
        </w:rPr>
        <w:t>No Estado Democrático de Direito, o concurso público é a ferramenta primordial para democratizar o acesso aos cargos públicos e garantir um corpo funcional competente e impessoal.</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Exigência Constitucional (Art. 37, II):</w:t>
      </w:r>
      <w:r>
        <w:rPr>
          <w:rFonts w:ascii="Arial" w:hAnsi="Arial"/>
          <w:b w:val="0"/>
          <w:i w:val="0"/>
          <w:color w:val="111827"/>
          <w:sz w:val="22"/>
        </w:rPr>
        <w:t xml:space="preserve"> A investidura em cargo ou emprego público depende de aprovação prévia em concurso público de provas ou de provas e títulos, de acordo com a natureza e a complexidade do cargo ou emprego, na forma prevista em lei.</w:t>
      </w:r>
    </w:p>
    <w:p>
      <w:pPr>
        <w:spacing w:line="276" w:lineRule="auto" w:before="20" w:after="40"/>
        <w:ind w:left="425"/>
      </w:pPr>
      <w:r>
        <w:rPr>
          <w:rFonts w:ascii="Arial" w:hAnsi="Arial"/>
          <w:b/>
          <w:color w:val="2B6CB0"/>
          <w:sz w:val="22"/>
        </w:rPr>
        <w:t xml:space="preserve">• </w:t>
      </w:r>
      <w:r>
        <w:rPr>
          <w:rFonts w:ascii="Arial" w:hAnsi="Arial"/>
          <w:b/>
          <w:i w:val="0"/>
          <w:color w:val="111827"/>
          <w:sz w:val="22"/>
        </w:rPr>
        <w:t>Exceções Constitucionais Expressas:</w:t>
      </w:r>
    </w:p>
    <w:p>
      <w:pPr>
        <w:spacing w:line="276" w:lineRule="auto" w:before="20" w:after="40"/>
        <w:ind w:left="992"/>
      </w:pPr>
      <w:r>
        <w:rPr>
          <w:rFonts w:ascii="Arial" w:hAnsi="Arial"/>
          <w:b/>
          <w:color w:val="1B365D"/>
          <w:sz w:val="22"/>
        </w:rPr>
        <w:t xml:space="preserve">1. </w:t>
      </w:r>
      <w:r>
        <w:rPr>
          <w:rFonts w:ascii="Arial" w:hAnsi="Arial"/>
          <w:b w:val="0"/>
          <w:i/>
          <w:color w:val="111827"/>
          <w:sz w:val="22"/>
        </w:rPr>
        <w:t>Cargos em comissão declarados em lei de livre nomeação e exoneração</w:t>
      </w:r>
      <w:r>
        <w:rPr>
          <w:rFonts w:ascii="Arial" w:hAnsi="Arial"/>
          <w:b w:val="0"/>
          <w:i w:val="0"/>
          <w:color w:val="111827"/>
          <w:sz w:val="22"/>
        </w:rPr>
        <w:t xml:space="preserve"> (destinados exclusivamente às atribuições de direção, chefia e assessoramento — art. 37, II e V);</w:t>
      </w:r>
    </w:p>
    <w:p>
      <w:pPr>
        <w:spacing w:line="276" w:lineRule="auto" w:before="20" w:after="40"/>
        <w:ind w:left="992"/>
      </w:pPr>
      <w:r>
        <w:rPr>
          <w:rFonts w:ascii="Arial" w:hAnsi="Arial"/>
          <w:b/>
          <w:color w:val="1B365D"/>
          <w:sz w:val="22"/>
        </w:rPr>
        <w:t xml:space="preserve">2. </w:t>
      </w:r>
      <w:r>
        <w:rPr>
          <w:rFonts w:ascii="Arial" w:hAnsi="Arial"/>
          <w:b w:val="0"/>
          <w:i/>
          <w:color w:val="111827"/>
          <w:sz w:val="22"/>
        </w:rPr>
        <w:t>Contratação por tempo determinado</w:t>
      </w:r>
      <w:r>
        <w:rPr>
          <w:rFonts w:ascii="Arial" w:hAnsi="Arial"/>
          <w:b w:val="0"/>
          <w:i w:val="0"/>
          <w:color w:val="111827"/>
          <w:sz w:val="22"/>
        </w:rPr>
        <w:t xml:space="preserve"> para atender a necessidade temporária de excepcional interesse público (Processo Seletivo Simplificado - PSS, art. 37, IX);</w:t>
      </w:r>
    </w:p>
    <w:p>
      <w:pPr>
        <w:spacing w:line="276" w:lineRule="auto" w:before="20" w:after="40"/>
        <w:ind w:left="992"/>
      </w:pPr>
      <w:r>
        <w:rPr>
          <w:rFonts w:ascii="Arial" w:hAnsi="Arial"/>
          <w:b/>
          <w:color w:val="1B365D"/>
          <w:sz w:val="22"/>
        </w:rPr>
        <w:t xml:space="preserve">3. </w:t>
      </w:r>
      <w:r>
        <w:rPr>
          <w:rFonts w:ascii="Arial" w:hAnsi="Arial"/>
          <w:b w:val="0"/>
          <w:i/>
          <w:color w:val="111827"/>
          <w:sz w:val="22"/>
        </w:rPr>
        <w:t>Agentes Comunitários de Saúde e de Combate às Endemias</w:t>
      </w:r>
      <w:r>
        <w:rPr>
          <w:rFonts w:ascii="Arial" w:hAnsi="Arial"/>
          <w:b w:val="0"/>
          <w:i w:val="0"/>
          <w:color w:val="111827"/>
          <w:sz w:val="22"/>
        </w:rPr>
        <w:t xml:space="preserve"> (processo seletivo público específico, art. 198, § 4º).</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Prazo de Validade (Art. 37, III):</w:t>
      </w:r>
      <w:r>
        <w:rPr>
          <w:rFonts w:ascii="Arial" w:hAnsi="Arial"/>
          <w:b w:val="0"/>
          <w:i w:val="0"/>
          <w:color w:val="111827"/>
          <w:sz w:val="22"/>
        </w:rPr>
        <w:t xml:space="preserve"> Até dois anos, prorrogável uma vez por igual período (critério de discricionariedade da administração, dentro do período inicial).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Direito Subjetivo à Nomeação (Jurisprudência Vinculante do STF - Tema 161 / RE 598.099):</w:t>
      </w:r>
      <w:r>
        <w:rPr>
          <w:rFonts w:ascii="Arial" w:hAnsi="Arial"/>
          <w:b w:val="0"/>
          <w:i w:val="0"/>
          <w:color w:val="111827"/>
          <w:sz w:val="22"/>
        </w:rPr>
        <w:t xml:space="preserve"> O candidato aprovado dentro do número de vagas previsto originariamente no edital do concurso público possui </w:t>
      </w:r>
      <w:r>
        <w:rPr>
          <w:rFonts w:ascii="Arial" w:hAnsi="Arial"/>
          <w:b/>
          <w:i w:val="0"/>
          <w:color w:val="111827"/>
          <w:sz w:val="22"/>
        </w:rPr>
        <w:t>direito público subjetivo à nomeação</w:t>
      </w:r>
      <w:r>
        <w:rPr>
          <w:rFonts w:ascii="Arial" w:hAnsi="Arial"/>
          <w:b w:val="0"/>
          <w:i w:val="0"/>
          <w:color w:val="111827"/>
          <w:sz w:val="22"/>
        </w:rPr>
        <w:t xml:space="preserve"> durante o prazo de validade do certame. A recusa da administração só é admitida em hipóteses excepcionalíssimas (superveniência, imprevisibilidade, gravidade extrema e necessidade inafastável).</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(PROVA DE TÍTULOS E VALIDADE):</w:t>
            </w:r>
          </w:p>
          <w:p>
            <w:pPr>
              <w:spacing w:line="288" w:lineRule="auto" w:before="40" w:after="40"/>
            </w:pPr>
            <w:r>
              <w:rPr>
                <w:rFonts w:ascii="Arial" w:hAnsi="Arial"/>
                <w:b w:val="0"/>
                <w:i w:val="0"/>
                <w:color w:val="111827"/>
                <w:sz w:val="21"/>
              </w:rPr>
              <w:t xml:space="preserve">A banca adora questionar os </w:t>
            </w:r>
            <w:r>
              <w:rPr>
                <w:rFonts w:ascii="Arial" w:hAnsi="Arial"/>
                <w:b/>
                <w:i w:val="0"/>
                <w:color w:val="111827"/>
                <w:sz w:val="21"/>
              </w:rPr>
              <w:t>critérios de validade da prova de títulos</w:t>
            </w:r>
            <w:r>
              <w:rPr>
                <w:rFonts w:ascii="Arial" w:hAnsi="Arial"/>
                <w:b w:val="0"/>
                <w:i w:val="0"/>
                <w:color w:val="111827"/>
                <w:sz w:val="21"/>
              </w:rPr>
              <w:t xml:space="preserve">. Memorize: no concurso público, a fase de avaliação de títulos possui caráter </w:t>
            </w:r>
            <w:r>
              <w:rPr>
                <w:rFonts w:ascii="Arial" w:hAnsi="Arial"/>
                <w:b/>
                <w:i w:val="0"/>
                <w:color w:val="111827"/>
                <w:sz w:val="21"/>
              </w:rPr>
              <w:t>estritamente classificatório</w:t>
            </w:r>
            <w:r>
              <w:rPr>
                <w:rFonts w:ascii="Arial" w:hAnsi="Arial"/>
                <w:b w:val="0"/>
                <w:i w:val="0"/>
                <w:color w:val="111827"/>
                <w:sz w:val="21"/>
              </w:rPr>
              <w:t>, sendo terminantemente inconstitucional conferir-lhe caráter eliminatório!</w:t>
            </w:r>
          </w:p>
          <w:p>
            <w:pPr>
              <w:spacing w:line="288" w:lineRule="auto" w:before="40" w:after="40"/>
            </w:pPr>
            <w:r>
              <w:rPr>
                <w:rFonts w:ascii="Arial" w:hAnsi="Arial"/>
                <w:b w:val="0"/>
                <w:i w:val="0"/>
                <w:color w:val="111827"/>
                <w:sz w:val="21"/>
              </w:rPr>
              <w:t xml:space="preserve">Além disso, o art. 37, III da CF/88 estabelece que o concurso terá validade de </w:t>
            </w:r>
            <w:r>
              <w:rPr>
                <w:rFonts w:ascii="Arial" w:hAnsi="Arial"/>
                <w:b/>
                <w:i w:val="0"/>
                <w:color w:val="111827"/>
                <w:sz w:val="21"/>
              </w:rPr>
              <w:t>até 2 anos</w:t>
            </w:r>
            <w:r>
              <w:rPr>
                <w:rFonts w:ascii="Arial" w:hAnsi="Arial"/>
                <w:b w:val="0"/>
                <w:i w:val="0"/>
                <w:color w:val="111827"/>
                <w:sz w:val="21"/>
              </w:rPr>
              <w:t xml:space="preserve">, prorrogável uma vez por igual período. A prorrogação deve ser pelo </w:t>
            </w:r>
            <w:r>
              <w:rPr>
                <w:rFonts w:ascii="Arial" w:hAnsi="Arial"/>
                <w:b/>
                <w:i w:val="0"/>
                <w:color w:val="111827"/>
                <w:sz w:val="21"/>
              </w:rPr>
              <w:t>mesmo prazo</w:t>
            </w:r>
            <w:r>
              <w:rPr>
                <w:rFonts w:ascii="Arial" w:hAnsi="Arial"/>
                <w:b w:val="0"/>
                <w:i w:val="0"/>
                <w:color w:val="111827"/>
                <w:sz w:val="21"/>
              </w:rPr>
              <w:t xml:space="preserve"> fixado no edital original (se o edital fixou 1 ano, prorroga-se por mais 1 ano; se fixou 6 meses, prorroga-se por 6 meses).</w:t>
            </w:r>
          </w:p>
        </w:tc>
      </w:tr>
    </w:tbl>
    <w:p>
      <w:pPr>
        <w:spacing w:before="0" w:after="120"/>
      </w:pP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CONCURSO PÚBLICO E CARGOS COMISSIONADOS:</w:t>
            </w:r>
          </w:p>
          <w:p>
            <w:pPr>
              <w:spacing w:line="288" w:lineRule="auto" w:before="40" w:after="40"/>
            </w:pPr>
            <w:r>
              <w:rPr>
                <w:rFonts w:ascii="Arial" w:hAnsi="Arial"/>
                <w:b w:val="0"/>
                <w:i w:val="0"/>
                <w:color w:val="111827"/>
                <w:sz w:val="21"/>
              </w:rPr>
              <w:t xml:space="preserve">A investidura mediante concurso é a regra para </w:t>
            </w:r>
            <w:r>
              <w:rPr>
                <w:rFonts w:ascii="Arial" w:hAnsi="Arial"/>
                <w:b/>
                <w:i w:val="0"/>
                <w:color w:val="111827"/>
                <w:sz w:val="21"/>
              </w:rPr>
              <w:t>cargos de provimento efetivo</w:t>
            </w:r>
            <w:r>
              <w:rPr>
                <w:rFonts w:ascii="Arial" w:hAnsi="Arial"/>
                <w:b w:val="0"/>
                <w:i w:val="0"/>
                <w:color w:val="111827"/>
                <w:sz w:val="21"/>
              </w:rPr>
              <w:t xml:space="preserve"> e empregos públicos. Funções de confiança e cargos comissionados dispensam concurso público formal, mas as funções de confiança são reservadas </w:t>
            </w:r>
            <w:r>
              <w:rPr>
                <w:rFonts w:ascii="Arial" w:hAnsi="Arial"/>
                <w:b/>
                <w:i w:val="0"/>
                <w:color w:val="111827"/>
                <w:sz w:val="21"/>
              </w:rPr>
              <w:t>exclusivamente a servidores ocupantes de cargo efetivo</w:t>
            </w:r>
            <w:r>
              <w:rPr>
                <w:rFonts w:ascii="Arial" w:hAnsi="Arial"/>
                <w:b w:val="0"/>
                <w:i w:val="0"/>
                <w:color w:val="111827"/>
                <w:sz w:val="21"/>
              </w:rPr>
              <w:t>, enquanto os cargos em comissão possuem um percentual mínimo legal reservado a servidores de carreira (CF/88, art. 37, V).</w:t>
            </w:r>
          </w:p>
        </w:tc>
      </w:tr>
    </w:tbl>
    <w:p>
      <w:pPr>
        <w:spacing w:before="0" w:after="120"/>
      </w:pPr>
    </w:p>
    <w:p>
      <w:pPr>
        <w:keepNext/>
        <w:spacing w:before="200" w:after="80"/>
      </w:pPr>
      <w:r>
        <w:rPr>
          <w:rFonts w:ascii="Arial" w:hAnsi="Arial"/>
          <w:b/>
          <w:i w:val="0"/>
          <w:color w:val="2B6CB0"/>
          <w:sz w:val="24"/>
        </w:rPr>
        <w:t>6. Processo de Socialização e Integração Organizacional (</w:t>
      </w:r>
      <w:r>
        <w:rPr>
          <w:rFonts w:ascii="Arial" w:hAnsi="Arial"/>
          <w:b/>
          <w:i/>
          <w:color w:val="2B6CB0"/>
          <w:sz w:val="24"/>
        </w:rPr>
        <w:t>Onboarding</w:t>
      </w:r>
      <w:r>
        <w:rPr>
          <w:rFonts w:ascii="Arial" w:hAnsi="Arial"/>
          <w:b/>
          <w:i w:val="0"/>
          <w:color w:val="2B6CB0"/>
          <w:sz w:val="24"/>
        </w:rPr>
        <w:t>)</w:t>
      </w:r>
    </w:p>
    <w:p>
      <w:pPr>
        <w:spacing w:line="360" w:lineRule="auto" w:before="0" w:after="80"/>
        <w:jc w:val="both"/>
      </w:pPr>
      <w:r>
        <w:rPr>
          <w:rFonts w:ascii="Arial" w:hAnsi="Arial"/>
          <w:b w:val="0"/>
          <w:i w:val="0"/>
          <w:color w:val="111827"/>
          <w:sz w:val="24"/>
        </w:rPr>
        <w:t>A socialização organizacional é o processo formativo e cultural por meio do qual o novo servidor aprende os valores essenciais, regras informais, jargões, posturas e competências exigidas pelo órgão.</w:t>
      </w:r>
    </w:p>
    <w:p>
      <w:pPr>
        <w:keepNext/>
        <w:spacing w:before="120" w:after="40"/>
      </w:pPr>
      <w:r>
        <w:rPr>
          <w:rFonts w:ascii="Arial" w:hAnsi="Arial"/>
          <w:b/>
          <w:i/>
          <w:color w:val="334155"/>
          <w:sz w:val="22"/>
        </w:rPr>
        <w:t>As Três Etapas da Socialização Organizacional (Stephen Robbins)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Fase 1: Socialização Prévia (ou Antecipatória):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Ocorre antes do ingresso formal do servidor na repartição;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indivíduo traz consigo valores acadêmicos, crenças sociais e expectativas idealizadas a respeito da carreira e do órgão público.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Fase 2: Encontro (ou Confronto):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Ocorre no momento em que o servidor toma posse e entra em efetivo exercício;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Há um inevitável confronto entre suas expectativas prévias e a realidade concreta da repartição (rotinas burocráticas, sistemas informatizados, hierarquias);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Programas formais de acolhimento reduzem o risco de choque cultural traumático.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Fase 3: Metamorfose (ou Adaptação Permanente):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novo servidor internaliza as normas, compreende a linguagem corporativa e ajusta seu comportamento aos padrões institucionais;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Desenvolve sensação de pertencimento, segurança psicológica e alinhamento com a missão do Tribunal de Contas.</w:t>
      </w:r>
    </w:p>
    <w:p>
      <w:pPr>
        <w:keepNext/>
        <w:spacing w:before="120" w:after="40"/>
      </w:pPr>
      <w:r>
        <w:rPr>
          <w:rFonts w:ascii="Arial" w:hAnsi="Arial"/>
          <w:b/>
          <w:i/>
          <w:color w:val="334155"/>
          <w:sz w:val="22"/>
        </w:rPr>
        <w:t>Práticas Institucionais de Socialização no Setor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Programa de Boas-Vindas e Ambientação:</w:t>
      </w:r>
      <w:r>
        <w:rPr>
          <w:rFonts w:ascii="Arial" w:hAnsi="Arial"/>
          <w:b w:val="0"/>
          <w:i w:val="0"/>
          <w:color w:val="111827"/>
          <w:sz w:val="22"/>
        </w:rPr>
        <w:t xml:space="preserve"> Acolhida institucional pelos gestores e pela área de Gestão de Pessoas no primeiro dia de trabalho.</w:t>
      </w:r>
    </w:p>
    <w:p>
      <w:pPr>
        <w:spacing w:line="276" w:lineRule="auto" w:before="20" w:after="40"/>
        <w:ind w:left="425"/>
      </w:pPr>
      <w:r>
        <w:rPr>
          <w:rFonts w:ascii="Arial" w:hAnsi="Arial"/>
          <w:b/>
          <w:color w:val="2B6CB0"/>
          <w:sz w:val="22"/>
        </w:rPr>
        <w:t xml:space="preserve">• </w:t>
      </w:r>
      <w:r>
        <w:rPr>
          <w:rFonts w:ascii="Arial" w:hAnsi="Arial"/>
          <w:b/>
          <w:i w:val="0"/>
          <w:color w:val="111827"/>
          <w:sz w:val="22"/>
        </w:rPr>
        <w:t>Manual de Integração do Servidor:</w:t>
      </w:r>
      <w:r>
        <w:rPr>
          <w:rFonts w:ascii="Arial" w:hAnsi="Arial"/>
          <w:b w:val="0"/>
          <w:i w:val="0"/>
          <w:color w:val="111827"/>
          <w:sz w:val="22"/>
        </w:rPr>
        <w:t xml:space="preserve"> Guia contendo missão institucional, direitos e deveres, canais de ouvidoria, regras de conduta ética e estrutura organizacional.</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**Tutoria e Mentoria (</w:t>
      </w:r>
      <w:r>
        <w:rPr>
          <w:rFonts w:ascii="Arial" w:hAnsi="Arial"/>
          <w:b w:val="0"/>
          <w:i/>
          <w:color w:val="111827"/>
          <w:sz w:val="22"/>
        </w:rPr>
        <w:t>Buddy Program</w:t>
      </w:r>
      <w:r>
        <w:rPr>
          <w:rFonts w:ascii="Arial" w:hAnsi="Arial"/>
          <w:b w:val="0"/>
          <w:i w:val="0"/>
          <w:color w:val="111827"/>
          <w:sz w:val="22"/>
        </w:rPr>
        <w:t>):** Designação de um servidor experiente para acompanhar o novato nas rotinas diárias e sanar dúvidas operacionais.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Cursos de Formação Inicial:</w:t>
      </w:r>
      <w:r>
        <w:rPr>
          <w:rFonts w:ascii="Arial" w:hAnsi="Arial"/>
          <w:b w:val="0"/>
          <w:i w:val="0"/>
          <w:color w:val="111827"/>
          <w:sz w:val="22"/>
        </w:rPr>
        <w:t xml:space="preserve"> Aulas e oficinas práticas promovidas pela Escola de Contas/Governo para instrumentalizar o servidor nos sistemas corporativos e procedimentos processuais de controle externo.</w:t>
      </w:r>
    </w:p>
    <w:p>
      <w:pPr>
        <w:keepNext/>
        <w:spacing w:before="200" w:after="80"/>
      </w:pPr>
      <w:r>
        <w:rPr>
          <w:rFonts w:ascii="Arial" w:hAnsi="Arial"/>
          <w:b/>
          <w:i w:val="0"/>
          <w:color w:val="2B6CB0"/>
          <w:sz w:val="24"/>
        </w:rPr>
        <w:t>7.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da República Federativa do Brasil de 1988</w:t>
      </w:r>
      <w:r>
        <w:rPr>
          <w:rFonts w:ascii="Arial" w:hAnsi="Arial"/>
          <w:b w:val="0"/>
          <w:i w:val="0"/>
          <w:color w:val="111827"/>
          <w:sz w:val="22"/>
        </w:rPr>
        <w:t xml:space="preserve"> - Art. 37 (Princípios da administração pública, concurso público e provimento de cargos).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CHIAVENATO, Idalberto. Gestão de Pessoas: o novo papel dos recursos humanos nas organizações. 5ª Edição. Rio de Janeiro: GEN Atlas, 2020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DUTRA, Joel Souza. Gestão de Pessoas: modelo, processos, tendências e perspectivas. 2ª Edição. São Paulo: Atlas, 2017</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ROBBINS, Stephen P.; JUDGE, Timothy A. Comportamento Organizacional. 18ª Edição. Pearson, 2020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Supremo Tribunal Federal - Tema 161 da Repercussão Geral (RE 598.099/MS)</w:t>
      </w:r>
      <w:r>
        <w:rPr>
          <w:rFonts w:ascii="Arial" w:hAnsi="Arial"/>
          <w:b w:val="0"/>
          <w:i w:val="0"/>
          <w:color w:val="111827"/>
          <w:sz w:val="22"/>
        </w:rPr>
        <w:t xml:space="preserve"> - Direito subjetivo à nomeação de candidato aprovado dentro do número de vagas.</w:t>
      </w:r>
    </w:p>
    <w:p>
      <w:pPr>
        <w:keepNext/>
        <w:spacing w:before="200" w:after="80"/>
      </w:pPr>
      <w:r>
        <w:rPr>
          <w:rFonts w:ascii="Arial" w:hAnsi="Arial"/>
          <w:b/>
          <w:i w:val="0"/>
          <w:color w:val="2B6CB0"/>
          <w:sz w:val="24"/>
        </w:rPr>
        <w:t>8.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Analista de Controle Externo – TCE-GO)</w:t>
      </w:r>
    </w:p>
    <w:p>
      <w:pPr>
        <w:spacing w:line="360" w:lineRule="auto" w:before="0" w:after="80"/>
        <w:jc w:val="both"/>
      </w:pPr>
      <w:r>
        <w:rPr>
          <w:rFonts w:ascii="Arial" w:hAnsi="Arial"/>
          <w:b w:val="0"/>
          <w:i w:val="0"/>
          <w:color w:val="111827"/>
          <w:sz w:val="24"/>
        </w:rPr>
        <w:t>No âmbito da literatura clássica de Gestão de Pessoas formulada por Idalberto Chiavenato, os macroprocessos organizacionais integram um conjunto articulado de subsistemas interconectados. Ao estruturar os processos de gestão, o desenho de cargos, a socialização organizacional dos novos colaboradores e a sistemática de avaliação de desempenho funcional integram expressamente o macroprocesso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Agregar Pessoas.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Aplicar Pessoas.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Recompensar Pessoas.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Desenvolver Pessoas.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Monitorar Pessoas.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macroprocesso de Agregar Pessoas engloba unicamente as atividades de atração e seleção (planejamento da força de trabalho, recrutamento e seleção/concurso).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Os </w:t>
            </w:r>
            <w:r>
              <w:rPr>
                <w:rFonts w:ascii="Arial" w:hAnsi="Arial"/>
                <w:b/>
                <w:i w:val="0"/>
                <w:color w:val="111827"/>
                <w:sz w:val="21"/>
              </w:rPr>
              <w:t>Processos de Aplicar Pessoas</w:t>
            </w:r>
            <w:r>
              <w:rPr>
                <w:rFonts w:ascii="Arial" w:hAnsi="Arial"/>
                <w:b w:val="0"/>
                <w:i w:val="0"/>
                <w:color w:val="111827"/>
                <w:sz w:val="21"/>
              </w:rPr>
              <w:t xml:space="preserve"> dizem respeito a como as pessoas operam na organização e o que realizam. Chiavenato engloba expressamente neste macroprocesso: o desenho e especificação de cargos/tarefas, a orientação e socialização organizacional (integração dos admitidos) e a </w:t>
            </w:r>
            <w:r>
              <w:rPr>
                <w:rFonts w:ascii="Arial" w:hAnsi="Arial"/>
                <w:b/>
                <w:i w:val="0"/>
                <w:color w:val="111827"/>
                <w:sz w:val="21"/>
              </w:rPr>
              <w:t>avaliação periódica de desempenho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Recompensar Pessoas envolve folha de pagamento, estrutura de vencimentos, adicionais e benefícios sociais.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Desenvolver Pessoas compreende treinamento, capacitação contínua, aprendizagem organizacional e planos de carreira.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Monitorar Pessoas refere-se aos bancos de dados, cadastros funcionais e sistemas de informação de pessoal (SIRH).</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Auditor de Controle Externo – TCE-RO)</w:t>
      </w:r>
    </w:p>
    <w:p>
      <w:pPr>
        <w:spacing w:line="360" w:lineRule="auto" w:before="0" w:after="80"/>
        <w:jc w:val="both"/>
      </w:pPr>
      <w:r>
        <w:rPr>
          <w:rFonts w:ascii="Arial" w:hAnsi="Arial"/>
          <w:b w:val="0"/>
          <w:i w:val="0"/>
          <w:color w:val="111827"/>
          <w:sz w:val="24"/>
        </w:rPr>
        <w:t>Uma entidade pública estadual necessita preencher posições funcionais de gestão interna. Ao optar prioritariamente pelo recrutamento interno em detrimento do recrutamento externo, a organização colhe benefícios relevantes, porém sujeita-se a uma vulnerabilidade conceitual frequentemente apontada pela literatura, consubstanciada 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morosidade excessiva para disponibilizar o profissional e elevadíssimo dispêndio orçamentário com editais públicos e bancas examinadoras.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desmotivação crônica dos profissionais da casa, que visualizam o processo como um obstáculo intransponível à sua própria ascensão profissional.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ocorrência do fenômeno da endogamia cultural (</w:t>
      </w:r>
      <w:r>
        <w:rPr>
          <w:rFonts w:ascii="Arial" w:hAnsi="Arial"/>
          <w:b w:val="0"/>
          <w:i/>
          <w:color w:val="111827"/>
          <w:sz w:val="22"/>
        </w:rPr>
        <w:t>inbreeding</w:t>
      </w:r>
      <w:r>
        <w:rPr>
          <w:rFonts w:ascii="Arial" w:hAnsi="Arial"/>
          <w:b w:val="0"/>
          <w:i w:val="0"/>
          <w:color w:val="111827"/>
          <w:sz w:val="22"/>
        </w:rPr>
        <w:t>), marcada pela recirculação contínua dos mesmos vícios, soluções e práticas preexistentes, com bloqueio à inovação.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exigência legal obrigatória de reabertura imediata de concurso público para a investidura nas atribuições funcionais correlatas.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incapacidade operacional de avaliar previamente as competências comportamentais dos candidatos que já compõem o quadro institucional.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recrutamento interno destaca-se exatamente por ser </w:t>
            </w:r>
            <w:r>
              <w:rPr>
                <w:rFonts w:ascii="Arial" w:hAnsi="Arial"/>
                <w:b/>
                <w:i w:val="0"/>
                <w:color w:val="111827"/>
                <w:sz w:val="21"/>
              </w:rPr>
              <w:t>ágil e econômico</w:t>
            </w:r>
            <w:r>
              <w:rPr>
                <w:rFonts w:ascii="Arial" w:hAnsi="Arial"/>
                <w:b w:val="0"/>
                <w:i w:val="0"/>
                <w:color w:val="111827"/>
                <w:sz w:val="21"/>
              </w:rPr>
              <w:t>, não demandando editais caros nem contratação de bancas examinadoras externas.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recrutamento interno </w:t>
            </w:r>
            <w:r>
              <w:rPr>
                <w:rFonts w:ascii="Arial" w:hAnsi="Arial"/>
                <w:b/>
                <w:i w:val="0"/>
                <w:color w:val="111827"/>
                <w:sz w:val="21"/>
              </w:rPr>
              <w:t>eleva a motivação</w:t>
            </w:r>
            <w:r>
              <w:rPr>
                <w:rFonts w:ascii="Arial" w:hAnsi="Arial"/>
                <w:b w:val="0"/>
                <w:i w:val="0"/>
                <w:color w:val="111827"/>
                <w:sz w:val="21"/>
              </w:rPr>
              <w:t xml:space="preserve"> dos colaboradores internos, pois oferece perspectivas concretas de carreira e reconhecimento funcional.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A clássica desvantagem técnica do recrutamento exclusivamente interno é a **endogamia cultural (</w:t>
            </w:r>
            <w:r>
              <w:rPr>
                <w:rFonts w:ascii="Arial" w:hAnsi="Arial"/>
                <w:b w:val="0"/>
                <w:i/>
                <w:color w:val="111827"/>
                <w:sz w:val="21"/>
              </w:rPr>
              <w:t>inbreeding</w:t>
            </w:r>
            <w:r>
              <w:rPr>
                <w:rFonts w:ascii="Arial" w:hAnsi="Arial"/>
                <w:b w:val="0"/>
                <w:i w:val="0"/>
                <w:color w:val="111827"/>
                <w:sz w:val="21"/>
              </w:rPr>
              <w:t>)**: como a organização se alimenta apenas de seus próprios membros, há o risco de reproduzir continuadamente as mesmas ideias, manter velhos vícios e blindar a instituição contra visões renovadas e saberes trazidos pelo ambiente externo.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Funções de chefia interna e cargos de confiança privativos de servidores de carreira são preenchidos por designação/ato interno discricionário, sem necessidade de novo concurso público para cada relotação.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No recrutamento interno, a organização já conhece o histórico de desempenho e o perfil comportamental dos candidatos, o que constitui uma das principais vantagens do processo.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Analista Administrativo – DPE-SP)</w:t>
      </w:r>
    </w:p>
    <w:p>
      <w:pPr>
        <w:spacing w:line="360" w:lineRule="auto" w:before="0" w:after="80"/>
        <w:jc w:val="both"/>
      </w:pPr>
      <w:r>
        <w:rPr>
          <w:rFonts w:ascii="Arial" w:hAnsi="Arial"/>
          <w:b w:val="0"/>
          <w:i w:val="0"/>
          <w:color w:val="111827"/>
          <w:sz w:val="24"/>
        </w:rPr>
        <w:t xml:space="preserve">Em uma entrevista de seleção baseada na gestão por competências, o examinador formula a seguinte questão ao candidato: </w:t>
      </w:r>
      <w:r>
        <w:rPr>
          <w:rFonts w:ascii="Arial" w:hAnsi="Arial"/>
          <w:b w:val="0"/>
          <w:i/>
          <w:color w:val="111827"/>
          <w:sz w:val="24"/>
        </w:rPr>
        <w:t>"Descreva uma ocasião em seu trabalho anterior na qual um prazo orçamentário complexo estava na iminência de se esgotar, detalhe qual era o desafio sob sua responsabilidade direta, as ações práticas que você implementou para contornar o obstáculo e quais foram os resultados mensuráveis obtidos"</w:t>
      </w:r>
      <w:r>
        <w:rPr>
          <w:rFonts w:ascii="Arial" w:hAnsi="Arial"/>
          <w:b w:val="0"/>
          <w:i w:val="0"/>
          <w:color w:val="111827"/>
          <w:sz w:val="24"/>
        </w:rPr>
        <w:t>. A técnica de seleção adotada classifica-se como: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Entrevista não diretiva e livre de avaliação projetiva.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Técnica de simulação psicodramática por imersão relacional.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Prova situacional de aptidão psicométrica abstrata.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Entrevista comportamental por competências estruturada sob o método STAR.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Teste de personalidade expressiva para verificação de temperamento frouxo.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entrevista não diretiva é desestruturada e aberta, sem perguntas previamente padronizadas nem foco em dados fáticos estruturados.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simulação psicodramática (</w:t>
            </w:r>
            <w:r>
              <w:rPr>
                <w:rFonts w:ascii="Arial" w:hAnsi="Arial"/>
                <w:b w:val="0"/>
                <w:i/>
                <w:color w:val="111827"/>
                <w:sz w:val="21"/>
              </w:rPr>
              <w:t>role-playing</w:t>
            </w:r>
            <w:r>
              <w:rPr>
                <w:rFonts w:ascii="Arial" w:hAnsi="Arial"/>
                <w:b w:val="0"/>
                <w:i w:val="0"/>
                <w:color w:val="111827"/>
                <w:sz w:val="21"/>
              </w:rPr>
              <w:t>) exige encenação de papéis interpessoais em dinâmica de grupo, não sendo uma entrevista individual reflexiva.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Provas psicométricas são testes formais de raciocínio lógico, atenção ou inteligência que geram escores quantitativos padronizados.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CORRETA.</w:t>
            </w:r>
            <w:r>
              <w:rPr>
                <w:rFonts w:ascii="Arial" w:hAnsi="Arial"/>
                <w:b w:val="0"/>
                <w:i w:val="0"/>
                <w:color w:val="111827"/>
                <w:sz w:val="21"/>
              </w:rPr>
              <w:t xml:space="preserve"> O enunciado retrata perfeitamente a técnica </w:t>
            </w:r>
            <w:r>
              <w:rPr>
                <w:rFonts w:ascii="Arial" w:hAnsi="Arial"/>
                <w:b/>
                <w:i w:val="0"/>
                <w:color w:val="111827"/>
                <w:sz w:val="21"/>
              </w:rPr>
              <w:t>STAR</w:t>
            </w:r>
            <w:r>
              <w:rPr>
                <w:rFonts w:ascii="Arial" w:hAnsi="Arial"/>
                <w:b w:val="0"/>
                <w:i w:val="0"/>
                <w:color w:val="111827"/>
                <w:sz w:val="21"/>
              </w:rPr>
              <w:t xml:space="preserve">: o examinador pede ao candidato que relate uma </w:t>
            </w:r>
            <w:r>
              <w:rPr>
                <w:rFonts w:ascii="Arial" w:hAnsi="Arial"/>
                <w:b/>
                <w:i w:val="0"/>
                <w:color w:val="111827"/>
                <w:sz w:val="21"/>
              </w:rPr>
              <w:t>Situação</w:t>
            </w:r>
            <w:r>
              <w:rPr>
                <w:rFonts w:ascii="Arial" w:hAnsi="Arial"/>
                <w:b w:val="0"/>
                <w:i w:val="0"/>
                <w:color w:val="111827"/>
                <w:sz w:val="21"/>
              </w:rPr>
              <w:t xml:space="preserve"> fática do passado, sua </w:t>
            </w:r>
            <w:r>
              <w:rPr>
                <w:rFonts w:ascii="Arial" w:hAnsi="Arial"/>
                <w:b/>
                <w:i w:val="0"/>
                <w:color w:val="111827"/>
                <w:sz w:val="21"/>
              </w:rPr>
              <w:t>Tarefa</w:t>
            </w:r>
            <w:r>
              <w:rPr>
                <w:rFonts w:ascii="Arial" w:hAnsi="Arial"/>
                <w:b w:val="0"/>
                <w:i w:val="0"/>
                <w:color w:val="111827"/>
                <w:sz w:val="21"/>
              </w:rPr>
              <w:t xml:space="preserve"> específica, a </w:t>
            </w:r>
            <w:r>
              <w:rPr>
                <w:rFonts w:ascii="Arial" w:hAnsi="Arial"/>
                <w:b/>
                <w:i w:val="0"/>
                <w:color w:val="111827"/>
                <w:sz w:val="21"/>
              </w:rPr>
              <w:t>Ação</w:t>
            </w:r>
            <w:r>
              <w:rPr>
                <w:rFonts w:ascii="Arial" w:hAnsi="Arial"/>
                <w:b w:val="0"/>
                <w:i w:val="0"/>
                <w:color w:val="111827"/>
                <w:sz w:val="21"/>
              </w:rPr>
              <w:t xml:space="preserve"> concreta executada e o </w:t>
            </w:r>
            <w:r>
              <w:rPr>
                <w:rFonts w:ascii="Arial" w:hAnsi="Arial"/>
                <w:b/>
                <w:i w:val="0"/>
                <w:color w:val="111827"/>
                <w:sz w:val="21"/>
              </w:rPr>
              <w:t>Resultado</w:t>
            </w:r>
            <w:r>
              <w:rPr>
                <w:rFonts w:ascii="Arial" w:hAnsi="Arial"/>
                <w:b w:val="0"/>
                <w:i w:val="0"/>
                <w:color w:val="111827"/>
                <w:sz w:val="21"/>
              </w:rPr>
              <w:t xml:space="preserve"> atingido. Baseia-se na premissa de que o comportamento passado em situações similares é o melhor preditor do desempenho futuro.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Testes de personalidade expressivos (como PMK ou Palográfico) utilizam traçados gráficos sob supervisão de psicólogos e não perguntas de entrevista funcional.</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Analista de Controle Externo – TCE-GO)</w:t>
      </w:r>
    </w:p>
    <w:p>
      <w:pPr>
        <w:spacing w:line="360" w:lineRule="auto" w:before="0" w:after="80"/>
        <w:jc w:val="both"/>
      </w:pPr>
      <w:r>
        <w:rPr>
          <w:rFonts w:ascii="Arial" w:hAnsi="Arial"/>
          <w:b w:val="0"/>
          <w:i w:val="0"/>
          <w:color w:val="111827"/>
          <w:sz w:val="24"/>
        </w:rPr>
        <w:t>De acordo com os preceitos expressos no art. 37 da Constituição Federal de 1988 e a jurisprudência sumulada e vinculante dos Tribunais Superiores acerca do concurso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realização de prova de títulos em concursos públicos pode ostentar caráter classificatório ou eliminatório, a exclusivo critério discricionário do edital regulamentador.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candidato regularmente aprovado e classificado dentro do número de vagas originariamente previsto no edital possui mera expectativa de direito à nomeação, podendo a administração desconsiderar sua aprovação a qualquer tempo sem motivação extraordinária.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É prescindível a realização de concurso público para a contratação temporária destinada a atender a necessidade de excepcional interesse público, na forma disciplinada em legislação específica.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prazo de validade do concurso público será de até quatro anos, improrrogável, admitindo-se apenas a celebração de novos editais quando esgotada a vigência.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provimento originário em cargos públicos efetivos independe de prévia aprovação em concurso, desde que o servidor comprove exercício temporário anterior superior a dez anos.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prova de títulos tem caráter </w:t>
            </w:r>
            <w:r>
              <w:rPr>
                <w:rFonts w:ascii="Arial" w:hAnsi="Arial"/>
                <w:b/>
                <w:i w:val="0"/>
                <w:color w:val="111827"/>
                <w:sz w:val="21"/>
              </w:rPr>
              <w:t>estritamente classificatório</w:t>
            </w:r>
            <w:r>
              <w:rPr>
                <w:rFonts w:ascii="Arial" w:hAnsi="Arial"/>
                <w:b w:val="0"/>
                <w:i w:val="0"/>
                <w:color w:val="111827"/>
                <w:sz w:val="21"/>
              </w:rPr>
              <w:t>, sendo vedada a eliminação de candidatos com base exclusiva na ausência ou pontuação insuficiente de títulos.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Conforme pacificado pelo STF no Tema 161 (RE 598.099), o candidato aprovado dentro do número de vagas possui </w:t>
            </w:r>
            <w:r>
              <w:rPr>
                <w:rFonts w:ascii="Arial" w:hAnsi="Arial"/>
                <w:b/>
                <w:i w:val="0"/>
                <w:color w:val="111827"/>
                <w:sz w:val="21"/>
              </w:rPr>
              <w:t>direito público subjetivo à nomeação</w:t>
            </w:r>
            <w:r>
              <w:rPr>
                <w:rFonts w:ascii="Arial" w:hAnsi="Arial"/>
                <w:b w:val="0"/>
                <w:i w:val="0"/>
                <w:color w:val="111827"/>
                <w:sz w:val="21"/>
              </w:rPr>
              <w:t xml:space="preserve"> durante a vigência do certame, salvo situações imprevisíveis, supervenientes e extraordinárias fundamentadamente comprovadas.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art. 37, IX da CF/88 prevê expressamente que a lei estabelecerá os casos de contratação temporária para atender a necessidade de excepcional interesse público, dispensando o concurso público tradicional e viabilizando o Processo Seletivo Simplificado (PSS).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Conforme o art. 37, III da CF/88, o prazo de validade é de </w:t>
            </w:r>
            <w:r>
              <w:rPr>
                <w:rFonts w:ascii="Arial" w:hAnsi="Arial"/>
                <w:b/>
                <w:i w:val="0"/>
                <w:color w:val="111827"/>
                <w:sz w:val="21"/>
              </w:rPr>
              <w:t>até dois anos</w:t>
            </w:r>
            <w:r>
              <w:rPr>
                <w:rFonts w:ascii="Arial" w:hAnsi="Arial"/>
                <w:b w:val="0"/>
                <w:i w:val="0"/>
                <w:color w:val="111827"/>
                <w:sz w:val="21"/>
              </w:rPr>
              <w:t>, prorrogável uma única vez por igual período.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investidura em cargo ou emprego público efetivo exige obrigatoriamente concurso público prévio (art. 37, II), sendo inconstitucional qualquer tentativa de efetivação sem certame republicano.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Técnico Judiciário – Área Administrativa – TRT-24ª)</w:t>
      </w:r>
    </w:p>
    <w:p>
      <w:pPr>
        <w:spacing w:line="360" w:lineRule="auto" w:before="0" w:after="80"/>
        <w:jc w:val="both"/>
      </w:pPr>
      <w:r>
        <w:rPr>
          <w:rFonts w:ascii="Arial" w:hAnsi="Arial"/>
          <w:b w:val="0"/>
          <w:i w:val="0"/>
          <w:color w:val="111827"/>
          <w:sz w:val="24"/>
        </w:rPr>
        <w:t>O processo de socialização organizacional compreende o conjunto de mecanismos pelos quais a instituição transmite sua cultura, crenças e normas aos novos colaboradores. Segundo a doutrina de comportamento organizacional e gestão de pessoas, o momento em que o servidor recém-empossado ingressa na repartição e depara-se com as rotinas práticas, confrontando suas expectativas prévias com a realidade fática do ambiente de trabalho, denomina-se: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Estágio de Metamorfose Cultural.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Fase de Encontro ou Confronto.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Socialização Prévia ou Antecipatória.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Recrutamento Passivo Instrumental.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Desinstitucionalização Funcional.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metamorfose é a fase final, na qual o colaborador já ajustou suas atitudes, assimilou a cultura institucional e alcançou estabilidade funcional e produtiva.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w:t>
            </w:r>
            <w:r>
              <w:rPr>
                <w:rFonts w:ascii="Arial" w:hAnsi="Arial"/>
                <w:b/>
                <w:i w:val="0"/>
                <w:color w:val="111827"/>
                <w:sz w:val="21"/>
              </w:rPr>
              <w:t>fase de Encontro (ou Confronto)</w:t>
            </w:r>
            <w:r>
              <w:rPr>
                <w:rFonts w:ascii="Arial" w:hAnsi="Arial"/>
                <w:b w:val="0"/>
                <w:i w:val="0"/>
                <w:color w:val="111827"/>
                <w:sz w:val="21"/>
              </w:rPr>
              <w:t xml:space="preserve"> ocorre precisamente no momento do ingresso formal na instituição. É nela que o indivíduo vivencia a realidade concreta da organização e confronta suas expectativas e idealizações prévias com as regras práticas, rotinas diárias e dinâmicas interpessoais da unidade. É a fase crítica onde programas de acolhimento e ambientação exercem papel fundamental.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socialização prévia (ou antecipatória) ocorre antes da entrada do servidor no órgão, envolvendo o aprendizado de conhecimentos gerais e as expectativas construídas durante a fase preparatória de estudos.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Termo descabido; recrutamento é fase prévia de atração.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Desinstitucionalização refere-se ao rompimento de laços organizacionais e não ao processo de integração de novos servidores.</w:t>
            </w:r>
          </w:p>
          <w:p>
            <w:pPr>
              <w:spacing w:line="288" w:lineRule="auto" w:before="120" w:after="80"/>
            </w:pPr>
            <w:r>
              <w:rPr>
                <w:rFonts w:ascii="Arial" w:hAnsi="Arial"/>
                <w:b/>
                <w:i w:val="0"/>
                <w:color w:val="047857"/>
                <w:sz w:val="22"/>
              </w:rPr>
              <w:t>Gabarito: B</w:t>
            </w:r>
          </w:p>
        </w:tc>
      </w:tr>
    </w:tbl>
    <w:p>
      <w:pPr>
        <w:spacing w:before="0" w:after="120"/>
      </w:pPr>
    </w:p>
    <w:p>
      <w:r>
        <w:br w:type="page"/>
      </w:r>
    </w:p>
    <w:p>
      <w:pPr>
        <w:keepNext/>
        <w:spacing w:before="360" w:after="160"/>
      </w:pPr>
      <w:r>
        <w:rPr>
          <w:rFonts w:ascii="Arial" w:hAnsi="Arial"/>
          <w:b/>
          <w:i w:val="0"/>
          <w:color w:val="1B365D"/>
          <w:sz w:val="36"/>
        </w:rPr>
        <w:t>02 - Treinamento, Desenvolvimento, Gestão do Conhecimento e Aprendizagem Organizacional</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Gestão de Pessoas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 (TCE-GO)</w:t>
      </w:r>
    </w:p>
    <w:p>
      <w:pPr>
        <w:spacing w:line="240" w:lineRule="auto" w:before="20" w:after="40"/>
        <w:ind w:left="2268"/>
      </w:pPr>
      <w:r>
        <w:rPr>
          <w:rFonts w:ascii="Arial" w:hAnsi="Arial"/>
          <w:b/>
          <w:i w:val="0"/>
          <w:color w:val="4B5563"/>
          <w:sz w:val="20"/>
        </w:rPr>
        <w:t>Conteúdo Oficial:</w:t>
      </w:r>
      <w:r>
        <w:rPr>
          <w:rFonts w:ascii="Arial" w:hAnsi="Arial"/>
          <w:b w:val="0"/>
          <w:i w:val="0"/>
          <w:color w:val="4B5563"/>
          <w:sz w:val="20"/>
        </w:rPr>
        <w:t xml:space="preserve"> Treinamento vs. Desenvolvimento de Pessoas; As Quatro Etapas do Ciclo de Treinamento (LNT, Desenho, Execução e Avaliação de Resultados); Modelo dos 4 Níveis de Kirkpatrick; Gestão do Conhecimento (Tácito vs. Explícito e Modelo SECI de Nonaka e Takeuchi); Aprendizagem Organizacional e as Cinco Disciplinas de Peter Senge; Educação Corporativa e Escolas de Governo.</w:t>
      </w:r>
    </w:p>
    <w:p>
      <w:pPr>
        <w:spacing w:after="120"/>
      </w:pPr>
    </w:p>
    <w:p>
      <w:pPr>
        <w:keepNext/>
        <w:spacing w:before="280" w:after="120"/>
      </w:pPr>
      <w:r>
        <w:rPr>
          <w:rFonts w:ascii="Arial" w:hAnsi="Arial"/>
          <w:b/>
          <w:i w:val="0"/>
          <w:color w:val="2C5282"/>
          <w:sz w:val="28"/>
        </w:rPr>
        <w:t>📌 Ementa &amp; Delimitação do Conteúdo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Diferenciação Teórica: Treinamento vs. Desenvolvimento de Pessoas: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Critérios de temporalidade (curto prazo vs. longo prazo);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Foco do treinamento: cargo atual, suprimento de carências imediatas de desempenho operacional;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Foco do desenvolvimento: carreira, ampliação do potencial intelectual e cargos/desafios futuros;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Papel de T&amp;D no macroprocesso de </w:t>
      </w:r>
      <w:r>
        <w:rPr>
          <w:rFonts w:ascii="Arial" w:hAnsi="Arial"/>
          <w:b/>
          <w:i w:val="0"/>
          <w:color w:val="111827"/>
          <w:sz w:val="22"/>
        </w:rPr>
        <w:t>Desenvolver Pessoas</w:t>
      </w:r>
      <w:r>
        <w:rPr>
          <w:rFonts w:ascii="Arial" w:hAnsi="Arial"/>
          <w:b w:val="0"/>
          <w:i w:val="0"/>
          <w:color w:val="111827"/>
          <w:sz w:val="22"/>
        </w:rPr>
        <w:t xml:space="preserve"> de Idalberto Chiavenato.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O Ciclo Estratégico de Treinamento (4 Etapas Integradas):</w:t>
      </w:r>
    </w:p>
    <w:p>
      <w:pPr>
        <w:spacing w:line="276" w:lineRule="auto" w:before="20" w:after="40"/>
        <w:ind w:left="992"/>
      </w:pPr>
      <w:r>
        <w:rPr>
          <w:rFonts w:ascii="Arial" w:hAnsi="Arial"/>
          <w:b/>
          <w:color w:val="2B6CB0"/>
          <w:sz w:val="22"/>
        </w:rPr>
        <w:t xml:space="preserve">• </w:t>
      </w:r>
      <w:r>
        <w:rPr>
          <w:rFonts w:ascii="Arial" w:hAnsi="Arial"/>
          <w:b/>
          <w:i w:val="0"/>
          <w:color w:val="111827"/>
          <w:sz w:val="22"/>
        </w:rPr>
        <w:t>Etapa 1: Diagnóstico / Levantamento de Necessidades de Treinamento (LNT):</w:t>
      </w:r>
      <w:r>
        <w:rPr>
          <w:rFonts w:ascii="Arial" w:hAnsi="Arial"/>
          <w:b w:val="0"/>
          <w:i w:val="0"/>
          <w:color w:val="111827"/>
          <w:sz w:val="22"/>
        </w:rPr>
        <w:t xml:space="preserve"> análise organizacional, análise da força de trabalho/competências e análise funcional/individual (instrumentos: avaliação de desempenho, observação direta, entrevistas com lideranças e incidentes críticos).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Etapa 2: Desenho e Programação do Treinamento:</w:t>
      </w:r>
      <w:r>
        <w:rPr>
          <w:rFonts w:ascii="Arial" w:hAnsi="Arial"/>
          <w:b w:val="0"/>
          <w:i w:val="0"/>
          <w:color w:val="111827"/>
          <w:sz w:val="22"/>
        </w:rPr>
        <w:t xml:space="preserve"> os 6 parâmetros do projeto instrucional (</w:t>
      </w:r>
      <w:r>
        <w:rPr>
          <w:rFonts w:ascii="Arial" w:hAnsi="Arial"/>
          <w:b w:val="0"/>
          <w:i/>
          <w:color w:val="111827"/>
          <w:sz w:val="22"/>
        </w:rPr>
        <w:t>quem deve ser treinado, quem vai treinar, em que treinar, onde treinar, como treinar e quando treinar</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Etapa 3: Execução e Condução:</w:t>
      </w:r>
      <w:r>
        <w:rPr>
          <w:rFonts w:ascii="Arial" w:hAnsi="Arial"/>
          <w:b w:val="0"/>
          <w:i w:val="0"/>
          <w:color w:val="111827"/>
          <w:sz w:val="22"/>
        </w:rPr>
        <w:t xml:space="preserve"> metodologias ativas, simulações, oficinas práticas, cursos presenciais e Ensino a Distância (EaD/microlearning).</w:t>
      </w:r>
    </w:p>
    <w:p>
      <w:pPr>
        <w:spacing w:line="276" w:lineRule="auto" w:before="20" w:after="40"/>
        <w:ind w:left="992"/>
      </w:pPr>
      <w:r>
        <w:rPr>
          <w:rFonts w:ascii="Arial" w:hAnsi="Arial"/>
          <w:b/>
          <w:color w:val="2B6CB0"/>
          <w:sz w:val="22"/>
        </w:rPr>
        <w:t xml:space="preserve">• </w:t>
      </w:r>
      <w:r>
        <w:rPr>
          <w:rFonts w:ascii="Arial" w:hAnsi="Arial"/>
          <w:b/>
          <w:i w:val="0"/>
          <w:color w:val="111827"/>
          <w:sz w:val="22"/>
        </w:rPr>
        <w:t>Etapa 4: Avaliação dos Resultados (Modelo de Donald Kirkpatrick):</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Nível 1: Reação e Satisfação;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Nível 2: Aprendizado e Retenção Cognitiva;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Nível 3: Comportamento no Cargo / Aplicabilidade / Transferência do Aprendizado;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Nível 4: Resultados Organizacionais e Impacto Institucional (ampliação de eficiência no controle externo);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Modelo de Jack Phillips: o 5º Nível (</w:t>
      </w:r>
      <w:r>
        <w:rPr>
          <w:rFonts w:ascii="Arial" w:hAnsi="Arial"/>
          <w:b w:val="0"/>
          <w:i/>
          <w:color w:val="111827"/>
          <w:sz w:val="22"/>
        </w:rPr>
        <w:t>Return on Investment</w:t>
      </w:r>
      <w:r>
        <w:rPr>
          <w:rFonts w:ascii="Arial" w:hAnsi="Arial"/>
          <w:b w:val="0"/>
          <w:i w:val="0"/>
          <w:color w:val="111827"/>
          <w:sz w:val="22"/>
        </w:rPr>
        <w:t xml:space="preserve"> - ROI financeiro).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Gestão do Conhecimento Organizacional: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pirâmide cognitiva: Dado </w:t>
      </w:r>
      <w:r>
        <w:rPr>
          <w:rFonts w:ascii="Cambria Math" w:hAnsi="Cambria Math"/>
          <w:i/>
          <w:color w:val="1B365D"/>
          <w:sz w:val="22"/>
        </w:rPr>
        <w:t>\rightarrow</w:t>
      </w:r>
      <w:r>
        <w:rPr>
          <w:rFonts w:ascii="Arial" w:hAnsi="Arial"/>
          <w:b w:val="0"/>
          <w:i w:val="0"/>
          <w:color w:val="111827"/>
          <w:sz w:val="22"/>
        </w:rPr>
        <w:t xml:space="preserve"> Informação </w:t>
      </w:r>
      <w:r>
        <w:rPr>
          <w:rFonts w:ascii="Cambria Math" w:hAnsi="Cambria Math"/>
          <w:i/>
          <w:color w:val="1B365D"/>
          <w:sz w:val="22"/>
        </w:rPr>
        <w:t>\rightarrow</w:t>
      </w:r>
      <w:r>
        <w:rPr>
          <w:rFonts w:ascii="Arial" w:hAnsi="Arial"/>
          <w:b w:val="0"/>
          <w:i w:val="0"/>
          <w:color w:val="111827"/>
          <w:sz w:val="22"/>
        </w:rPr>
        <w:t xml:space="preserve"> Conhecimento </w:t>
      </w:r>
      <w:r>
        <w:rPr>
          <w:rFonts w:ascii="Cambria Math" w:hAnsi="Cambria Math"/>
          <w:i/>
          <w:color w:val="1B365D"/>
          <w:sz w:val="22"/>
        </w:rPr>
        <w:t>\rightarrow</w:t>
      </w:r>
      <w:r>
        <w:rPr>
          <w:rFonts w:ascii="Arial" w:hAnsi="Arial"/>
          <w:b w:val="0"/>
          <w:i w:val="0"/>
          <w:color w:val="111827"/>
          <w:sz w:val="22"/>
        </w:rPr>
        <w:t xml:space="preserve"> Sabedoria (Modelo DIKW);</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Conhecimento Tácito (subjetivo, pessoal, empírico, interiorizado e difícil de formalizar) vs. Conhecimento Explícito (estruturado, codificado, documentado em manuais, leis e sistemas);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Modelo SECI e a Espiral do Conhecimento (Ikujiro Nonaka e Hirotaka Takeuchi):</w:t>
      </w:r>
    </w:p>
    <w:p>
      <w:pPr>
        <w:spacing w:line="276" w:lineRule="auto" w:before="20" w:after="40"/>
        <w:ind w:left="992"/>
      </w:pPr>
      <w:r>
        <w:rPr>
          <w:rFonts w:ascii="Arial" w:hAnsi="Arial"/>
          <w:b/>
          <w:color w:val="2B6CB0"/>
          <w:sz w:val="22"/>
        </w:rPr>
        <w:t xml:space="preserve">• </w:t>
      </w:r>
      <w:r>
        <w:rPr>
          <w:rFonts w:ascii="Arial" w:hAnsi="Arial"/>
          <w:b/>
          <w:i w:val="0"/>
          <w:color w:val="111827"/>
          <w:sz w:val="22"/>
        </w:rPr>
        <w:t>Socialização:</w:t>
      </w:r>
      <w:r>
        <w:rPr>
          <w:rFonts w:ascii="Arial" w:hAnsi="Arial"/>
          <w:b w:val="0"/>
          <w:i w:val="0"/>
          <w:color w:val="111827"/>
          <w:sz w:val="22"/>
        </w:rPr>
        <w:t xml:space="preserve"> Tácito </w:t>
      </w:r>
      <w:r>
        <w:rPr>
          <w:rFonts w:ascii="Cambria Math" w:hAnsi="Cambria Math"/>
          <w:i/>
          <w:color w:val="1B365D"/>
          <w:sz w:val="22"/>
        </w:rPr>
        <w:t>\rightarrow</w:t>
      </w:r>
      <w:r>
        <w:rPr>
          <w:rFonts w:ascii="Arial" w:hAnsi="Arial"/>
          <w:b w:val="0"/>
          <w:i w:val="0"/>
          <w:color w:val="111827"/>
          <w:sz w:val="22"/>
        </w:rPr>
        <w:t xml:space="preserve"> Tácito (compartilhamento de experiências diretas e tutoria);</w:t>
      </w:r>
    </w:p>
    <w:p>
      <w:pPr>
        <w:spacing w:line="276" w:lineRule="auto" w:before="20" w:after="40"/>
        <w:ind w:left="992"/>
      </w:pPr>
      <w:r>
        <w:rPr>
          <w:rFonts w:ascii="Arial" w:hAnsi="Arial"/>
          <w:b/>
          <w:color w:val="2B6CB0"/>
          <w:sz w:val="22"/>
        </w:rPr>
        <w:t xml:space="preserve">• </w:t>
      </w:r>
      <w:r>
        <w:rPr>
          <w:rFonts w:ascii="Arial" w:hAnsi="Arial"/>
          <w:b/>
          <w:i w:val="0"/>
          <w:color w:val="111827"/>
          <w:sz w:val="22"/>
        </w:rPr>
        <w:t>Externalização:</w:t>
      </w:r>
      <w:r>
        <w:rPr>
          <w:rFonts w:ascii="Arial" w:hAnsi="Arial"/>
          <w:b w:val="0"/>
          <w:i w:val="0"/>
          <w:color w:val="111827"/>
          <w:sz w:val="22"/>
        </w:rPr>
        <w:t xml:space="preserve"> Tácito </w:t>
      </w:r>
      <w:r>
        <w:rPr>
          <w:rFonts w:ascii="Cambria Math" w:hAnsi="Cambria Math"/>
          <w:i/>
          <w:color w:val="1B365D"/>
          <w:sz w:val="22"/>
        </w:rPr>
        <w:t>\rightarrow</w:t>
      </w:r>
      <w:r>
        <w:rPr>
          <w:rFonts w:ascii="Arial" w:hAnsi="Arial"/>
          <w:b w:val="0"/>
          <w:i w:val="0"/>
          <w:color w:val="111827"/>
          <w:sz w:val="22"/>
        </w:rPr>
        <w:t xml:space="preserve"> Explícito (articulação do saber prático em manuais e conceitos);</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Combinação:</w:t>
      </w:r>
      <w:r>
        <w:rPr>
          <w:rFonts w:ascii="Arial" w:hAnsi="Arial"/>
          <w:b w:val="0"/>
          <w:i w:val="0"/>
          <w:color w:val="111827"/>
          <w:sz w:val="22"/>
        </w:rPr>
        <w:t xml:space="preserve"> Explícito </w:t>
      </w:r>
      <w:r>
        <w:rPr>
          <w:rFonts w:ascii="Cambria Math" w:hAnsi="Cambria Math"/>
          <w:i/>
          <w:color w:val="1B365D"/>
          <w:sz w:val="22"/>
        </w:rPr>
        <w:t>\rightarrow</w:t>
      </w:r>
      <w:r>
        <w:rPr>
          <w:rFonts w:ascii="Arial" w:hAnsi="Arial"/>
          <w:b w:val="0"/>
          <w:i w:val="0"/>
          <w:color w:val="111827"/>
          <w:sz w:val="22"/>
        </w:rPr>
        <w:t xml:space="preserve"> Explícito (cruzamento e sistematização de bases documentais);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Internalização:</w:t>
      </w:r>
      <w:r>
        <w:rPr>
          <w:rFonts w:ascii="Arial" w:hAnsi="Arial"/>
          <w:b w:val="0"/>
          <w:i w:val="0"/>
          <w:color w:val="111827"/>
          <w:sz w:val="22"/>
        </w:rPr>
        <w:t xml:space="preserve"> Explícito </w:t>
      </w:r>
      <w:r>
        <w:rPr>
          <w:rFonts w:ascii="Cambria Math" w:hAnsi="Cambria Math"/>
          <w:i/>
          <w:color w:val="1B365D"/>
          <w:sz w:val="22"/>
        </w:rPr>
        <w:t>\rightarrow</w:t>
      </w:r>
      <w:r>
        <w:rPr>
          <w:rFonts w:ascii="Arial" w:hAnsi="Arial"/>
          <w:b w:val="0"/>
          <w:i w:val="0"/>
          <w:color w:val="111827"/>
          <w:sz w:val="22"/>
        </w:rPr>
        <w:t xml:space="preserve"> Tácito (incorporação do conteúdo na prática diária - </w:t>
      </w:r>
      <w:r>
        <w:rPr>
          <w:rFonts w:ascii="Arial" w:hAnsi="Arial"/>
          <w:b w:val="0"/>
          <w:i/>
          <w:color w:val="111827"/>
          <w:sz w:val="22"/>
        </w:rPr>
        <w:t>learning by doing</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conceito japonês de </w:t>
      </w:r>
      <w:r>
        <w:rPr>
          <w:rFonts w:ascii="Arial" w:hAnsi="Arial"/>
          <w:b w:val="0"/>
          <w:i/>
          <w:color w:val="111827"/>
          <w:sz w:val="22"/>
        </w:rPr>
        <w:t>Ba</w:t>
      </w:r>
      <w:r>
        <w:rPr>
          <w:rFonts w:ascii="Arial" w:hAnsi="Arial"/>
          <w:b w:val="0"/>
          <w:i w:val="0"/>
          <w:color w:val="111827"/>
          <w:sz w:val="22"/>
        </w:rPr>
        <w:t xml:space="preserve"> (contexto e espaço compartilhado para geração de conhecimento).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Aprendizagem Organizacional e a Organização que Aprende: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Aprendizagem em Circuito Simples (</w:t>
      </w:r>
      <w:r>
        <w:rPr>
          <w:rFonts w:ascii="Arial" w:hAnsi="Arial"/>
          <w:b w:val="0"/>
          <w:i/>
          <w:color w:val="111827"/>
          <w:sz w:val="22"/>
        </w:rPr>
        <w:t>Single-Loop Learning</w:t>
      </w:r>
      <w:r>
        <w:rPr>
          <w:rFonts w:ascii="Arial" w:hAnsi="Arial"/>
          <w:b w:val="0"/>
          <w:i w:val="0"/>
          <w:color w:val="111827"/>
          <w:sz w:val="22"/>
        </w:rPr>
        <w:t>) vs. Aprendizagem em Circuito Duplo (</w:t>
      </w:r>
      <w:r>
        <w:rPr>
          <w:rFonts w:ascii="Arial" w:hAnsi="Arial"/>
          <w:b w:val="0"/>
          <w:i/>
          <w:color w:val="111827"/>
          <w:sz w:val="22"/>
        </w:rPr>
        <w:t>Double-Loop Learning</w:t>
      </w:r>
      <w:r>
        <w:rPr>
          <w:rFonts w:ascii="Arial" w:hAnsi="Arial"/>
          <w:b w:val="0"/>
          <w:i w:val="0"/>
          <w:color w:val="111827"/>
          <w:sz w:val="22"/>
        </w:rPr>
        <w:t>) segundo Chris Argyris e Donald Schön;</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As Cinco Disciplinas de Peter Senge (</w:t>
      </w:r>
      <w:r>
        <w:rPr>
          <w:rFonts w:ascii="Arial" w:hAnsi="Arial"/>
          <w:b w:val="0"/>
          <w:i/>
          <w:color w:val="111827"/>
          <w:sz w:val="22"/>
        </w:rPr>
        <w:t>A Quinta Disciplina</w:t>
      </w:r>
      <w:r>
        <w:rPr>
          <w:rFonts w:ascii="Arial" w:hAnsi="Arial"/>
          <w:b w:val="0"/>
          <w:i w:val="0"/>
          <w:color w:val="111827"/>
          <w:sz w:val="22"/>
        </w:rPr>
        <w:t>): Domínio Pessoal, Modelos Mentais, Visão Compartilhada, Aprendizagem em Equipe e Pensamento Sistêmico;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Educação Corporativa no Setor Público: Escolas de Governo e a atuação da Escola Superior de Controle do TCE-GO (Instituto Leopoldo de Bulhões - ILB).</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Treinamento vs. Desenvolvimento de Pessoas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O Ciclo de Treinamento em Quatro Etapas e a Avaliação de Kirkpatrick</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Gestão do Conhecimento Organizacional e o Modelo SECI</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Aprendizagem Organizacional e as Cinco Disciplinas de Peter Senge</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Educação Corporativa e Escolas de Governo (ILB/TCE-GO)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de Concurso FCC Comentadas</w:t>
      </w:r>
    </w:p>
    <w:p>
      <w:pPr>
        <w:keepNext/>
        <w:spacing w:before="280" w:after="120"/>
      </w:pPr>
      <w:r>
        <w:rPr>
          <w:rFonts w:ascii="Arial" w:hAnsi="Arial"/>
          <w:b/>
          <w:i w:val="0"/>
          <w:color w:val="2C5282"/>
          <w:sz w:val="28"/>
        </w:rPr>
        <w:t>📖 Resumo Teórico Aprofundado &amp; Esquematizado</w:t>
      </w:r>
    </w:p>
    <w:p>
      <w:pPr>
        <w:keepNext/>
        <w:spacing w:before="200" w:after="80"/>
      </w:pPr>
      <w:r>
        <w:rPr>
          <w:rFonts w:ascii="Arial" w:hAnsi="Arial"/>
          <w:b/>
          <w:i w:val="0"/>
          <w:color w:val="2B6CB0"/>
          <w:sz w:val="24"/>
        </w:rPr>
        <w:t>1. Treinamento vs. Desenvolvimento de Pessoas</w:t>
      </w:r>
    </w:p>
    <w:p>
      <w:pPr>
        <w:spacing w:line="360" w:lineRule="auto" w:before="0" w:after="80"/>
        <w:jc w:val="both"/>
      </w:pPr>
      <w:r>
        <w:rPr>
          <w:rFonts w:ascii="Arial" w:hAnsi="Arial"/>
          <w:b w:val="0"/>
          <w:i w:val="0"/>
          <w:color w:val="111827"/>
          <w:sz w:val="24"/>
        </w:rPr>
        <w:t>Na moderna gestão de pessoas, capacitação não é evento esporádico, mas processo permanente de agregação de valor. A literatura estabelece uma divisão nítida entre Treinamento e Desenvolvimento:</w:t>
      </w:r>
    </w:p>
    <w:p>
      <w:pPr>
        <w:spacing w:after="120"/>
      </w:pPr>
    </w:p>
    <w:p>
      <w:pPr>
        <w:keepNext/>
        <w:spacing w:before="120" w:after="40"/>
      </w:pPr>
      <w:r>
        <w:rPr>
          <w:rFonts w:ascii="Arial" w:hAnsi="Arial"/>
          <w:b/>
          <w:i/>
          <w:color w:val="334155"/>
          <w:sz w:val="22"/>
        </w:rPr>
        <w:t>Tabela Comparativa: Treinamento vs. Desenvolvimento</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Treinamento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Desenvolvimento de Pessoas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Dimensão Temporal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Curto prazo</w:t>
            </w:r>
            <w:r>
              <w:rPr>
                <w:rFonts w:ascii="Arial" w:hAnsi="Arial"/>
                <w:b w:val="0"/>
                <w:i w:val="0"/>
                <w:color w:val="111827"/>
                <w:sz w:val="19"/>
              </w:rPr>
              <w:t xml:space="preserve"> (ação pontual e imediata).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Médio e longo prazo</w:t>
            </w:r>
            <w:r>
              <w:rPr>
                <w:rFonts w:ascii="Arial" w:hAnsi="Arial"/>
                <w:b w:val="0"/>
                <w:i w:val="0"/>
                <w:color w:val="111827"/>
                <w:sz w:val="19"/>
              </w:rPr>
              <w:t xml:space="preserve"> (processo contínuo).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Foco de Atuação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Cargo atual:</w:t>
            </w:r>
            <w:r>
              <w:rPr>
                <w:rFonts w:ascii="Arial" w:hAnsi="Arial"/>
                <w:b w:val="0"/>
                <w:i w:val="0"/>
                <w:color w:val="111827"/>
                <w:sz w:val="19"/>
              </w:rPr>
              <w:t xml:space="preserve"> prepara o servidor para as atribuições que exerce hoje.</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Carreira e organização:</w:t>
            </w:r>
            <w:r>
              <w:rPr>
                <w:rFonts w:ascii="Arial" w:hAnsi="Arial"/>
                <w:b w:val="0"/>
                <w:i w:val="0"/>
                <w:color w:val="111827"/>
                <w:sz w:val="19"/>
              </w:rPr>
              <w:t xml:space="preserve"> prepara o servidor para cargos futuros e novas atribuições.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Objetivo Primário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Repassar conhecimentos específicos e sanar deficiências técnicas operacionais.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Expandir capacidades conceituais, competências comportamentais e potencial de liderança.</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Escopo do Conteúdo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Estrito, técnico, procedural e centrado na tarefa (ex.: operar o sistema de protocolo eletrônico).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Amplo, abrangente, reflexivo e estratégico (ex.: programa de governança e ética pública).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Avaliação do Sucesso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Rápida execução sem erros na rotina diária do posto de trabalho.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Capacidade de inovação, liderança adaptativa e visão sistêmica institucional.</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ATENÇÃO (TREINAMENTO VS. DESENVOLVIMENTO):</w:t>
            </w:r>
          </w:p>
          <w:p>
            <w:pPr>
              <w:spacing w:line="288" w:lineRule="auto" w:before="40" w:after="40"/>
            </w:pPr>
            <w:r>
              <w:rPr>
                <w:rFonts w:ascii="Arial" w:hAnsi="Arial"/>
                <w:b w:val="0"/>
                <w:i w:val="0"/>
                <w:color w:val="111827"/>
                <w:sz w:val="21"/>
              </w:rPr>
              <w:t xml:space="preserve">Treinamento refere-se ao </w:t>
            </w:r>
            <w:r>
              <w:rPr>
                <w:rFonts w:ascii="Arial" w:hAnsi="Arial"/>
                <w:b/>
                <w:i w:val="0"/>
                <w:color w:val="111827"/>
                <w:sz w:val="21"/>
              </w:rPr>
              <w:t>presente</w:t>
            </w:r>
            <w:r>
              <w:rPr>
                <w:rFonts w:ascii="Arial" w:hAnsi="Arial"/>
                <w:b w:val="0"/>
                <w:i w:val="0"/>
                <w:color w:val="111827"/>
                <w:sz w:val="21"/>
              </w:rPr>
              <w:t xml:space="preserve"> e ao cargo </w:t>
            </w:r>
            <w:r>
              <w:rPr>
                <w:rFonts w:ascii="Arial" w:hAnsi="Arial"/>
                <w:b/>
                <w:i w:val="0"/>
                <w:color w:val="111827"/>
                <w:sz w:val="21"/>
              </w:rPr>
              <w:t>atual</w:t>
            </w:r>
            <w:r>
              <w:rPr>
                <w:rFonts w:ascii="Arial" w:hAnsi="Arial"/>
                <w:b w:val="0"/>
                <w:i w:val="0"/>
                <w:color w:val="111827"/>
                <w:sz w:val="21"/>
              </w:rPr>
              <w:t xml:space="preserve"> (objetivo imediato e operacional). Desenvolvimento refere-se ao </w:t>
            </w:r>
            <w:r>
              <w:rPr>
                <w:rFonts w:ascii="Arial" w:hAnsi="Arial"/>
                <w:b/>
                <w:i w:val="0"/>
                <w:color w:val="111827"/>
                <w:sz w:val="21"/>
              </w:rPr>
              <w:t>futuro</w:t>
            </w:r>
            <w:r>
              <w:rPr>
                <w:rFonts w:ascii="Arial" w:hAnsi="Arial"/>
                <w:b w:val="0"/>
                <w:i w:val="0"/>
                <w:color w:val="111827"/>
                <w:sz w:val="21"/>
              </w:rPr>
              <w:t xml:space="preserve"> e à </w:t>
            </w:r>
            <w:r>
              <w:rPr>
                <w:rFonts w:ascii="Arial" w:hAnsi="Arial"/>
                <w:b/>
                <w:i w:val="0"/>
                <w:color w:val="111827"/>
                <w:sz w:val="21"/>
              </w:rPr>
              <w:t>carreira</w:t>
            </w:r>
            <w:r>
              <w:rPr>
                <w:rFonts w:ascii="Arial" w:hAnsi="Arial"/>
                <w:b w:val="0"/>
                <w:i w:val="0"/>
                <w:color w:val="111827"/>
                <w:sz w:val="21"/>
              </w:rPr>
              <w:t xml:space="preserve"> como um todo (objetivo mediato, estratégico e de liderança).</w:t>
            </w:r>
          </w:p>
        </w:tc>
      </w:tr>
    </w:tbl>
    <w:p>
      <w:pPr>
        <w:spacing w:before="0" w:after="120"/>
      </w:pPr>
    </w:p>
    <w:p>
      <w:pPr>
        <w:keepNext/>
        <w:spacing w:before="200" w:after="80"/>
      </w:pPr>
      <w:r>
        <w:rPr>
          <w:rFonts w:ascii="Arial" w:hAnsi="Arial"/>
          <w:b/>
          <w:i w:val="0"/>
          <w:color w:val="2B6CB0"/>
          <w:sz w:val="24"/>
        </w:rPr>
        <w:t>2. O Ciclo de Treinamento em Quatro Etapas e a Avaliação de Kirkpatrick</w:t>
      </w:r>
    </w:p>
    <w:p>
      <w:pPr>
        <w:spacing w:line="360" w:lineRule="auto" w:before="0" w:after="80"/>
        <w:jc w:val="both"/>
      </w:pPr>
      <w:r>
        <w:rPr>
          <w:rFonts w:ascii="Arial" w:hAnsi="Arial"/>
          <w:b w:val="0"/>
          <w:i w:val="0"/>
          <w:color w:val="111827"/>
          <w:sz w:val="24"/>
        </w:rPr>
        <w:t>Segundo Idalberto Chiavenato, o treinamento funciona como um ciclo contínuo composto por quatro fases lógicas e sequenciais:</w:t>
      </w:r>
    </w:p>
    <w:p>
      <w:pPr>
        <w:spacing w:after="120"/>
      </w:pPr>
    </w:p>
    <w:p>
      <w:pPr>
        <w:keepNext/>
        <w:spacing w:before="120" w:after="40"/>
      </w:pPr>
      <w:r>
        <w:rPr>
          <w:rFonts w:ascii="Arial" w:hAnsi="Arial"/>
          <w:b/>
          <w:i/>
          <w:color w:val="334155"/>
          <w:sz w:val="22"/>
        </w:rPr>
        <w:t>A) Etapa 1: Diagnóstico / Levantamento das Necessidades de Treinamento (LNT)</w:t>
      </w:r>
    </w:p>
    <w:p>
      <w:pPr>
        <w:spacing w:line="360" w:lineRule="auto" w:before="0" w:after="80"/>
        <w:jc w:val="both"/>
      </w:pPr>
      <w:r>
        <w:rPr>
          <w:rFonts w:ascii="Arial" w:hAnsi="Arial"/>
          <w:b w:val="0"/>
          <w:i w:val="0"/>
          <w:color w:val="111827"/>
          <w:sz w:val="24"/>
        </w:rPr>
        <w:t>O LNT é o diagnóstico das carências de competências que prejudicam o alcance das metas organizacionais. O diagnóstico ocorre em três níveis de análise:</w:t>
      </w:r>
    </w:p>
    <w:p>
      <w:pPr>
        <w:spacing w:line="276" w:lineRule="auto" w:before="20" w:after="40"/>
        <w:ind w:left="425"/>
      </w:pPr>
      <w:r>
        <w:rPr>
          <w:rFonts w:ascii="Arial" w:hAnsi="Arial"/>
          <w:b/>
          <w:color w:val="1B365D"/>
          <w:sz w:val="22"/>
        </w:rPr>
        <w:t xml:space="preserve">1. </w:t>
      </w:r>
      <w:r>
        <w:rPr>
          <w:rFonts w:ascii="Arial" w:hAnsi="Arial"/>
          <w:b/>
          <w:i w:val="0"/>
          <w:color w:val="111827"/>
          <w:sz w:val="22"/>
        </w:rPr>
        <w:t>Análise Organizacional:</w:t>
      </w:r>
      <w:r>
        <w:rPr>
          <w:rFonts w:ascii="Arial" w:hAnsi="Arial"/>
          <w:b w:val="0"/>
          <w:i w:val="0"/>
          <w:color w:val="111827"/>
          <w:sz w:val="22"/>
        </w:rPr>
        <w:t xml:space="preserve"> examina a missão, a visão de futuro, os planos estratégicos e as metas globais do órgão para identificar quais competências coletivas são essenciais.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Análise dos Recursos Humanos (Competências):</w:t>
      </w:r>
      <w:r>
        <w:rPr>
          <w:rFonts w:ascii="Arial" w:hAnsi="Arial"/>
          <w:b w:val="0"/>
          <w:i w:val="0"/>
          <w:color w:val="111827"/>
          <w:sz w:val="22"/>
        </w:rPr>
        <w:t xml:space="preserve"> mapeia as competências atuais dos servidores frente às competências exigidas pelo órgão, detectando as lacunas (</w:t>
      </w:r>
      <w:r>
        <w:rPr>
          <w:rFonts w:ascii="Arial" w:hAnsi="Arial"/>
          <w:b w:val="0"/>
          <w:i/>
          <w:color w:val="111827"/>
          <w:sz w:val="22"/>
        </w:rPr>
        <w:t>skills gaps</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Análise das Operações e Tarefas (Cargos):</w:t>
      </w:r>
      <w:r>
        <w:rPr>
          <w:rFonts w:ascii="Arial" w:hAnsi="Arial"/>
          <w:b w:val="0"/>
          <w:i w:val="0"/>
          <w:color w:val="111827"/>
          <w:sz w:val="22"/>
        </w:rPr>
        <w:t xml:space="preserve"> avalia a descrição de cada cargo, os requisitos técnicos e o padrão de excelência esperado para cada função pública.</w:t>
      </w:r>
    </w:p>
    <w:p>
      <w:pPr>
        <w:keepNext/>
        <w:spacing w:before="120" w:after="40"/>
      </w:pPr>
      <w:r>
        <w:rPr>
          <w:rFonts w:ascii="Arial" w:hAnsi="Arial"/>
          <w:b/>
          <w:i/>
          <w:color w:val="334155"/>
          <w:sz w:val="22"/>
        </w:rPr>
        <w:t>B) Etapa 2: Desenho e Programação do Treinamento</w:t>
      </w:r>
    </w:p>
    <w:p>
      <w:pPr>
        <w:spacing w:line="360" w:lineRule="auto" w:before="0" w:after="80"/>
        <w:jc w:val="both"/>
      </w:pPr>
      <w:r>
        <w:rPr>
          <w:rFonts w:ascii="Arial" w:hAnsi="Arial"/>
          <w:b w:val="0"/>
          <w:i w:val="0"/>
          <w:color w:val="111827"/>
          <w:sz w:val="24"/>
        </w:rPr>
        <w:t>Consiste no planejamento instrucional estruturado, respondendo a seis questões cruciais: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Quem deve ser treinado?</w:t>
      </w:r>
      <w:r>
        <w:rPr>
          <w:rFonts w:ascii="Arial" w:hAnsi="Arial"/>
          <w:b w:val="0"/>
          <w:i w:val="0"/>
          <w:color w:val="111827"/>
          <w:sz w:val="22"/>
        </w:rPr>
        <w:t xml:space="preserve"> (público-alvo / participantes selecionados);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Quem vai treinar?</w:t>
      </w:r>
      <w:r>
        <w:rPr>
          <w:rFonts w:ascii="Arial" w:hAnsi="Arial"/>
          <w:b w:val="0"/>
          <w:i w:val="0"/>
          <w:color w:val="111827"/>
          <w:sz w:val="22"/>
        </w:rPr>
        <w:t xml:space="preserve"> (instrutores internos da Escola de Contas ou consultores externos contratados);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Em que treinar?</w:t>
      </w:r>
      <w:r>
        <w:rPr>
          <w:rFonts w:ascii="Arial" w:hAnsi="Arial"/>
          <w:b w:val="0"/>
          <w:i w:val="0"/>
          <w:color w:val="111827"/>
          <w:sz w:val="22"/>
        </w:rPr>
        <w:t xml:space="preserve"> (conteúdo programático, competências técnicas e comportamentais);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Onde treinar?</w:t>
      </w:r>
      <w:r>
        <w:rPr>
          <w:rFonts w:ascii="Arial" w:hAnsi="Arial"/>
          <w:b w:val="0"/>
          <w:i w:val="0"/>
          <w:color w:val="111827"/>
          <w:sz w:val="22"/>
        </w:rPr>
        <w:t xml:space="preserve"> (salas de aula presenciais, laboratórios ou ambiente virtual EaD);</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Como treinar?</w:t>
      </w:r>
      <w:r>
        <w:rPr>
          <w:rFonts w:ascii="Arial" w:hAnsi="Arial"/>
          <w:b w:val="0"/>
          <w:i w:val="0"/>
          <w:color w:val="111827"/>
          <w:sz w:val="22"/>
        </w:rPr>
        <w:t xml:space="preserve"> (métodos pedagógicos: estudos de caso, oficinas, simulações ou palestras expositivas);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Quando treinar?</w:t>
      </w:r>
      <w:r>
        <w:rPr>
          <w:rFonts w:ascii="Arial" w:hAnsi="Arial"/>
          <w:b w:val="0"/>
          <w:i w:val="0"/>
          <w:color w:val="111827"/>
          <w:sz w:val="22"/>
        </w:rPr>
        <w:t xml:space="preserve"> (cronograma, carga horária e período de realização).</w:t>
      </w:r>
    </w:p>
    <w:p>
      <w:pPr>
        <w:keepNext/>
        <w:spacing w:before="120" w:after="40"/>
      </w:pPr>
      <w:r>
        <w:rPr>
          <w:rFonts w:ascii="Arial" w:hAnsi="Arial"/>
          <w:b/>
          <w:i/>
          <w:color w:val="334155"/>
          <w:sz w:val="22"/>
        </w:rPr>
        <w:t>C) Etapa 3: Execução e Condução do Treinamento</w:t>
      </w:r>
    </w:p>
    <w:p>
      <w:pPr>
        <w:spacing w:line="360" w:lineRule="auto" w:before="0" w:after="80"/>
        <w:jc w:val="both"/>
      </w:pPr>
      <w:r>
        <w:rPr>
          <w:rFonts w:ascii="Arial" w:hAnsi="Arial"/>
          <w:b w:val="0"/>
          <w:i w:val="0"/>
          <w:color w:val="111827"/>
          <w:sz w:val="24"/>
        </w:rPr>
        <w:t>Aplicação prática do plano pedagógico. Exige ambiente físico e tecnológico adequado, motivação dos educandos e domínio didático por parte dos instrutores.</w:t>
      </w:r>
    </w:p>
    <w:p>
      <w:pPr>
        <w:keepNext/>
        <w:spacing w:before="120" w:after="40"/>
      </w:pPr>
      <w:r>
        <w:rPr>
          <w:rFonts w:ascii="Arial" w:hAnsi="Arial"/>
          <w:b/>
          <w:i/>
          <w:color w:val="334155"/>
          <w:sz w:val="22"/>
        </w:rPr>
        <w:t>D) Etapa 4: Avaliação dos Resultados (Modelo de Donald Kirkpatrick)</w:t>
      </w:r>
    </w:p>
    <w:p>
      <w:pPr>
        <w:spacing w:line="360" w:lineRule="auto" w:before="0" w:after="80"/>
        <w:jc w:val="both"/>
      </w:pPr>
      <w:r>
        <w:rPr>
          <w:rFonts w:ascii="Arial" w:hAnsi="Arial"/>
          <w:b w:val="0"/>
          <w:i w:val="0"/>
          <w:color w:val="111827"/>
          <w:sz w:val="24"/>
        </w:rPr>
        <w:t>Donald Kirkpatrick propôs a metodologia mais consagrada e cobrada em concursos públicos para mensurar a eficácia de programas de capacitação, dividida em quatro níveis sucessivos de complexidade:</w:t>
      </w:r>
    </w:p>
    <w:p>
      <w:pPr>
        <w:spacing w:after="120"/>
      </w:pP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Nível de Kirkpatrick</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Objeto de Avaliação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Momento da Avaliação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Instrumento Típico de Medição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Nível 1: Reação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Avalia o grau de satisfação dos participantes com o curso, material, didática e infraestrutura.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Aplicado imediatamente no encerramento da aula.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Questionário de pesquisa de satisfação (escala Likert).</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Nível 2: Aprendizagem</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Avalia a aquisição e fixação de novos conhecimentos, habilidades e atitudes.</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Durante ou logo após o término do curso.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Testes teóricos, provas de conhecimento e exames práticos (pré-teste e pós-teste).</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Nível 3: Comportamento no Cargo (Transferência)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Avalia se o participante modificou sua conduta no posto de trabalho e aplica o que aprendeu.</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Aplicado semanas ou meses após o retorno à rotina (30 a 90 dias).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Observação em serviço, relatórios de produtividade e avaliação da chefia imediata.</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Nível 4: Resultados / Impacto Organizacional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Avalia os impactos macroinstitucionais obtidos pelo órgão (redução de custos, agilidade processual).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Longo prazo (semestral ou anual).</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Indicadores de desempenho, relatórios gerenciais e metas institucionais atingidas.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Nível 5: ROI (Jack Phillips)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Avalia a relação financeira entre o custo do treinamento e os benefícios monetários gerados.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Pós-implementação.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Fórmula do ROI: </w:t>
            </w:r>
            <w:r>
              <w:rPr>
                <w:rFonts w:ascii="Cambria Math" w:hAnsi="Cambria Math"/>
                <w:i/>
                <w:color w:val="1B365D"/>
                <w:sz w:val="19"/>
              </w:rPr>
              <w:t>\text{ROI (\%)} = \frac{\text{Benefícios Líquidos}}{\text{Custos do Treinamento}} \times 100</w:t>
            </w:r>
            <w:r>
              <w:rPr>
                <w:rFonts w:ascii="Arial" w:hAnsi="Arial"/>
                <w:b w:val="0"/>
                <w:i w:val="0"/>
                <w:color w:val="111827"/>
                <w:sz w:val="19"/>
              </w:rPr>
              <w:t>.</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(NÍVEIS DE KIRKPATRICK):</w:t>
            </w:r>
          </w:p>
          <w:p>
            <w:pPr>
              <w:spacing w:line="288" w:lineRule="auto" w:before="40" w:after="40"/>
            </w:pPr>
            <w:r>
              <w:rPr>
                <w:rFonts w:ascii="Arial" w:hAnsi="Arial"/>
                <w:b w:val="0"/>
                <w:i w:val="0"/>
                <w:color w:val="111827"/>
                <w:sz w:val="21"/>
              </w:rPr>
              <w:t xml:space="preserve">A banca frequentemente afirma que </w:t>
            </w:r>
            <w:r>
              <w:rPr>
                <w:rFonts w:ascii="Arial" w:hAnsi="Arial"/>
                <w:b w:val="0"/>
                <w:i/>
                <w:color w:val="111827"/>
                <w:sz w:val="21"/>
              </w:rPr>
              <w:t>"uma avaliação de reação altamente positiva comprova que os servidores assimilaram o conteúdo e melhorarão a produtividade da instituição"</w:t>
            </w:r>
            <w:r>
              <w:rPr>
                <w:rFonts w:ascii="Arial" w:hAnsi="Arial"/>
                <w:b w:val="0"/>
                <w:i w:val="0"/>
                <w:color w:val="111827"/>
                <w:sz w:val="21"/>
              </w:rPr>
              <w:t xml:space="preserve">. </w:t>
            </w:r>
            <w:r>
              <w:rPr>
                <w:rFonts w:ascii="Arial" w:hAnsi="Arial"/>
                <w:b/>
                <w:i w:val="0"/>
                <w:color w:val="111827"/>
                <w:sz w:val="21"/>
              </w:rPr>
              <w:t>ERRADO!</w:t>
            </w:r>
            <w:r>
              <w:rPr>
                <w:rFonts w:ascii="Arial" w:hAnsi="Arial"/>
                <w:b w:val="0"/>
                <w:i w:val="0"/>
                <w:color w:val="111827"/>
                <w:sz w:val="21"/>
              </w:rPr>
              <w:t xml:space="preserve"> O Nível 1 mede apenas se os participantes gostaram da aula e das instalações. Uma reação excelente pode conviver com zero aprendizagem (Nível 2) ou zero aplicação no trabalho (Nível 3).</w:t>
            </w:r>
          </w:p>
          <w:p>
            <w:pPr>
              <w:spacing w:line="288" w:lineRule="auto" w:before="40" w:after="40"/>
            </w:pPr>
            <w:r>
              <w:rPr>
                <w:rFonts w:ascii="Arial" w:hAnsi="Arial"/>
                <w:b w:val="0"/>
                <w:i w:val="0"/>
                <w:color w:val="111827"/>
                <w:sz w:val="21"/>
              </w:rPr>
              <w:t xml:space="preserve">Além disso, lembre-se: provas de conhecimentos teóricos ao final do curso medem </w:t>
            </w:r>
            <w:r>
              <w:rPr>
                <w:rFonts w:ascii="Arial" w:hAnsi="Arial"/>
                <w:b/>
                <w:i w:val="0"/>
                <w:color w:val="111827"/>
                <w:sz w:val="21"/>
              </w:rPr>
              <w:t>Aprendizagem (Nível 2)</w:t>
            </w:r>
            <w:r>
              <w:rPr>
                <w:rFonts w:ascii="Arial" w:hAnsi="Arial"/>
                <w:b w:val="0"/>
                <w:i w:val="0"/>
                <w:color w:val="111827"/>
                <w:sz w:val="21"/>
              </w:rPr>
              <w:t xml:space="preserve"> e NÃO comportamento no trabalho (Nível 3).</w:t>
            </w:r>
          </w:p>
        </w:tc>
      </w:tr>
    </w:tbl>
    <w:p>
      <w:pPr>
        <w:spacing w:before="0" w:after="120"/>
      </w:pPr>
    </w:p>
    <w:p>
      <w:pPr>
        <w:keepNext/>
        <w:spacing w:before="200" w:after="80"/>
      </w:pPr>
      <w:r>
        <w:rPr>
          <w:rFonts w:ascii="Arial" w:hAnsi="Arial"/>
          <w:b/>
          <w:i w:val="0"/>
          <w:color w:val="2B6CB0"/>
          <w:sz w:val="24"/>
        </w:rPr>
        <w:t>3. Gestão do Conhecimento Organizacional e o Modelo SECI</w:t>
      </w:r>
    </w:p>
    <w:p>
      <w:pPr>
        <w:spacing w:line="360" w:lineRule="auto" w:before="0" w:after="80"/>
        <w:jc w:val="both"/>
      </w:pPr>
      <w:r>
        <w:rPr>
          <w:rFonts w:ascii="Arial" w:hAnsi="Arial"/>
          <w:b w:val="0"/>
          <w:i w:val="0"/>
          <w:color w:val="111827"/>
          <w:sz w:val="24"/>
        </w:rPr>
        <w:t>A gestão do conhecimento é o conjunto integrado de processos que criam, organizam, disseminam e aplicam saberes para alavancar a eficiência organizacional.</w:t>
      </w:r>
    </w:p>
    <w:p>
      <w:pPr>
        <w:keepNext/>
        <w:spacing w:before="120" w:after="40"/>
      </w:pPr>
      <w:r>
        <w:rPr>
          <w:rFonts w:ascii="Arial" w:hAnsi="Arial"/>
          <w:b/>
          <w:i/>
          <w:color w:val="334155"/>
          <w:sz w:val="22"/>
        </w:rPr>
        <w:t>A) A Pirâmide DIKW (Hierarquia do Saber)</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Dado:</w:t>
      </w:r>
      <w:r>
        <w:rPr>
          <w:rFonts w:ascii="Arial" w:hAnsi="Arial"/>
          <w:b w:val="0"/>
          <w:i w:val="0"/>
          <w:color w:val="111827"/>
          <w:sz w:val="22"/>
        </w:rPr>
        <w:t xml:space="preserve"> Registro numérico ou textual isolado, sem interpretação (ex.: "R\$ 1.500.000,00").</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Informação:</w:t>
      </w:r>
      <w:r>
        <w:rPr>
          <w:rFonts w:ascii="Arial" w:hAnsi="Arial"/>
          <w:b w:val="0"/>
          <w:i w:val="0"/>
          <w:color w:val="111827"/>
          <w:sz w:val="22"/>
        </w:rPr>
        <w:t xml:space="preserve"> Dados organizados em determinado contexto, dotados de sentido e propósito (ex.: "Contrato de TI no valor de R\$ 1.500.000,00 celebrado com dispensa indevida de licitação").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Conhecimento:</w:t>
      </w:r>
      <w:r>
        <w:rPr>
          <w:rFonts w:ascii="Arial" w:hAnsi="Arial"/>
          <w:b w:val="0"/>
          <w:i w:val="0"/>
          <w:color w:val="111827"/>
          <w:sz w:val="22"/>
        </w:rPr>
        <w:t xml:space="preserve"> Informação processada pela mente humana, combinada com experiência, valores e intuição, capacitando o indivíduo para a tomada de decisão (ex.: "Auditor identifica irregularidade na dispensa com base no histórico do fornecedor e na Lei 14.133/2021").</w:t>
      </w:r>
    </w:p>
    <w:p>
      <w:pPr>
        <w:spacing w:line="276" w:lineRule="auto" w:before="20" w:after="40"/>
        <w:ind w:left="425"/>
      </w:pPr>
      <w:r>
        <w:rPr>
          <w:rFonts w:ascii="Arial" w:hAnsi="Arial"/>
          <w:b/>
          <w:color w:val="2B6CB0"/>
          <w:sz w:val="22"/>
        </w:rPr>
        <w:t xml:space="preserve">• </w:t>
      </w:r>
      <w:r>
        <w:rPr>
          <w:rFonts w:ascii="Arial" w:hAnsi="Arial"/>
          <w:b/>
          <w:i w:val="0"/>
          <w:color w:val="111827"/>
          <w:sz w:val="22"/>
        </w:rPr>
        <w:t>Sabedoria:</w:t>
      </w:r>
      <w:r>
        <w:rPr>
          <w:rFonts w:ascii="Arial" w:hAnsi="Arial"/>
          <w:b w:val="0"/>
          <w:i w:val="0"/>
          <w:color w:val="111827"/>
          <w:sz w:val="22"/>
        </w:rPr>
        <w:t xml:space="preserve"> Capacidade superior de aplicar o conhecimento com prudência, discernimento ético e visão de longo prazo em prol da sociedade.</w:t>
      </w:r>
    </w:p>
    <w:p>
      <w:pPr>
        <w:keepNext/>
        <w:spacing w:before="120" w:after="40"/>
      </w:pPr>
      <w:r>
        <w:rPr>
          <w:rFonts w:ascii="Arial" w:hAnsi="Arial"/>
          <w:b/>
          <w:i/>
          <w:color w:val="334155"/>
          <w:sz w:val="22"/>
        </w:rPr>
        <w:t>B) Conhecimento Tácito vs. Conhecimento Explícito</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Dimensão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Conhecimento Tácito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Conhecimento Explícito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Origem e Natureza</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Subjetivo, pessoal, intuitivo e empírico.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Objetivo, racional, formal e lógico.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Localização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Armazenado na mente e na experiência dos indivíduos (</w:t>
            </w:r>
            <w:r>
              <w:rPr>
                <w:rFonts w:ascii="Arial" w:hAnsi="Arial"/>
                <w:b w:val="0"/>
                <w:i/>
                <w:color w:val="111827"/>
                <w:sz w:val="19"/>
              </w:rPr>
              <w:t>know-how</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Registrado em suportes físicos ou digitais (manuais, livros, leis, normas e sistemas).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Facilidade de Transmissão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Difícil de verbalizar, codificar e formalizar por escrito.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Fácil de estruturar, armazenar, duplicar e compartilhar em rede.</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Forma de Aprendizado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Aprendizado prático por convivência, mentoria, tutoria e imitação.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Leitura de documentos, estudo de normas e consulta a bancos de dados.</w:t>
            </w:r>
          </w:p>
        </w:tc>
      </w:tr>
    </w:tbl>
    <w:p>
      <w:pPr>
        <w:spacing w:after="120"/>
      </w:pPr>
    </w:p>
    <w:p>
      <w:pPr>
        <w:keepNext/>
        <w:spacing w:before="120" w:after="40"/>
      </w:pPr>
      <w:r>
        <w:rPr>
          <w:rFonts w:ascii="Arial" w:hAnsi="Arial"/>
          <w:b/>
          <w:i/>
          <w:color w:val="334155"/>
          <w:sz w:val="22"/>
        </w:rPr>
        <w:t>C) O Modelo SECI e a Espiral do Conhecimento (Ikujiro Nonaka &amp; Hirotaka Takeuchi)</w:t>
      </w:r>
    </w:p>
    <w:p>
      <w:pPr>
        <w:spacing w:line="360" w:lineRule="auto" w:before="0" w:after="80"/>
        <w:jc w:val="both"/>
      </w:pPr>
      <w:r>
        <w:rPr>
          <w:rFonts w:ascii="Arial" w:hAnsi="Arial"/>
          <w:b w:val="0"/>
          <w:i w:val="0"/>
          <w:color w:val="111827"/>
          <w:sz w:val="24"/>
        </w:rPr>
        <w:t>Segundo Nonaka e Takeuchi, o conhecimento institucional é criado a partir da interação dinâmica e ininterrupta entre o conhecimento tácito e o explícito, percorrendo quatro modos de conversão:</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Socialização (Tácito $\rightarrow$ Tácito):</w:t>
      </w:r>
      <w:r>
        <w:rPr>
          <w:rFonts w:ascii="Arial" w:hAnsi="Arial"/>
          <w:b w:val="0"/>
          <w:i w:val="0"/>
          <w:color w:val="111827"/>
          <w:sz w:val="22"/>
        </w:rPr>
        <w:t xml:space="preserve"> Compartilhamento de experiências diretas entre pessoas, sem uso necessário da linguagem escrita (ex.: tutoria de um técnico novato por um auditor sênior, conversas informais e observação em campo no </w:t>
      </w:r>
      <w:r>
        <w:rPr>
          <w:rFonts w:ascii="Arial" w:hAnsi="Arial"/>
          <w:b w:val="0"/>
          <w:i/>
          <w:color w:val="111827"/>
          <w:sz w:val="22"/>
        </w:rPr>
        <w:t>Ba Originário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2. </w:t>
      </w:r>
      <w:r>
        <w:rPr>
          <w:rFonts w:ascii="Arial" w:hAnsi="Arial"/>
          <w:b/>
          <w:i w:val="0"/>
          <w:color w:val="111827"/>
          <w:sz w:val="22"/>
        </w:rPr>
        <w:t>Externalização (Tácito $\rightarrow$ Explícito):</w:t>
      </w:r>
      <w:r>
        <w:rPr>
          <w:rFonts w:ascii="Arial" w:hAnsi="Arial"/>
          <w:b w:val="0"/>
          <w:i w:val="0"/>
          <w:color w:val="111827"/>
          <w:sz w:val="22"/>
        </w:rPr>
        <w:t xml:space="preserve"> Articulação e tradução do conhecimento tácito em conceitos compreensíveis, modelos visuais, metáforas, manuais operacionais e fluxogramas acessíveis a todos (no </w:t>
      </w:r>
      <w:r>
        <w:rPr>
          <w:rFonts w:ascii="Arial" w:hAnsi="Arial"/>
          <w:b w:val="0"/>
          <w:i/>
          <w:color w:val="111827"/>
          <w:sz w:val="22"/>
        </w:rPr>
        <w:t>Ba Interativo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Combinação (Explícito $\rightarrow$ Explícito):</w:t>
      </w:r>
      <w:r>
        <w:rPr>
          <w:rFonts w:ascii="Arial" w:hAnsi="Arial"/>
          <w:b w:val="0"/>
          <w:i w:val="0"/>
          <w:color w:val="111827"/>
          <w:sz w:val="22"/>
        </w:rPr>
        <w:t xml:space="preserve"> Agrupamento, classificação, análise e cruzamento de diferentes fontes de conhecimentos já codificados (ex.: compilar acórdãos e pareceres para redigir uma Instrução Normativa consolidada do TCE-GO no </w:t>
      </w:r>
      <w:r>
        <w:rPr>
          <w:rFonts w:ascii="Arial" w:hAnsi="Arial"/>
          <w:b w:val="0"/>
          <w:i/>
          <w:color w:val="111827"/>
          <w:sz w:val="22"/>
        </w:rPr>
        <w:t>Ba Cibernético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4. </w:t>
      </w:r>
      <w:r>
        <w:rPr>
          <w:rFonts w:ascii="Arial" w:hAnsi="Arial"/>
          <w:b/>
          <w:i w:val="0"/>
          <w:color w:val="111827"/>
          <w:sz w:val="22"/>
        </w:rPr>
        <w:t>Internalização (Explícito $\rightarrow$ Tácito):</w:t>
      </w:r>
      <w:r>
        <w:rPr>
          <w:rFonts w:ascii="Arial" w:hAnsi="Arial"/>
          <w:b w:val="0"/>
          <w:i w:val="0"/>
          <w:color w:val="111827"/>
          <w:sz w:val="22"/>
        </w:rPr>
        <w:t xml:space="preserve"> Incorporação do conhecimento explícito recém-produzido na mente e nos hábitos de trabalho do servidor por meio do "aprender fazendo" (</w:t>
      </w:r>
      <w:r>
        <w:rPr>
          <w:rFonts w:ascii="Arial" w:hAnsi="Arial"/>
          <w:b w:val="0"/>
          <w:i/>
          <w:color w:val="111827"/>
          <w:sz w:val="22"/>
        </w:rPr>
        <w:t>learning by doing</w:t>
      </w:r>
      <w:r>
        <w:rPr>
          <w:rFonts w:ascii="Arial" w:hAnsi="Arial"/>
          <w:b w:val="0"/>
          <w:i w:val="0"/>
          <w:color w:val="111827"/>
          <w:sz w:val="22"/>
        </w:rPr>
        <w:t xml:space="preserve"> no </w:t>
      </w:r>
      <w:r>
        <w:rPr>
          <w:rFonts w:ascii="Arial" w:hAnsi="Arial"/>
          <w:b w:val="0"/>
          <w:i/>
          <w:color w:val="111827"/>
          <w:sz w:val="22"/>
        </w:rPr>
        <w:t>Ba Exercitante</w:t>
      </w:r>
      <w:r>
        <w:rPr>
          <w:rFonts w:ascii="Arial" w:hAnsi="Arial"/>
          <w:b w:val="0"/>
          <w:i w:val="0"/>
          <w:color w:val="111827"/>
          <w:sz w:val="22"/>
        </w:rPr>
        <w:t>).</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(HISTORINHAS PRÁTICAS DO MODELO SECI):</w:t>
            </w:r>
          </w:p>
          <w:p>
            <w:pPr>
              <w:spacing w:line="288" w:lineRule="auto" w:before="40" w:after="40"/>
            </w:pPr>
            <w:r>
              <w:rPr>
                <w:rFonts w:ascii="Arial" w:hAnsi="Arial"/>
                <w:b w:val="0"/>
                <w:i w:val="0"/>
                <w:color w:val="111827"/>
                <w:sz w:val="21"/>
              </w:rPr>
              <w:t>A FCC adora cobrar o Modelo SECI por meio de situações hipotéticas de trabalho:</w:t>
            </w:r>
          </w:p>
          <w:p>
            <w:pPr>
              <w:spacing w:line="288" w:lineRule="auto" w:before="40" w:after="40"/>
            </w:pPr>
            <w:r>
              <w:rPr>
                <w:rFonts w:ascii="Arial" w:hAnsi="Arial"/>
                <w:b w:val="0"/>
                <w:i w:val="0"/>
                <w:color w:val="111827"/>
                <w:sz w:val="21"/>
              </w:rPr>
              <w:t xml:space="preserve">- Se o auditor experiente passa dicas práticas e intuições para um estagiário durante uma fiscalização em campo: </w:t>
            </w:r>
            <w:r>
              <w:rPr>
                <w:rFonts w:ascii="Arial" w:hAnsi="Arial"/>
                <w:b/>
                <w:i w:val="0"/>
                <w:color w:val="111827"/>
                <w:sz w:val="21"/>
              </w:rPr>
              <w:t>SOCIALIZAÇÃO (Tácito para Tácito)</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Se esse auditor redige uma apostila ou manual de auditoria com seus métodos: </w:t>
            </w:r>
            <w:r>
              <w:rPr>
                <w:rFonts w:ascii="Arial" w:hAnsi="Arial"/>
                <w:b/>
                <w:i w:val="0"/>
                <w:color w:val="111827"/>
                <w:sz w:val="21"/>
              </w:rPr>
              <w:t>EXTERNALIZAÇÃO (Tácito para Explícito)</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Se o setor reúne manuais de diversos tribunais e publica um guia analítico unificado: </w:t>
            </w:r>
            <w:r>
              <w:rPr>
                <w:rFonts w:ascii="Arial" w:hAnsi="Arial"/>
                <w:b/>
                <w:i w:val="0"/>
                <w:color w:val="111827"/>
                <w:sz w:val="21"/>
              </w:rPr>
              <w:t>COMBINAÇÃO (Explícito para Explícito)</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Se os novos servidores leem o guia e passam a aplicá-lo automaticamente na rotina: </w:t>
            </w:r>
            <w:r>
              <w:rPr>
                <w:rFonts w:ascii="Arial" w:hAnsi="Arial"/>
                <w:b/>
                <w:i w:val="0"/>
                <w:color w:val="111827"/>
                <w:sz w:val="21"/>
              </w:rPr>
              <w:t>INTERNALIZAÇÃO (Explícito para Tácito)</w:t>
            </w:r>
            <w:r>
              <w:rPr>
                <w:rFonts w:ascii="Arial" w:hAnsi="Arial"/>
                <w:b w:val="0"/>
                <w:i w:val="0"/>
                <w:color w:val="111827"/>
                <w:sz w:val="21"/>
              </w:rPr>
              <w:t>.</w:t>
            </w:r>
          </w:p>
        </w:tc>
      </w:tr>
    </w:tbl>
    <w:p>
      <w:pPr>
        <w:spacing w:before="0" w:after="120"/>
      </w:pPr>
    </w:p>
    <w:p>
      <w:pPr>
        <w:keepNext/>
        <w:spacing w:before="200" w:after="80"/>
      </w:pPr>
      <w:r>
        <w:rPr>
          <w:rFonts w:ascii="Arial" w:hAnsi="Arial"/>
          <w:b/>
          <w:i w:val="0"/>
          <w:color w:val="2B6CB0"/>
          <w:sz w:val="24"/>
        </w:rPr>
        <w:t>4. Aprendizagem Organizacional e as Cinco Disciplinas de Peter Senge</w:t>
      </w:r>
    </w:p>
    <w:p>
      <w:pPr>
        <w:spacing w:line="360" w:lineRule="auto" w:before="0" w:after="80"/>
        <w:jc w:val="both"/>
      </w:pPr>
      <w:r>
        <w:rPr>
          <w:rFonts w:ascii="Arial" w:hAnsi="Arial"/>
          <w:b w:val="0"/>
          <w:i w:val="0"/>
          <w:color w:val="111827"/>
          <w:sz w:val="24"/>
        </w:rPr>
        <w:t>A aprendizagem organizacional ocorre quando o aprendizado individual e coletivo é incorporado aos processos, valores, estruturas e cultura permanente da organização.</w:t>
      </w:r>
    </w:p>
    <w:p>
      <w:pPr>
        <w:keepNext/>
        <w:spacing w:before="120" w:after="40"/>
      </w:pPr>
      <w:r>
        <w:rPr>
          <w:rFonts w:ascii="Arial" w:hAnsi="Arial"/>
          <w:b/>
          <w:i/>
          <w:color w:val="334155"/>
          <w:sz w:val="22"/>
        </w:rPr>
        <w:t>A) Circuito Simples vs. Circuito Duplo (Chris Argyris e Donald Schön)</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**Aprendizagem em Circuito Simples (</w:t>
      </w:r>
      <w:r>
        <w:rPr>
          <w:rFonts w:ascii="Arial" w:hAnsi="Arial"/>
          <w:b w:val="0"/>
          <w:i/>
          <w:color w:val="111827"/>
          <w:sz w:val="22"/>
        </w:rPr>
        <w:t>Single-Loop Learning</w:t>
      </w:r>
      <w:r>
        <w:rPr>
          <w:rFonts w:ascii="Arial" w:hAnsi="Arial"/>
          <w:b w:val="0"/>
          <w:i w:val="0"/>
          <w:color w:val="111827"/>
          <w:sz w:val="22"/>
        </w:rPr>
        <w:t>):</w:t>
      </w:r>
      <w:r>
        <w:rPr>
          <w:rFonts w:ascii="Arial" w:hAnsi="Arial"/>
          <w:b/>
          <w:i w:val="0"/>
          <w:color w:val="111827"/>
          <w:sz w:val="22"/>
        </w:rPr>
        <w:t xml:space="preserve"> A organização detecta um erro e corrige os procedimentos imediatos, </w:t>
      </w:r>
      <w:r>
        <w:rPr>
          <w:rFonts w:ascii="Arial" w:hAnsi="Arial"/>
          <w:b w:val="0"/>
          <w:i w:val="0"/>
          <w:color w:val="111827"/>
          <w:sz w:val="22"/>
        </w:rPr>
        <w:t>sem questionar as premissas, normas ou políticas básicas** que originaram a falha (comportamento de mero "termostato").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**Aprendizagem em Circuito Duplo (</w:t>
      </w:r>
      <w:r>
        <w:rPr>
          <w:rFonts w:ascii="Arial" w:hAnsi="Arial"/>
          <w:b w:val="0"/>
          <w:i/>
          <w:color w:val="111827"/>
          <w:sz w:val="22"/>
        </w:rPr>
        <w:t>Double-Loop Learning</w:t>
      </w:r>
      <w:r>
        <w:rPr>
          <w:rFonts w:ascii="Arial" w:hAnsi="Arial"/>
          <w:b w:val="0"/>
          <w:i w:val="0"/>
          <w:color w:val="111827"/>
          <w:sz w:val="22"/>
        </w:rPr>
        <w:t>):</w:t>
      </w:r>
      <w:r>
        <w:rPr>
          <w:rFonts w:ascii="Arial" w:hAnsi="Arial"/>
          <w:b/>
          <w:i w:val="0"/>
          <w:color w:val="111827"/>
          <w:sz w:val="22"/>
        </w:rPr>
        <w:t xml:space="preserve"> A organização detecta o erro e </w:t>
      </w:r>
      <w:r>
        <w:rPr>
          <w:rFonts w:ascii="Arial" w:hAnsi="Arial"/>
          <w:b w:val="0"/>
          <w:i w:val="0"/>
          <w:color w:val="111827"/>
          <w:sz w:val="22"/>
        </w:rPr>
        <w:t>reexamina criticamente as regras subjacentes, objetivos fundamentais e premissas culturais**, promovendo mudanças estruturais profundas e inovação transformadora.</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 CIRCUITO DUPLO DE ARGYRIS:</w:t>
            </w:r>
          </w:p>
          <w:p>
            <w:pPr>
              <w:spacing w:line="288" w:lineRule="auto" w:before="40" w:after="40"/>
            </w:pPr>
            <w:r>
              <w:rPr>
                <w:rFonts w:ascii="Arial" w:hAnsi="Arial"/>
                <w:b w:val="0"/>
                <w:i w:val="0"/>
                <w:color w:val="111827"/>
                <w:sz w:val="21"/>
              </w:rPr>
              <w:t>A diferença fundamental reside no questionamento das premissas:</w:t>
            </w:r>
          </w:p>
          <w:p>
            <w:pPr>
              <w:spacing w:line="288" w:lineRule="auto" w:before="40" w:after="40"/>
            </w:pPr>
            <w:r>
              <w:rPr>
                <w:rFonts w:ascii="Arial" w:hAnsi="Arial"/>
                <w:b w:val="0"/>
                <w:i w:val="0"/>
                <w:color w:val="111827"/>
                <w:sz w:val="21"/>
              </w:rPr>
              <w:t>- Circuito simples: corrige a rota sem questionar o destino (mantém os valores vigentes);</w:t>
            </w:r>
          </w:p>
          <w:p>
            <w:pPr>
              <w:spacing w:line="288" w:lineRule="auto" w:before="40" w:after="40"/>
            </w:pPr>
            <w:r>
              <w:rPr>
                <w:rFonts w:ascii="Arial" w:hAnsi="Arial"/>
                <w:b w:val="0"/>
                <w:i w:val="0"/>
                <w:color w:val="111827"/>
                <w:sz w:val="21"/>
              </w:rPr>
              <w:t>- Circuito duplo: questiona se o destino e as normas prévias ainda fazem sentido no contexto atual.</w:t>
            </w:r>
          </w:p>
        </w:tc>
      </w:tr>
    </w:tbl>
    <w:p>
      <w:pPr>
        <w:spacing w:before="0" w:after="120"/>
      </w:pPr>
    </w:p>
    <w:p>
      <w:pPr>
        <w:keepNext/>
        <w:spacing w:before="120" w:after="40"/>
      </w:pPr>
      <w:r>
        <w:rPr>
          <w:rFonts w:ascii="Arial" w:hAnsi="Arial"/>
          <w:b/>
          <w:i/>
          <w:color w:val="334155"/>
          <w:sz w:val="22"/>
        </w:rPr>
        <w:t>B) As Cinco Disciplinas de Peter Senge (</w:t>
      </w:r>
      <w:r>
        <w:rPr>
          <w:rFonts w:ascii="Arial" w:hAnsi="Arial"/>
          <w:b/>
          <w:i/>
          <w:color w:val="334155"/>
          <w:sz w:val="22"/>
        </w:rPr>
        <w:t>A Quinta Disciplina</w:t>
      </w:r>
      <w:r>
        <w:rPr>
          <w:rFonts w:ascii="Arial" w:hAnsi="Arial"/>
          <w:b/>
          <w:i/>
          <w:color w:val="334155"/>
          <w:sz w:val="22"/>
        </w:rPr>
        <w:t>)</w:t>
      </w:r>
    </w:p>
    <w:p>
      <w:pPr>
        <w:spacing w:line="360" w:lineRule="auto" w:before="0" w:after="80"/>
        <w:jc w:val="both"/>
      </w:pPr>
      <w:r>
        <w:rPr>
          <w:rFonts w:ascii="Arial" w:hAnsi="Arial"/>
          <w:b w:val="0"/>
          <w:i w:val="0"/>
          <w:color w:val="111827"/>
          <w:sz w:val="24"/>
        </w:rPr>
        <w:t xml:space="preserve">Para Peter Senge, uma </w:t>
      </w:r>
      <w:r>
        <w:rPr>
          <w:rFonts w:ascii="Arial" w:hAnsi="Arial"/>
          <w:b/>
          <w:i w:val="0"/>
          <w:color w:val="111827"/>
          <w:sz w:val="24"/>
        </w:rPr>
        <w:t>Organização que Aprende</w:t>
      </w:r>
      <w:r>
        <w:rPr>
          <w:rFonts w:ascii="Arial" w:hAnsi="Arial"/>
          <w:b w:val="0"/>
          <w:i w:val="0"/>
          <w:color w:val="111827"/>
          <w:sz w:val="24"/>
        </w:rPr>
        <w:t xml:space="preserve"> (</w:t>
      </w:r>
      <w:r>
        <w:rPr>
          <w:rFonts w:ascii="Arial" w:hAnsi="Arial"/>
          <w:b w:val="0"/>
          <w:i/>
          <w:color w:val="111827"/>
          <w:sz w:val="24"/>
        </w:rPr>
        <w:t>Learning Organization</w:t>
      </w:r>
      <w:r>
        <w:rPr>
          <w:rFonts w:ascii="Arial" w:hAnsi="Arial"/>
          <w:b w:val="0"/>
          <w:i w:val="0"/>
          <w:color w:val="111827"/>
          <w:sz w:val="24"/>
        </w:rPr>
        <w:t>) baseia-se na prática contínua de cinco disciplinas essenciais: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Domínio Pessoal:</w:t>
      </w:r>
      <w:r>
        <w:rPr>
          <w:rFonts w:ascii="Arial" w:hAnsi="Arial"/>
          <w:b w:val="0"/>
          <w:i w:val="0"/>
          <w:color w:val="111827"/>
          <w:sz w:val="22"/>
        </w:rPr>
        <w:t xml:space="preserve"> Busca contínua pelo aprimoramento e autodesenvolvimento, com clareza dos objetivos de vida e visão realista das próprias forças e fragilidades.</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Modelos Mentais:</w:t>
      </w:r>
      <w:r>
        <w:rPr>
          <w:rFonts w:ascii="Arial" w:hAnsi="Arial"/>
          <w:b w:val="0"/>
          <w:i w:val="0"/>
          <w:color w:val="111827"/>
          <w:sz w:val="22"/>
        </w:rPr>
        <w:t xml:space="preserve"> Capacidade de identificar, questionar e transformar as imagens e preconceitos internos enraizados que condicionam nossa percepção do mundo organizacional.</w:t>
      </w:r>
    </w:p>
    <w:p>
      <w:pPr>
        <w:spacing w:line="276" w:lineRule="auto" w:before="20" w:after="40"/>
        <w:ind w:left="425"/>
      </w:pPr>
      <w:r>
        <w:rPr>
          <w:rFonts w:ascii="Arial" w:hAnsi="Arial"/>
          <w:b/>
          <w:color w:val="1B365D"/>
          <w:sz w:val="22"/>
        </w:rPr>
        <w:t xml:space="preserve">3. </w:t>
      </w:r>
      <w:r>
        <w:rPr>
          <w:rFonts w:ascii="Arial" w:hAnsi="Arial"/>
          <w:b/>
          <w:i w:val="0"/>
          <w:color w:val="111827"/>
          <w:sz w:val="22"/>
        </w:rPr>
        <w:t>Visão Compartilhada:</w:t>
      </w:r>
      <w:r>
        <w:rPr>
          <w:rFonts w:ascii="Arial" w:hAnsi="Arial"/>
          <w:b w:val="0"/>
          <w:i w:val="0"/>
          <w:color w:val="111827"/>
          <w:sz w:val="22"/>
        </w:rPr>
        <w:t xml:space="preserve"> Construção de um senso coletivo de propósito e destino comum, substituindo o mero cumprimento de ordens pelo compromisso entusiasmado com a missão pública.</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Aprendizagem em Equipe:</w:t>
      </w:r>
      <w:r>
        <w:rPr>
          <w:rFonts w:ascii="Arial" w:hAnsi="Arial"/>
          <w:b w:val="0"/>
          <w:i w:val="0"/>
          <w:color w:val="111827"/>
          <w:sz w:val="22"/>
        </w:rPr>
        <w:t xml:space="preserve"> Prática do diálogo autêntico entre os membros do grupo, superando disputas de vaidade e gerando soluções muito superiores à inteligência individual isolada.</w:t>
      </w:r>
    </w:p>
    <w:p>
      <w:pPr>
        <w:spacing w:line="276" w:lineRule="auto" w:before="20" w:after="40"/>
        <w:ind w:left="425"/>
      </w:pPr>
      <w:r>
        <w:rPr>
          <w:rFonts w:ascii="Arial" w:hAnsi="Arial"/>
          <w:b/>
          <w:color w:val="1B365D"/>
          <w:sz w:val="22"/>
        </w:rPr>
        <w:t xml:space="preserve">5. </w:t>
      </w:r>
      <w:r>
        <w:rPr>
          <w:rFonts w:ascii="Arial" w:hAnsi="Arial"/>
          <w:b/>
          <w:i w:val="0"/>
          <w:color w:val="111827"/>
          <w:sz w:val="22"/>
        </w:rPr>
        <w:t>Pensamento Sistêmico (A 5ª Disciplina):</w:t>
      </w:r>
      <w:r>
        <w:rPr>
          <w:rFonts w:ascii="Arial" w:hAnsi="Arial"/>
          <w:b w:val="0"/>
          <w:i w:val="0"/>
          <w:color w:val="111827"/>
          <w:sz w:val="22"/>
        </w:rPr>
        <w:t xml:space="preserve"> É a disciplina integradora que conecta as outras quatro. Permite enxergar a organização não como partes fragmentadas, mas como uma rede viva de inter-relações e interdependências mútuas, focando nas causas estruturais dos problemas em vez de remediar sintomas superficiais.</w:t>
      </w:r>
    </w:p>
    <w:p>
      <w:pPr>
        <w:keepNext/>
        <w:spacing w:before="200" w:after="80"/>
      </w:pPr>
      <w:r>
        <w:rPr>
          <w:rFonts w:ascii="Arial" w:hAnsi="Arial"/>
          <w:b/>
          <w:i w:val="0"/>
          <w:color w:val="2B6CB0"/>
          <w:sz w:val="24"/>
        </w:rPr>
        <w:t>5. Educação Corporativa e Escolas de Governo (ILB/TCE-GO)</w:t>
      </w:r>
    </w:p>
    <w:p>
      <w:pPr>
        <w:spacing w:line="360" w:lineRule="auto" w:before="0" w:after="80"/>
        <w:jc w:val="both"/>
      </w:pPr>
      <w:r>
        <w:rPr>
          <w:rFonts w:ascii="Arial" w:hAnsi="Arial"/>
          <w:b w:val="0"/>
          <w:i w:val="0"/>
          <w:color w:val="111827"/>
          <w:sz w:val="24"/>
        </w:rPr>
        <w:t xml:space="preserve">No setor público moderno, a visão fragmentada de "cursos isolados" foi substituída pelo modelo de </w:t>
      </w:r>
      <w:r>
        <w:rPr>
          <w:rFonts w:ascii="Arial" w:hAnsi="Arial"/>
          <w:b/>
          <w:i w:val="0"/>
          <w:color w:val="111827"/>
          <w:sz w:val="24"/>
        </w:rPr>
        <w:t>Educação Corporativa</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Universidade Corporativa / Escolas de Governo:</w:t>
      </w:r>
      <w:r>
        <w:rPr>
          <w:rFonts w:ascii="Arial" w:hAnsi="Arial"/>
          <w:b w:val="0"/>
          <w:i w:val="0"/>
          <w:color w:val="111827"/>
          <w:sz w:val="22"/>
        </w:rPr>
        <w:t xml:space="preserve"> Unidades educacionais estratégicas vinculadas diretamente aos órgãos públicos com a missão de desenvolver competências institucionais essenciais alinhadas aos objetivos estratégicos de Estado.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Escola Superior de Controle do TCE-GO (Instituto Leopoldo de Bulhões - ILB):</w:t>
      </w:r>
      <w:r>
        <w:rPr>
          <w:rFonts w:ascii="Arial" w:hAnsi="Arial"/>
          <w:b w:val="0"/>
          <w:i w:val="0"/>
          <w:color w:val="111827"/>
          <w:sz w:val="22"/>
        </w:rPr>
        <w:t xml:space="preserve"> Unidade de formação e capacitação que promove o contínuo aperfeiçoamento dos servidores do Tribunal de Contas do Estado de Goiás e a orientação pedagógica dos gestores municipais e estaduais jurisdicionados, funcionando como vetor de controle preventivo e pedagógico.</w:t>
      </w:r>
    </w:p>
    <w:p>
      <w:pPr>
        <w:keepNext/>
        <w:spacing w:before="200" w:after="80"/>
      </w:pPr>
      <w:r>
        <w:rPr>
          <w:rFonts w:ascii="Arial" w:hAnsi="Arial"/>
          <w:b/>
          <w:i w:val="0"/>
          <w:color w:val="2B6CB0"/>
          <w:sz w:val="24"/>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NONAKA, Ikujiro; TAKEUCHI, Hirotaka. Criação de Conhecimento na Empresa: como as empresas japonesas geram a dinâmica da inovação. Rio de Janeiro: Elsevier, 1997</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SENGE, Peter. A Quinta Disciplina: a arte e a prática da organização que aprende. Rio de Janeiro: Best Seller, 2018</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KIRKPATRICK, Donald L.; KIRKPATRICK, James D. Como Avaliar Programas de Treinamento de Equipes: os quatro níveis. São Paulo: Senac, 2010</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CHIAVENATO, Idalberto. Treinamento e Desenvolvimento de Recursos Humanos: como incrementar talentos na empresa. 8ª Edição. São Paulo: Atlas, 2016</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ARGYRIS, Chris. On Organizational Learning. 2nd Edition. Blackwell Publishing, 1999</w:t>
      </w:r>
      <w:r>
        <w:rPr>
          <w:rFonts w:ascii="Arial" w:hAnsi="Arial"/>
          <w:b w:val="0"/>
          <w:i w:val="0"/>
          <w:color w:val="111827"/>
          <w:sz w:val="22"/>
        </w:rPr>
        <w:t>.</w:t>
      </w:r>
    </w:p>
    <w:p>
      <w:pPr>
        <w:keepNext/>
        <w:spacing w:before="200" w:after="80"/>
      </w:pPr>
      <w:r>
        <w:rPr>
          <w:rFonts w:ascii="Arial" w:hAnsi="Arial"/>
          <w:b/>
          <w:i w:val="0"/>
          <w:color w:val="2B6CB0"/>
          <w:sz w:val="24"/>
        </w:rPr>
        <w:t>7.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Auditor de Controle Externo – TCE-GO)</w:t>
      </w:r>
    </w:p>
    <w:p>
      <w:pPr>
        <w:spacing w:line="360" w:lineRule="auto" w:before="0" w:after="80"/>
        <w:jc w:val="both"/>
      </w:pPr>
      <w:r>
        <w:rPr>
          <w:rFonts w:ascii="Arial" w:hAnsi="Arial"/>
          <w:b w:val="0"/>
          <w:i w:val="0"/>
          <w:color w:val="111827"/>
          <w:sz w:val="24"/>
        </w:rPr>
        <w:t>O Tribunal de Contas do Estado de Goiás, buscando consolidar as melhores práticas desenvolvidas pelos seus auditores sêniores na detecção de fraudes em licitações públicas informatizadas, organizou oficinas temáticas nas quais esses profissionais veteranos estruturaram conceitos, descreveram rotinas investigativas e redigiram detalhados manuais de procedimentos e fluxogramas operacionais para consulta geral. De acordo com o modelo de criação do conhecimento organizacional proposto por Ikujiro Nonaka e Hirotaka Takeuchi (Modelo SECI), o processo de conversão do conhecimento verificado nessa iniciativa classifica-se como: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Socialização.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Externalização.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Combinação.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Internalização.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Aprendizagem em circuito simples.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socialização ocorre na troca direta de experiências de indivíduo para indivíduo (tácito para tácito), sem formalização por escrito.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A </w:t>
            </w:r>
            <w:r>
              <w:rPr>
                <w:rFonts w:ascii="Arial" w:hAnsi="Arial"/>
                <w:b/>
                <w:i w:val="0"/>
                <w:color w:val="111827"/>
                <w:sz w:val="21"/>
              </w:rPr>
              <w:t>Externalização</w:t>
            </w:r>
            <w:r>
              <w:rPr>
                <w:rFonts w:ascii="Arial" w:hAnsi="Arial"/>
                <w:b w:val="0"/>
                <w:i w:val="0"/>
                <w:color w:val="111827"/>
                <w:sz w:val="21"/>
              </w:rPr>
              <w:t xml:space="preserve"> é exatamente a conversão do conhecimento </w:t>
            </w:r>
            <w:r>
              <w:rPr>
                <w:rFonts w:ascii="Arial" w:hAnsi="Arial"/>
                <w:b/>
                <w:i w:val="0"/>
                <w:color w:val="111827"/>
                <w:sz w:val="21"/>
              </w:rPr>
              <w:t>Tácito em Explícito</w:t>
            </w:r>
            <w:r>
              <w:rPr>
                <w:rFonts w:ascii="Arial" w:hAnsi="Arial"/>
                <w:b w:val="0"/>
                <w:i w:val="0"/>
                <w:color w:val="111827"/>
                <w:sz w:val="21"/>
              </w:rPr>
              <w:t>. Ocorre quando os profissionais conseguem expressar suas vivências intuitivas, julgamentos e saberes práticos sob a forma de conceitos compreensíveis, manuais de procedimentos, roteiros escritos, fluxogramas e documentos formais acessíveis a outros membros.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combinação consiste em juntar e cruzar conhecimentos já codificados (explícito para explícito), como compilar duas leis em um documento unificado.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internalização é a conversão de explícito em tácito, quando os indivíduos leem os manuais e os transformam em rotinas mentais por meio da prática (</w:t>
            </w:r>
            <w:r>
              <w:rPr>
                <w:rFonts w:ascii="Arial" w:hAnsi="Arial"/>
                <w:b w:val="0"/>
                <w:i/>
                <w:color w:val="111827"/>
                <w:sz w:val="21"/>
              </w:rPr>
              <w:t>aprender fazendo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aprendizagem em circuito simples é conceito de Argyris e Schön voltado à correção operacional mecânica de desvios, estranho aos modos de conversão da teoria de Nonaka e Takeuchi.</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Analista de Gestão Pública – DPE-RS)</w:t>
      </w:r>
    </w:p>
    <w:p>
      <w:pPr>
        <w:spacing w:line="360" w:lineRule="auto" w:before="0" w:after="80"/>
        <w:jc w:val="both"/>
      </w:pPr>
      <w:r>
        <w:rPr>
          <w:rFonts w:ascii="Arial" w:hAnsi="Arial"/>
          <w:b w:val="0"/>
          <w:i w:val="0"/>
          <w:color w:val="111827"/>
          <w:sz w:val="24"/>
        </w:rPr>
        <w:t>Para avaliar o impacto de um programa de treinamento sobre a nova Lei de Licitações e Contratos (Lei nº 14.133/2021) ofertado aos pregoeiros de uma entidade governamental, a área de Gestão de Pessoas realizou uma pesquisa formal 60 dias após o encerramento do curso, acompanhando a redução do índice de despachos devolvidos por vícios formais e observando se as minutas contratuais elaboradas pelos servidores incorporavam os novos entendimentos ensinados. Consoante a metodologia de avaliação de treinamento em quatro níveis desenvolvida por Donald Kirkpatrick, a medição realizada corresponde ao: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Nível 1 – Reação.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Nível 2 – Aprendizagem.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Nível 3 – Comportamento no Cargo (Transferência).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Nível 4 – Retorno Financeiro sobre o Investimento (ROI).</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Nível 5 – Clima Institucional e Motivação Relacional.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Nível 1 (Reação) afere a satisfação dos alunos com o instrutor e as instalações ao término da aula (pesquisa de opinião imediata).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Nível 2 (Aprendizagem) avalia a retenção de conceitos mediante provas aplicadas imediatamente ao final do treinamento.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w:t>
            </w:r>
            <w:r>
              <w:rPr>
                <w:rFonts w:ascii="Arial" w:hAnsi="Arial"/>
                <w:b/>
                <w:i w:val="0"/>
                <w:color w:val="111827"/>
                <w:sz w:val="21"/>
              </w:rPr>
              <w:t>Nível 3 (Comportamento no Cargo ou Transferência do Aprendizado)</w:t>
            </w:r>
            <w:r>
              <w:rPr>
                <w:rFonts w:ascii="Arial" w:hAnsi="Arial"/>
                <w:b w:val="0"/>
                <w:i w:val="0"/>
                <w:color w:val="111827"/>
                <w:sz w:val="21"/>
              </w:rPr>
              <w:t xml:space="preserve"> avalia a extensão em que os participantes aplicaram e transferiram efetivamente os novos saberes para as suas rotinas diárias no posto de trabalho. Ao verificar, após 60 dias de prática real, se as minutas e condutas dos servidores foram alteradas, a organização está medindo a modificação comportamental funcional.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Nível 4 (Resultados) avalia impactos globais institucionais na estratégia corporativa, e o ROI financeiro foi estruturado como 5º nível por Jack Phillips.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modelo original de Kirkpatrick contempla 4 níveis e não prevê clima institucional como nível autônomo de avaliação.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Técnico de Controle Externo – Área Administrativa – TCE-AP)</w:t>
      </w:r>
    </w:p>
    <w:p>
      <w:pPr>
        <w:spacing w:line="360" w:lineRule="auto" w:before="0" w:after="80"/>
        <w:jc w:val="both"/>
      </w:pPr>
      <w:r>
        <w:rPr>
          <w:rFonts w:ascii="Arial" w:hAnsi="Arial"/>
          <w:b w:val="0"/>
          <w:i w:val="0"/>
          <w:color w:val="111827"/>
          <w:sz w:val="24"/>
        </w:rPr>
        <w:t xml:space="preserve">No âmbito da administração de recursos humanos, as ações voltadas para Treinamento e as ações voltadas para Desenvolvimento de Pessoas distinguem-se primordialmente em razão de seus horizontes temporais e de seus objetivos funcionais. Assinale a opção que caracteriza com precisão uma ação clássica de </w:t>
      </w:r>
      <w:r>
        <w:rPr>
          <w:rFonts w:ascii="Arial" w:hAnsi="Arial"/>
          <w:b/>
          <w:i w:val="0"/>
          <w:color w:val="111827"/>
          <w:sz w:val="24"/>
        </w:rPr>
        <w:t>Desenvolvimento de Pessoas</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Realização de oficina prática de 4 horas para ensinar os servidores recém-lotados a emitir certidões no módulo de protocolo recém-implantado.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Aplicação de curso intensivo para operadores de máquinas de reprografia sanarem problemas mecânicos frequentes em seus aparelhos.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Implementação de um programa corporativo de liderança transformadora e governança pública voltado a preparar analistas para assumirem funções de direção e planejamento estratégico nos próximos anos.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Instrução sumária da equipe de atendimento sobre como cadastrar visitantes no balcão da portaria do edifício-sede.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Treinamento emergencial sobre normas de combate a incêndio promovido pela brigada de segurança predial.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Trata-se de ação típica de </w:t>
            </w:r>
            <w:r>
              <w:rPr>
                <w:rFonts w:ascii="Arial" w:hAnsi="Arial"/>
                <w:b/>
                <w:i w:val="0"/>
                <w:color w:val="111827"/>
                <w:sz w:val="21"/>
              </w:rPr>
              <w:t>Treinamento</w:t>
            </w:r>
            <w:r>
              <w:rPr>
                <w:rFonts w:ascii="Arial" w:hAnsi="Arial"/>
                <w:b w:val="0"/>
                <w:i w:val="0"/>
                <w:color w:val="111827"/>
                <w:sz w:val="21"/>
              </w:rPr>
              <w:t>: foco no cargo atual, curto prazo e suprimento de carência operacional pontual.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Foco exclusivo na execução de tarefas do posto de trabalho atual com finalidade corretiva imediata (treinamento operacional).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w:t>
            </w:r>
            <w:r>
              <w:rPr>
                <w:rFonts w:ascii="Arial" w:hAnsi="Arial"/>
                <w:b/>
                <w:i w:val="0"/>
                <w:color w:val="111827"/>
                <w:sz w:val="21"/>
              </w:rPr>
              <w:t>Desenvolvimento de Pessoas</w:t>
            </w:r>
            <w:r>
              <w:rPr>
                <w:rFonts w:ascii="Arial" w:hAnsi="Arial"/>
                <w:b w:val="0"/>
                <w:i w:val="0"/>
                <w:color w:val="111827"/>
                <w:sz w:val="21"/>
              </w:rPr>
              <w:t xml:space="preserve"> caracteriza-se pelo foco no </w:t>
            </w:r>
            <w:r>
              <w:rPr>
                <w:rFonts w:ascii="Arial" w:hAnsi="Arial"/>
                <w:b/>
                <w:i w:val="0"/>
                <w:color w:val="111827"/>
                <w:sz w:val="21"/>
              </w:rPr>
              <w:t>longo prazo</w:t>
            </w:r>
            <w:r>
              <w:rPr>
                <w:rFonts w:ascii="Arial" w:hAnsi="Arial"/>
                <w:b w:val="0"/>
                <w:i w:val="0"/>
                <w:color w:val="111827"/>
                <w:sz w:val="21"/>
              </w:rPr>
              <w:t xml:space="preserve">, na expansão de competências abrangentes, no crescimento intelectual contínuo e na preparação dos servidores para </w:t>
            </w:r>
            <w:r>
              <w:rPr>
                <w:rFonts w:ascii="Arial" w:hAnsi="Arial"/>
                <w:b/>
                <w:i w:val="0"/>
                <w:color w:val="111827"/>
                <w:sz w:val="21"/>
              </w:rPr>
              <w:t>cargos futuros</w:t>
            </w:r>
            <w:r>
              <w:rPr>
                <w:rFonts w:ascii="Arial" w:hAnsi="Arial"/>
                <w:b w:val="0"/>
                <w:i w:val="0"/>
                <w:color w:val="111827"/>
                <w:sz w:val="21"/>
              </w:rPr>
              <w:t>, desafios estratégicos e planos de sucessão institucional, como demonstrado pelo programa de liderança e governança.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Instrução técnica e pontual vinculada estritamente às tarefas rotineiras do cargo presente (treinamento operacional).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Capacitação específica de curto prazo para segurança física no local de trabalho (treinamento instrucional).</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Analista de Controle Externo – TCE-RO)</w:t>
      </w:r>
    </w:p>
    <w:p>
      <w:pPr>
        <w:spacing w:line="360" w:lineRule="auto" w:before="0" w:after="80"/>
        <w:jc w:val="both"/>
      </w:pPr>
      <w:r>
        <w:rPr>
          <w:rFonts w:ascii="Arial" w:hAnsi="Arial"/>
          <w:b w:val="0"/>
          <w:i w:val="0"/>
          <w:color w:val="111827"/>
          <w:sz w:val="24"/>
        </w:rPr>
        <w:t>Em sua consagrada obra sobre organizações que aprendem (</w:t>
      </w:r>
      <w:r>
        <w:rPr>
          <w:rFonts w:ascii="Arial" w:hAnsi="Arial"/>
          <w:b w:val="0"/>
          <w:i/>
          <w:color w:val="111827"/>
          <w:sz w:val="24"/>
        </w:rPr>
        <w:t>Learning Organizations</w:t>
      </w:r>
      <w:r>
        <w:rPr>
          <w:rFonts w:ascii="Arial" w:hAnsi="Arial"/>
          <w:b w:val="0"/>
          <w:i w:val="0"/>
          <w:color w:val="111827"/>
          <w:sz w:val="24"/>
        </w:rPr>
        <w:t>), Peter Senge afirma que uma disciplina específica atua como a pedra angular e a força integradora de todas as demais, permitindo aos líderes e gestores compreenderem que a organização pública é um sistema vivo composto por inter-relações interdependentes, no qual as soluções fáceis que atacam apenas sintomas de curto prazo costumam agravar os problemas estruturais de longo prazo. Essa disciplina integradora é denominada por Senge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Domínio Pessoal.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Modelos Mentais.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Visão Compartilhada.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Aprendizagem em Equipe.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Pensamento Sistêmico.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Domínio Pessoal é a disciplina voltada ao crescimento e autoconhecimento individual.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Os Modelos Mentais referem-se à capacidade de expor e questionar pressupostos e crenças internalizadas sobre como a realidade funciona.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Visão Compartilhada é a construção de um objetivo e identidade coletivos que mobilizam o compromisso autêntico da equipe.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Aprendizagem em Equipe fundamenta-se no diálogo honesto para gerar inteligência coletiva superior.</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CORRETA.</w:t>
            </w:r>
            <w:r>
              <w:rPr>
                <w:rFonts w:ascii="Arial" w:hAnsi="Arial"/>
                <w:b w:val="0"/>
                <w:i w:val="0"/>
                <w:color w:val="111827"/>
                <w:sz w:val="21"/>
              </w:rPr>
              <w:t xml:space="preserve"> O </w:t>
            </w:r>
            <w:r>
              <w:rPr>
                <w:rFonts w:ascii="Arial" w:hAnsi="Arial"/>
                <w:b/>
                <w:i w:val="0"/>
                <w:color w:val="111827"/>
                <w:sz w:val="21"/>
              </w:rPr>
              <w:t>Pensamento Sistêmico (a Quinta Disciplina)</w:t>
            </w:r>
            <w:r>
              <w:rPr>
                <w:rFonts w:ascii="Arial" w:hAnsi="Arial"/>
                <w:b w:val="0"/>
                <w:i w:val="0"/>
                <w:color w:val="111827"/>
                <w:sz w:val="21"/>
              </w:rPr>
              <w:t xml:space="preserve"> é expressamente definido por Peter Senge como a </w:t>
            </w:r>
            <w:r>
              <w:rPr>
                <w:rFonts w:ascii="Arial" w:hAnsi="Arial"/>
                <w:b/>
                <w:i w:val="0"/>
                <w:color w:val="111827"/>
                <w:sz w:val="21"/>
              </w:rPr>
              <w:t>disciplina conceitual e integradora</w:t>
            </w:r>
            <w:r>
              <w:rPr>
                <w:rFonts w:ascii="Arial" w:hAnsi="Arial"/>
                <w:b w:val="0"/>
                <w:i w:val="0"/>
                <w:color w:val="111827"/>
                <w:sz w:val="21"/>
              </w:rPr>
              <w:t xml:space="preserve"> que reúne todas as demais em um corpo coerente de teoria e prática. É o método de pensar que permite enxergar padrões, estruturas subjacentes e ciclos de feedback interdependentes, em vez de instantâneos estáticos e causas lineares isoladas.</w:t>
            </w:r>
          </w:p>
          <w:p>
            <w:pPr>
              <w:spacing w:line="288" w:lineRule="auto" w:before="120" w:after="80"/>
            </w:pPr>
            <w:r>
              <w:rPr>
                <w:rFonts w:ascii="Arial" w:hAnsi="Arial"/>
                <w:b/>
                <w:i w:val="0"/>
                <w:color w:val="047857"/>
                <w:sz w:val="22"/>
              </w:rPr>
              <w:t>Gabarito: E</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Analista Judiciário – Área Judiciária – TRT-15ª)</w:t>
      </w:r>
    </w:p>
    <w:p>
      <w:pPr>
        <w:spacing w:line="360" w:lineRule="auto" w:before="0" w:after="80"/>
        <w:jc w:val="both"/>
      </w:pPr>
      <w:r>
        <w:rPr>
          <w:rFonts w:ascii="Arial" w:hAnsi="Arial"/>
          <w:b w:val="0"/>
          <w:i w:val="0"/>
          <w:color w:val="111827"/>
          <w:sz w:val="24"/>
        </w:rPr>
        <w:t>Dois teóricos fundamentais do comportamento organizacional, Chris Argyris e Donald Schön, formularam a distinção seminal entre a aprendizagem em circuito simples (</w:t>
      </w:r>
      <w:r>
        <w:rPr>
          <w:rFonts w:ascii="Arial" w:hAnsi="Arial"/>
          <w:b w:val="0"/>
          <w:i/>
          <w:color w:val="111827"/>
          <w:sz w:val="24"/>
        </w:rPr>
        <w:t>single-loop</w:t>
      </w:r>
      <w:r>
        <w:rPr>
          <w:rFonts w:ascii="Arial" w:hAnsi="Arial"/>
          <w:b w:val="0"/>
          <w:i w:val="0"/>
          <w:color w:val="111827"/>
          <w:sz w:val="24"/>
        </w:rPr>
        <w:t>) e a aprendizagem em circuito duplo (</w:t>
      </w:r>
      <w:r>
        <w:rPr>
          <w:rFonts w:ascii="Arial" w:hAnsi="Arial"/>
          <w:b w:val="0"/>
          <w:i/>
          <w:color w:val="111827"/>
          <w:sz w:val="24"/>
        </w:rPr>
        <w:t>double-loop</w:t>
      </w:r>
      <w:r>
        <w:rPr>
          <w:rFonts w:ascii="Arial" w:hAnsi="Arial"/>
          <w:b w:val="0"/>
          <w:i w:val="0"/>
          <w:color w:val="111827"/>
          <w:sz w:val="24"/>
        </w:rPr>
        <w:t xml:space="preserve">). Assinale a afirmativa que define corretamente a </w:t>
      </w:r>
      <w:r>
        <w:rPr>
          <w:rFonts w:ascii="Arial" w:hAnsi="Arial"/>
          <w:b/>
          <w:i w:val="0"/>
          <w:color w:val="111827"/>
          <w:sz w:val="24"/>
        </w:rPr>
        <w:t>aprendizagem em circuito duplo</w:t>
      </w:r>
      <w:r>
        <w:rPr>
          <w:rFonts w:ascii="Arial" w:hAnsi="Arial"/>
          <w:b w:val="0"/>
          <w:i w:val="0"/>
          <w:color w:val="111827"/>
          <w:sz w:val="24"/>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Ocorre quando o gestor, diante de um erro processual, limita-se a punir o servidor faltoso e aumentar a vigilância sobre as planilhas existentes sem alterar fluxos.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Consiste na mera repetição mecânica de rotinas operacionais até que a taxa de erro estatístico atinja níveis próximos de zero.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Verifica-se quando os atores organizacionais identificam uma anomalia e modificam as rotinas imediatas sem qualquer reflexão sobre os valores e objetivos fundantes da instituição.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Caracteriza-se pelo processo em que a organização, ao detectar erros e desvios, confronta e questiona criticamente as premissas subjacentes, as normas vigentes e os valores orientadores das políticas institucionais, reformulando seus padrões estruturais.</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Representa a aquisição estritamente individual de novos conhecimentos teóricos pelo colaborador sem qualquer possibilidade de compartilhamento coletivo com seus pares.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Punição burocrática e controle disciplinar não constituem aprendizagem em circuito duplo.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repetição mecânica de rotinas é condicionamento instrumental pavloviano, oposto da aprendizagem reflexiva.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Modificar rotinas sem questionar valores e políticas subjacentes é a definição exata de **aprendizagem em circuito simples (</w:t>
            </w:r>
            <w:r>
              <w:rPr>
                <w:rFonts w:ascii="Arial" w:hAnsi="Arial"/>
                <w:b w:val="0"/>
                <w:i/>
                <w:color w:val="111827"/>
                <w:sz w:val="21"/>
              </w:rPr>
              <w:t>single-loop</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CORRETA.</w:t>
            </w:r>
            <w:r>
              <w:rPr>
                <w:rFonts w:ascii="Arial" w:hAnsi="Arial"/>
                <w:b w:val="0"/>
                <w:i w:val="0"/>
                <w:color w:val="111827"/>
                <w:sz w:val="21"/>
              </w:rPr>
              <w:t xml:space="preserve"> A **aprendizagem em circuito duplo (</w:t>
            </w:r>
            <w:r>
              <w:rPr>
                <w:rFonts w:ascii="Arial" w:hAnsi="Arial"/>
                <w:b w:val="0"/>
                <w:i/>
                <w:color w:val="111827"/>
                <w:sz w:val="21"/>
              </w:rPr>
              <w:t>double-loop</w:t>
            </w:r>
            <w:r>
              <w:rPr>
                <w:rFonts w:ascii="Arial" w:hAnsi="Arial"/>
                <w:b w:val="0"/>
                <w:i w:val="0"/>
                <w:color w:val="111827"/>
                <w:sz w:val="21"/>
              </w:rPr>
              <w:t>)</w:t>
            </w:r>
            <w:r>
              <w:rPr>
                <w:rFonts w:ascii="Arial" w:hAnsi="Arial"/>
                <w:b/>
                <w:i w:val="0"/>
                <w:color w:val="111827"/>
                <w:sz w:val="21"/>
              </w:rPr>
              <w:t xml:space="preserve"> ocorre precisamente quando a organização não se contenta em aplicar correções superficiais em procedimentos prévios, mas </w:t>
            </w:r>
            <w:r>
              <w:rPr>
                <w:rFonts w:ascii="Arial" w:hAnsi="Arial"/>
                <w:b w:val="0"/>
                <w:i w:val="0"/>
                <w:color w:val="111827"/>
                <w:sz w:val="21"/>
              </w:rPr>
              <w:t>questiona criticamente as normas, valores, objetivos e premissas fundamentais** que orientavam a conduta anterior, reestruturando a lógica do próprio sistema organizacional.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aprendizagem individual isolada não reflete a dimensão da aprendizagem em circuito duplo descrita por Argyris e Schön.</w:t>
            </w:r>
          </w:p>
          <w:p>
            <w:pPr>
              <w:spacing w:line="288" w:lineRule="auto" w:before="120" w:after="80"/>
            </w:pPr>
            <w:r>
              <w:rPr>
                <w:rFonts w:ascii="Arial" w:hAnsi="Arial"/>
                <w:b/>
                <w:i w:val="0"/>
                <w:color w:val="047857"/>
                <w:sz w:val="22"/>
              </w:rPr>
              <w:t>Gabarito: D</w:t>
            </w:r>
          </w:p>
        </w:tc>
      </w:tr>
    </w:tbl>
    <w:p>
      <w:pPr>
        <w:spacing w:before="0" w:after="120"/>
      </w:pPr>
    </w:p>
    <w:p>
      <w:r>
        <w:br w:type="page"/>
      </w:r>
    </w:p>
    <w:p>
      <w:pPr>
        <w:keepNext/>
        <w:spacing w:before="360" w:after="160"/>
      </w:pPr>
      <w:r>
        <w:rPr>
          <w:rFonts w:ascii="Arial" w:hAnsi="Arial"/>
          <w:b/>
          <w:i w:val="0"/>
          <w:color w:val="1B365D"/>
          <w:sz w:val="36"/>
        </w:rPr>
        <w:t>03 - Avaliação de Desempenho, Remuneração, Qualidade de Vida no Trabalho e Teletrabalho</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Gestão de Pessoas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 (TCE-GO)</w:t>
      </w:r>
    </w:p>
    <w:p>
      <w:pPr>
        <w:spacing w:line="240" w:lineRule="auto" w:before="20" w:after="40"/>
        <w:ind w:left="2268"/>
      </w:pPr>
      <w:r>
        <w:rPr>
          <w:rFonts w:ascii="Arial" w:hAnsi="Arial"/>
          <w:b/>
          <w:i w:val="0"/>
          <w:color w:val="4B5563"/>
          <w:sz w:val="20"/>
        </w:rPr>
        <w:t>Conteúdo Oficial:</w:t>
      </w:r>
      <w:r>
        <w:rPr>
          <w:rFonts w:ascii="Arial" w:hAnsi="Arial"/>
          <w:b w:val="0"/>
          <w:i w:val="0"/>
          <w:color w:val="4B5563"/>
          <w:sz w:val="20"/>
        </w:rPr>
        <w:t xml:space="preserve"> Gestão e Avaliação de Desempenho no Setor Público; Métodos Tradicionais e Modernos de Avaliação; Erros e Vieses Cognitivos do Avaliador; Estrutura Remuneratória e o Regime de Subsídio Constitucional; Qualidade de Vida no Trabalho (Modelo das 8 Dimensões de Richard Walton); Novas Modalidades de Trabalho (Teletrabalho, Gestão por Resultados e Direito à Desconexão).</w:t>
      </w:r>
    </w:p>
    <w:p>
      <w:pPr>
        <w:spacing w:after="120"/>
      </w:pPr>
    </w:p>
    <w:p>
      <w:pPr>
        <w:keepNext/>
        <w:spacing w:before="280" w:after="120"/>
      </w:pPr>
      <w:r>
        <w:rPr>
          <w:rFonts w:ascii="Arial" w:hAnsi="Arial"/>
          <w:b/>
          <w:i w:val="0"/>
          <w:color w:val="2C5282"/>
          <w:sz w:val="28"/>
        </w:rPr>
        <w:t>📌 Ementa &amp; Delimitação do Conteúdo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Gestão e Avaliação de Desempenho Funcional: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Conceito, objetivos e finalidades na administração pública: subsídio para o estágio probatório, concessão de progressões e promoções funcionais, diagnóstico de necessidades de treinamento e melhoria dos serviços aos cidadãos;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Alocação no macroprocesso de </w:t>
      </w:r>
      <w:r>
        <w:rPr>
          <w:rFonts w:ascii="Arial" w:hAnsi="Arial"/>
          <w:b/>
          <w:i w:val="0"/>
          <w:color w:val="111827"/>
          <w:sz w:val="22"/>
        </w:rPr>
        <w:t>Aplicar Pessoas</w:t>
      </w:r>
      <w:r>
        <w:rPr>
          <w:rFonts w:ascii="Arial" w:hAnsi="Arial"/>
          <w:b w:val="0"/>
          <w:i w:val="0"/>
          <w:color w:val="111827"/>
          <w:sz w:val="22"/>
        </w:rPr>
        <w:t xml:space="preserve"> (modelo de Idalberto Chiavenato);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Os papéis na avaliação: autoavaliação, avaliação pelo gestor imediato, avaliação pela equipe e avaliação institucional.</w:t>
      </w:r>
    </w:p>
    <w:p>
      <w:pPr>
        <w:spacing w:line="276" w:lineRule="auto" w:before="20" w:after="40"/>
        <w:ind w:left="425"/>
      </w:pPr>
      <w:r>
        <w:rPr>
          <w:rFonts w:ascii="Arial" w:hAnsi="Arial"/>
          <w:b/>
          <w:color w:val="1B365D"/>
          <w:sz w:val="22"/>
        </w:rPr>
        <w:t xml:space="preserve">2. </w:t>
      </w:r>
      <w:r>
        <w:rPr>
          <w:rFonts w:ascii="Arial" w:hAnsi="Arial"/>
          <w:b/>
          <w:i w:val="0"/>
          <w:color w:val="111827"/>
          <w:sz w:val="22"/>
        </w:rPr>
        <w:t>Métodos de Avaliação de Desempenho:</w:t>
      </w:r>
    </w:p>
    <w:p>
      <w:pPr>
        <w:spacing w:line="276" w:lineRule="auto" w:before="20" w:after="40"/>
        <w:ind w:left="992"/>
      </w:pPr>
      <w:r>
        <w:rPr>
          <w:rFonts w:ascii="Arial" w:hAnsi="Arial"/>
          <w:b/>
          <w:color w:val="2B6CB0"/>
          <w:sz w:val="22"/>
        </w:rPr>
        <w:t xml:space="preserve">• </w:t>
      </w:r>
      <w:r>
        <w:rPr>
          <w:rFonts w:ascii="Arial" w:hAnsi="Arial"/>
          <w:b/>
          <w:i w:val="0"/>
          <w:color w:val="111827"/>
          <w:sz w:val="22"/>
        </w:rPr>
        <w:t>Métodos Tradicionais:</w:t>
      </w:r>
    </w:p>
    <w:p>
      <w:pPr>
        <w:spacing w:line="276" w:lineRule="auto" w:before="20" w:after="40"/>
        <w:ind w:left="992"/>
      </w:pPr>
      <w:r>
        <w:rPr>
          <w:rFonts w:ascii="Arial" w:hAnsi="Arial"/>
          <w:b/>
          <w:color w:val="2B6CB0"/>
          <w:sz w:val="22"/>
        </w:rPr>
        <w:t xml:space="preserve">• </w:t>
      </w:r>
      <w:r>
        <w:rPr>
          <w:rFonts w:ascii="Arial" w:hAnsi="Arial"/>
          <w:b w:val="0"/>
          <w:i/>
          <w:color w:val="111827"/>
          <w:sz w:val="22"/>
        </w:rPr>
        <w:t>Escalas Gráficas:</w:t>
      </w:r>
      <w:r>
        <w:rPr>
          <w:rFonts w:ascii="Arial" w:hAnsi="Arial"/>
          <w:b w:val="0"/>
          <w:i w:val="0"/>
          <w:color w:val="111827"/>
          <w:sz w:val="22"/>
        </w:rPr>
        <w:t xml:space="preserve"> tabela de dupla entrada, fatores de avaliação graduados; simplicidade operacional vs. alta subjetividade e superficialidade;</w:t>
      </w:r>
    </w:p>
    <w:p>
      <w:pPr>
        <w:spacing w:line="276" w:lineRule="auto" w:before="20" w:after="40"/>
        <w:ind w:left="992"/>
      </w:pPr>
      <w:r>
        <w:rPr>
          <w:rFonts w:ascii="Arial" w:hAnsi="Arial"/>
          <w:b/>
          <w:color w:val="2B6CB0"/>
          <w:sz w:val="22"/>
        </w:rPr>
        <w:t xml:space="preserve">• </w:t>
      </w:r>
      <w:r>
        <w:rPr>
          <w:rFonts w:ascii="Arial" w:hAnsi="Arial"/>
          <w:b w:val="0"/>
          <w:i/>
          <w:color w:val="111827"/>
          <w:sz w:val="22"/>
        </w:rPr>
        <w:t>Escolha Forçada:</w:t>
      </w:r>
      <w:r>
        <w:rPr>
          <w:rFonts w:ascii="Arial" w:hAnsi="Arial"/>
          <w:b w:val="0"/>
          <w:i w:val="0"/>
          <w:color w:val="111827"/>
          <w:sz w:val="22"/>
        </w:rPr>
        <w:t xml:space="preserve"> blocos de frases alternativas (positivas e neutras) com escolha obrigatória; mitigação de complacência vs. impossibilidade de feedback construtivo;</w:t>
      </w:r>
    </w:p>
    <w:p>
      <w:pPr>
        <w:spacing w:line="276" w:lineRule="auto" w:before="20" w:after="40"/>
        <w:ind w:left="992"/>
      </w:pPr>
      <w:r>
        <w:rPr>
          <w:rFonts w:ascii="Arial" w:hAnsi="Arial"/>
          <w:b/>
          <w:color w:val="2B6CB0"/>
          <w:sz w:val="22"/>
        </w:rPr>
        <w:t xml:space="preserve">• </w:t>
      </w:r>
      <w:r>
        <w:rPr>
          <w:rFonts w:ascii="Arial" w:hAnsi="Arial"/>
          <w:b w:val="0"/>
          <w:i/>
          <w:color w:val="111827"/>
          <w:sz w:val="22"/>
        </w:rPr>
        <w:t>Incidentes Críticos:</w:t>
      </w:r>
      <w:r>
        <w:rPr>
          <w:rFonts w:ascii="Arial" w:hAnsi="Arial"/>
          <w:b w:val="0"/>
          <w:i w:val="0"/>
          <w:color w:val="111827"/>
          <w:sz w:val="22"/>
        </w:rPr>
        <w:t xml:space="preserve"> anotação exclusiva de comportamentos extremos altamente positivos ou falhas graves; foco em dados reais vs. omissão da rotina habitual;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Pesquisa de Campo:</w:t>
      </w:r>
      <w:r>
        <w:rPr>
          <w:rFonts w:ascii="Arial" w:hAnsi="Arial"/>
          <w:b w:val="0"/>
          <w:i w:val="0"/>
          <w:color w:val="111827"/>
          <w:sz w:val="22"/>
        </w:rPr>
        <w:t xml:space="preserve"> condução por especialista de RH em conjunto com cada chefia direta; profundidade diagnóstica vs. elevado custo orçamentário e morosidade operacional;</w:t>
      </w:r>
    </w:p>
    <w:p>
      <w:pPr>
        <w:spacing w:line="276" w:lineRule="auto" w:before="20" w:after="40"/>
        <w:ind w:left="992"/>
      </w:pPr>
      <w:r>
        <w:rPr>
          <w:rFonts w:ascii="Arial" w:hAnsi="Arial"/>
          <w:b/>
          <w:color w:val="2B6CB0"/>
          <w:sz w:val="22"/>
        </w:rPr>
        <w:t xml:space="preserve">• </w:t>
      </w:r>
      <w:r>
        <w:rPr>
          <w:rFonts w:ascii="Arial" w:hAnsi="Arial"/>
          <w:b w:val="0"/>
          <w:i/>
          <w:color w:val="111827"/>
          <w:sz w:val="22"/>
        </w:rPr>
        <w:t>Listas de Verificação (Checklists).</w:t>
      </w:r>
    </w:p>
    <w:p>
      <w:pPr>
        <w:spacing w:line="276" w:lineRule="auto" w:before="20" w:after="40"/>
        <w:ind w:left="992"/>
      </w:pPr>
      <w:r>
        <w:rPr>
          <w:rFonts w:ascii="Arial" w:hAnsi="Arial"/>
          <w:b/>
          <w:color w:val="2B6CB0"/>
          <w:sz w:val="22"/>
        </w:rPr>
        <w:t xml:space="preserve">• </w:t>
      </w:r>
      <w:r>
        <w:rPr>
          <w:rFonts w:ascii="Arial" w:hAnsi="Arial"/>
          <w:b/>
          <w:i w:val="0"/>
          <w:color w:val="111827"/>
          <w:sz w:val="22"/>
        </w:rPr>
        <w:t>Métodos Modernos e Participativos:</w:t>
      </w:r>
    </w:p>
    <w:p>
      <w:pPr>
        <w:spacing w:line="276" w:lineRule="auto" w:before="20" w:after="40"/>
        <w:ind w:left="992"/>
      </w:pPr>
      <w:r>
        <w:rPr>
          <w:rFonts w:ascii="Arial" w:hAnsi="Arial"/>
          <w:b/>
          <w:color w:val="2B6CB0"/>
          <w:sz w:val="22"/>
        </w:rPr>
        <w:t xml:space="preserve">• </w:t>
      </w:r>
      <w:r>
        <w:rPr>
          <w:rFonts w:ascii="Arial" w:hAnsi="Arial"/>
          <w:b w:val="0"/>
          <w:i/>
          <w:color w:val="111827"/>
          <w:sz w:val="22"/>
        </w:rPr>
        <w:t>Avaliação por Objetivos / Metas (APO Participativa):</w:t>
      </w:r>
      <w:r>
        <w:rPr>
          <w:rFonts w:ascii="Arial" w:hAnsi="Arial"/>
          <w:b w:val="0"/>
          <w:i w:val="0"/>
          <w:color w:val="111827"/>
          <w:sz w:val="22"/>
        </w:rPr>
        <w:t xml:space="preserve"> pactuação prévia e consensual de metas, acompanhamento contínuo e autoavaliação orientada ao futuro;</w:t>
      </w:r>
    </w:p>
    <w:p>
      <w:pPr>
        <w:spacing w:line="276" w:lineRule="auto" w:before="20" w:after="40"/>
        <w:ind w:left="992"/>
      </w:pPr>
      <w:r>
        <w:rPr>
          <w:rFonts w:ascii="Arial" w:hAnsi="Arial"/>
          <w:b/>
          <w:color w:val="2B6CB0"/>
          <w:sz w:val="22"/>
        </w:rPr>
        <w:t xml:space="preserve">• </w:t>
      </w:r>
      <w:r>
        <w:rPr>
          <w:rFonts w:ascii="Arial" w:hAnsi="Arial"/>
          <w:b w:val="0"/>
          <w:i/>
          <w:color w:val="111827"/>
          <w:sz w:val="22"/>
        </w:rPr>
        <w:t>Avaliação 360 Graus (Circular ou Múltiplas Fontes):</w:t>
      </w:r>
      <w:r>
        <w:rPr>
          <w:rFonts w:ascii="Arial" w:hAnsi="Arial"/>
          <w:b w:val="0"/>
          <w:i w:val="0"/>
          <w:color w:val="111827"/>
          <w:sz w:val="22"/>
        </w:rPr>
        <w:t xml:space="preserve"> visão sistêmica envolvendo superior imediato, pares, subordinados, usuários do serviço e autoavaliação; riqueza de perspectivas vs. risco de complacência ou alianças espúrias.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Erros, Vieses e Distorções Cognitivas do Avaliador: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Efeito Halo (</w:t>
      </w:r>
      <w:r>
        <w:rPr>
          <w:rFonts w:ascii="Arial" w:hAnsi="Arial"/>
          <w:b w:val="0"/>
          <w:i/>
          <w:color w:val="111827"/>
          <w:sz w:val="22"/>
        </w:rPr>
        <w:t>halo effect</w:t>
      </w:r>
      <w:r>
        <w:rPr>
          <w:rFonts w:ascii="Arial" w:hAnsi="Arial"/>
          <w:b w:val="0"/>
          <w:i w:val="0"/>
          <w:color w:val="111827"/>
          <w:sz w:val="22"/>
        </w:rPr>
        <w:t>) e Efeito Horn: contaminação generalizada a partir de um traço positivo ou negativo isolado;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Tendência Central: receio de atribuir notas extremas, nivelando todos os servidores na nota mediana;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Erro de Recenticidade (Recência): supervalorização dos eventos das últimas semanas em detrimento do desempenho anual;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Complacência / Leniência: atribuição benevolente de notas máximas para evitar atritos com a equipe;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Rigor Excessivo / Severidade: exigência implacável e atribuição generalizada de notas rebaixadas;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Erro de Semelhança (</w:t>
      </w:r>
      <w:r>
        <w:rPr>
          <w:rFonts w:ascii="Arial" w:hAnsi="Arial"/>
          <w:b w:val="0"/>
          <w:i/>
          <w:color w:val="111827"/>
          <w:sz w:val="22"/>
        </w:rPr>
        <w:t>Similar-to-me</w:t>
      </w:r>
      <w:r>
        <w:rPr>
          <w:rFonts w:ascii="Arial" w:hAnsi="Arial"/>
          <w:b w:val="0"/>
          <w:i w:val="0"/>
          <w:color w:val="111827"/>
          <w:sz w:val="22"/>
        </w:rPr>
        <w:t>) e Erro de Contraste: comparação do servidor consigo mesmo ou com o colega avaliado anteriormente.</w:t>
      </w:r>
    </w:p>
    <w:p>
      <w:pPr>
        <w:spacing w:line="276" w:lineRule="auto" w:before="20" w:after="40"/>
        <w:ind w:left="425"/>
      </w:pPr>
      <w:r>
        <w:rPr>
          <w:rFonts w:ascii="Arial" w:hAnsi="Arial"/>
          <w:b/>
          <w:color w:val="1B365D"/>
          <w:sz w:val="22"/>
        </w:rPr>
        <w:t xml:space="preserve">4. </w:t>
      </w:r>
      <w:r>
        <w:rPr>
          <w:rFonts w:ascii="Arial" w:hAnsi="Arial"/>
          <w:b/>
          <w:i w:val="0"/>
          <w:color w:val="111827"/>
          <w:sz w:val="22"/>
        </w:rPr>
        <w:t>Remuneração, Benefícios e Planos de Carreira: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Componentes remuneratórios no setor público: vencimento básico vs. vantagens pecuniárias de caráter pessoal e funcional;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regime jurídico do </w:t>
      </w:r>
      <w:r>
        <w:rPr>
          <w:rFonts w:ascii="Arial" w:hAnsi="Arial"/>
          <w:b/>
          <w:i w:val="0"/>
          <w:color w:val="111827"/>
          <w:sz w:val="22"/>
        </w:rPr>
        <w:t>Subsídio Constitucional</w:t>
      </w:r>
      <w:r>
        <w:rPr>
          <w:rFonts w:ascii="Arial" w:hAnsi="Arial"/>
          <w:b w:val="0"/>
          <w:i w:val="0"/>
          <w:color w:val="111827"/>
          <w:sz w:val="22"/>
        </w:rPr>
        <w:t xml:space="preserve"> em parcela única (CF/88, art. 39, § 4º): vedações a acréscimos pecuniários e ressalva expressa às verbas indenizatórias;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Teto Remuneratório Constitucional (CF/88, art. 37, XI) e o abate-teto;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Progressão funcional (horizontal, na mesma classe) vs. Promoção (vertical, entre classes da mesma carreira).</w:t>
      </w:r>
    </w:p>
    <w:p>
      <w:pPr>
        <w:spacing w:line="276" w:lineRule="auto" w:before="20" w:after="40"/>
        <w:ind w:left="425"/>
      </w:pPr>
      <w:r>
        <w:rPr>
          <w:rFonts w:ascii="Arial" w:hAnsi="Arial"/>
          <w:b/>
          <w:color w:val="1B365D"/>
          <w:sz w:val="22"/>
        </w:rPr>
        <w:t xml:space="preserve">5. </w:t>
      </w:r>
      <w:r>
        <w:rPr>
          <w:rFonts w:ascii="Arial" w:hAnsi="Arial"/>
          <w:b/>
          <w:i w:val="0"/>
          <w:color w:val="111827"/>
          <w:sz w:val="22"/>
        </w:rPr>
        <w:t>Qualidade de Vida no Trabalho (QVT):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As 8 dimensões conceituais do modelo clássico de Richard Walton: Compensação justa e adequada, Condições de segurança e saúde, Uso e desenvolvimento de capacidades, Oportunidade de crescimento e segurança, Integração social, Constitucionalismo organizacional, Espaço total de vida e Relevância social da instituição.</w:t>
      </w:r>
    </w:p>
    <w:p>
      <w:pPr>
        <w:spacing w:line="276" w:lineRule="auto" w:before="20" w:after="40"/>
        <w:ind w:left="425"/>
      </w:pPr>
      <w:r>
        <w:rPr>
          <w:rFonts w:ascii="Arial" w:hAnsi="Arial"/>
          <w:b/>
          <w:color w:val="1B365D"/>
          <w:sz w:val="22"/>
        </w:rPr>
        <w:t xml:space="preserve">6. </w:t>
      </w:r>
      <w:r>
        <w:rPr>
          <w:rFonts w:ascii="Arial" w:hAnsi="Arial"/>
          <w:b/>
          <w:i w:val="0"/>
          <w:color w:val="111827"/>
          <w:sz w:val="22"/>
        </w:rPr>
        <w:t>Teletrabalho e Trabalho Híbrido no Setor Público: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Deslocamento do controle tradicional de ponto biométrico para a </w:t>
      </w:r>
      <w:r>
        <w:rPr>
          <w:rFonts w:ascii="Arial" w:hAnsi="Arial"/>
          <w:b/>
          <w:i w:val="0"/>
          <w:color w:val="111827"/>
          <w:sz w:val="22"/>
        </w:rPr>
        <w:t>gestão por resultados, metas pactuadas e entregas concretas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Vantagens institucionais: racionalização de despesas prediais, flexibilidade, retenção de talentos e sustentabilidade ambiental;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Riscos e cuidados ergonômicos: isolamento social, segurança cibernética de autos processuais e garantia do </w:t>
      </w:r>
      <w:r>
        <w:rPr>
          <w:rFonts w:ascii="Arial" w:hAnsi="Arial"/>
          <w:b/>
          <w:i w:val="0"/>
          <w:color w:val="111827"/>
          <w:sz w:val="22"/>
        </w:rPr>
        <w:t>direito à desconexão</w:t>
      </w:r>
      <w:r>
        <w:rPr>
          <w:rFonts w:ascii="Arial" w:hAnsi="Arial"/>
          <w:b w:val="0"/>
          <w:i w:val="0"/>
          <w:color w:val="111827"/>
          <w:sz w:val="22"/>
        </w:rPr>
        <w:t xml:space="preserve"> contra a Síndrome de </w:t>
      </w:r>
      <w:r>
        <w:rPr>
          <w:rFonts w:ascii="Arial" w:hAnsi="Arial"/>
          <w:b w:val="0"/>
          <w:i/>
          <w:color w:val="111827"/>
          <w:sz w:val="22"/>
        </w:rPr>
        <w:t>Burnout</w:t>
      </w:r>
      <w:r>
        <w:rPr>
          <w:rFonts w:ascii="Arial" w:hAnsi="Arial"/>
          <w:b w:val="0"/>
          <w:i w:val="0"/>
          <w:color w:val="111827"/>
          <w:sz w:val="22"/>
        </w:rPr>
        <w:t>.</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Gestão e Métodos de Avaliação de Desempenho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Erros, Vieses e Distorções Cognitivas do Avaliador</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Remuneração e Planos de Carreira no Setor Público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Qualidade de Vida no Trabalho (QVT): Modelo de Richard Walton</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Teletrabalho e Trabalho Híbrido no Setor Público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Questões de Concurso FCC Comentadas</w:t>
      </w:r>
    </w:p>
    <w:p>
      <w:pPr>
        <w:keepNext/>
        <w:spacing w:before="280" w:after="120"/>
      </w:pPr>
      <w:r>
        <w:rPr>
          <w:rFonts w:ascii="Arial" w:hAnsi="Arial"/>
          <w:b/>
          <w:i w:val="0"/>
          <w:color w:val="2C5282"/>
          <w:sz w:val="28"/>
        </w:rPr>
        <w:t>📖 Resumo Teórico Aprofundado &amp; Esquematizado</w:t>
      </w:r>
    </w:p>
    <w:p>
      <w:pPr>
        <w:keepNext/>
        <w:spacing w:before="200" w:after="80"/>
      </w:pPr>
      <w:r>
        <w:rPr>
          <w:rFonts w:ascii="Arial" w:hAnsi="Arial"/>
          <w:b/>
          <w:i w:val="0"/>
          <w:color w:val="2B6CB0"/>
          <w:sz w:val="24"/>
        </w:rPr>
        <w:t>1. Gestão e Métodos de Avaliação de Desempenho</w:t>
      </w:r>
    </w:p>
    <w:p>
      <w:pPr>
        <w:spacing w:line="360" w:lineRule="auto" w:before="0" w:after="80"/>
        <w:jc w:val="both"/>
      </w:pPr>
      <w:r>
        <w:rPr>
          <w:rFonts w:ascii="Arial" w:hAnsi="Arial"/>
          <w:b w:val="0"/>
          <w:i w:val="0"/>
          <w:color w:val="111827"/>
          <w:sz w:val="24"/>
        </w:rPr>
        <w:t xml:space="preserve">A avaliação de desempenho é uma apreciação sistemática do comportamento e da entrega funcional do servidor no exercício de suas atribuições. Integra o macroprocesso de </w:t>
      </w:r>
      <w:r>
        <w:rPr>
          <w:rFonts w:ascii="Arial" w:hAnsi="Arial"/>
          <w:b/>
          <w:i w:val="0"/>
          <w:color w:val="111827"/>
          <w:sz w:val="24"/>
        </w:rPr>
        <w:t>Aplicar Pessoas</w:t>
      </w:r>
      <w:r>
        <w:rPr>
          <w:rFonts w:ascii="Arial" w:hAnsi="Arial"/>
          <w:b w:val="0"/>
          <w:i w:val="0"/>
          <w:color w:val="111827"/>
          <w:sz w:val="24"/>
        </w:rPr>
        <w:t xml:space="preserve"> (Chiavenato).</w:t>
      </w:r>
    </w:p>
    <w:p>
      <w:pPr>
        <w:spacing w:after="120"/>
      </w:pPr>
    </w:p>
    <w:p>
      <w:pPr>
        <w:keepNext/>
        <w:spacing w:before="120" w:after="40"/>
      </w:pPr>
      <w:r>
        <w:rPr>
          <w:rFonts w:ascii="Arial" w:hAnsi="Arial"/>
          <w:b/>
          <w:i/>
          <w:color w:val="334155"/>
          <w:sz w:val="22"/>
        </w:rPr>
        <w:t>Comparativo Completo dos Métodos de Avaliação de Desempenho</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Método de Avaliação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Como Funciona na Prática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Principais Vantagens</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Principais Críticas / Desvantagens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Escalas Gráficas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Formulário em matriz: linhas com fatores predefinidos (ex.: produtividade, assiduidade) e colunas com notas em escala (ótimo, bom, regular, fraco).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Simples de elaborar, muito fácil de preencher e baixo custo financeiro.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Extremamente superficial; estimula a </w:t>
            </w:r>
            <w:r>
              <w:rPr>
                <w:rFonts w:ascii="Arial" w:hAnsi="Arial"/>
                <w:b/>
                <w:i w:val="0"/>
                <w:color w:val="111827"/>
                <w:sz w:val="19"/>
              </w:rPr>
              <w:t>tendência central</w:t>
            </w:r>
            <w:r>
              <w:rPr>
                <w:rFonts w:ascii="Arial" w:hAnsi="Arial"/>
                <w:b w:val="0"/>
                <w:i w:val="0"/>
                <w:color w:val="111827"/>
                <w:sz w:val="19"/>
              </w:rPr>
              <w:t xml:space="preserve"> e o </w:t>
            </w:r>
            <w:r>
              <w:rPr>
                <w:rFonts w:ascii="Arial" w:hAnsi="Arial"/>
                <w:b/>
                <w:i w:val="0"/>
                <w:color w:val="111827"/>
                <w:sz w:val="19"/>
              </w:rPr>
              <w:t>efeito halo</w:t>
            </w:r>
            <w:r>
              <w:rPr>
                <w:rFonts w:ascii="Arial" w:hAnsi="Arial"/>
                <w:b w:val="0"/>
                <w:i w:val="0"/>
                <w:color w:val="111827"/>
                <w:sz w:val="19"/>
              </w:rPr>
              <w:t>; trata o avaliado de modo padronizado.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Escolha Forçada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Blocos de duas ou quatro frases descritivas (positivas/neutras). O gestor é obrigado a escolher a frase que mais descreve e a que menos descreve o servidor.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Neutraliza a subjetividade</w:t>
            </w:r>
            <w:r>
              <w:rPr>
                <w:rFonts w:ascii="Arial" w:hAnsi="Arial"/>
                <w:b w:val="0"/>
                <w:i w:val="0"/>
                <w:color w:val="111827"/>
                <w:sz w:val="19"/>
              </w:rPr>
              <w:t>, o favoritismo pessoal e a complacência do gestor.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Método complexo de montar; gera desconfiança no gestor; </w:t>
            </w:r>
            <w:r>
              <w:rPr>
                <w:rFonts w:ascii="Arial" w:hAnsi="Arial"/>
                <w:b/>
                <w:i w:val="0"/>
                <w:color w:val="111827"/>
                <w:sz w:val="19"/>
              </w:rPr>
              <w:t>não permite fornecer feedback claro</w:t>
            </w:r>
            <w:r>
              <w:rPr>
                <w:rFonts w:ascii="Arial" w:hAnsi="Arial"/>
                <w:b w:val="0"/>
                <w:i w:val="0"/>
                <w:color w:val="111827"/>
                <w:sz w:val="19"/>
              </w:rPr>
              <w:t xml:space="preserve"> (pesos estatísticos secretos).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Incidentes Críticos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avaliador mantém um registro sistemático de comportamentos excepcionais extremos (sucessos notáveis ou falhas graves).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Baseado em fatos concretos reais comprovados, afastando opiniões genéricas.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Ignora a rotina mediana de desempenho; avaliador assume postura de "policial" fiscalizador de erros.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Pesquisa de Campo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Um analista técnico de Gestão de Pessoas vai até cada setor e entrevista o chefe imediato para avaliar conjuntamente cada colaborador.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Alta padronização, profundo rigor técnico, orienta a chefia sobre planos de melhoria.</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Método de </w:t>
            </w:r>
            <w:r>
              <w:rPr>
                <w:rFonts w:ascii="Arial" w:hAnsi="Arial"/>
                <w:b/>
                <w:i w:val="0"/>
                <w:color w:val="111827"/>
                <w:sz w:val="19"/>
              </w:rPr>
              <w:t>altíssimo custo</w:t>
            </w:r>
            <w:r>
              <w:rPr>
                <w:rFonts w:ascii="Arial" w:hAnsi="Arial"/>
                <w:b w:val="0"/>
                <w:i w:val="0"/>
                <w:color w:val="111827"/>
                <w:sz w:val="19"/>
              </w:rPr>
              <w:t>, extrema lentidão e inviável para quadros muito volumosos.</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Avaliação por Objetivos (APO Participativa)</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Chefia e servidor sentam juntos, negociam metas quantitativas/qualitativas para o ciclo, acompanham periodicamente e realizam autoavaliação final.</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Alto engajamento, estímulo à autonomia, foco em entregas futuras e resultados concretos.</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Risco de conflito na fixação de metas; exige elevada maturidade gerencial; foco excessivo no quantitativo em detrimento de valores.</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Avaliação 360 Graus (Circular)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servidor é avaliado por múltiplos observadores: superior imediato, pares/colegas, subordinados diretos, usuários/cidadãos e sua própria autoavaliação.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Visão global, abrangente e democrática; atenua preconceitos de um único avaliador.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Muito trabalhosa de tabular; pode gerar pactos de conivência ("eu dou nota 10 para você e você para mim") ou vinganças internas.</w:t>
            </w:r>
          </w:p>
        </w:tc>
      </w:tr>
    </w:tbl>
    <w:p>
      <w:pPr>
        <w:spacing w:after="120"/>
      </w:pP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 (FEEDBACK NA ESCOLHA FORÇADA):</w:t>
            </w:r>
          </w:p>
          <w:p>
            <w:pPr>
              <w:spacing w:line="288" w:lineRule="auto" w:before="40" w:after="40"/>
            </w:pPr>
            <w:r>
              <w:rPr>
                <w:rFonts w:ascii="Arial" w:hAnsi="Arial"/>
                <w:b w:val="0"/>
                <w:i w:val="0"/>
                <w:color w:val="111827"/>
                <w:sz w:val="21"/>
              </w:rPr>
              <w:t xml:space="preserve">A banca frequentemente afirma que o método da </w:t>
            </w:r>
            <w:r>
              <w:rPr>
                <w:rFonts w:ascii="Arial" w:hAnsi="Arial"/>
                <w:b/>
                <w:i w:val="0"/>
                <w:color w:val="111827"/>
                <w:sz w:val="21"/>
              </w:rPr>
              <w:t>Escolha Forçada</w:t>
            </w:r>
            <w:r>
              <w:rPr>
                <w:rFonts w:ascii="Arial" w:hAnsi="Arial"/>
                <w:b w:val="0"/>
                <w:i w:val="0"/>
                <w:color w:val="111827"/>
                <w:sz w:val="21"/>
              </w:rPr>
              <w:t xml:space="preserve"> é o mais indicado quando o objetivo central do órgão é promover sessões ricas de </w:t>
            </w:r>
            <w:r>
              <w:rPr>
                <w:rFonts w:ascii="Arial" w:hAnsi="Arial"/>
                <w:b w:val="0"/>
                <w:i/>
                <w:color w:val="111827"/>
                <w:sz w:val="21"/>
              </w:rPr>
              <w:t>feedback</w:t>
            </w:r>
            <w:r>
              <w:rPr>
                <w:rFonts w:ascii="Arial" w:hAnsi="Arial"/>
                <w:b w:val="0"/>
                <w:i w:val="0"/>
                <w:color w:val="111827"/>
                <w:sz w:val="21"/>
              </w:rPr>
              <w:t xml:space="preserve"> individual entre o chefe e o subordinado. </w:t>
            </w:r>
            <w:r>
              <w:rPr>
                <w:rFonts w:ascii="Arial" w:hAnsi="Arial"/>
                <w:b/>
                <w:i w:val="0"/>
                <w:color w:val="111827"/>
                <w:sz w:val="21"/>
              </w:rPr>
              <w:t>ERRADO!</w:t>
            </w:r>
            <w:r>
              <w:rPr>
                <w:rFonts w:ascii="Arial" w:hAnsi="Arial"/>
                <w:b w:val="0"/>
                <w:i w:val="0"/>
                <w:color w:val="111827"/>
                <w:sz w:val="21"/>
              </w:rPr>
              <w:t xml:space="preserve"> Esse é um dos maiores "peguenhas" da FCC! A Escolha Forçada </w:t>
            </w:r>
            <w:r>
              <w:rPr>
                <w:rFonts w:ascii="Arial" w:hAnsi="Arial"/>
                <w:b/>
                <w:i w:val="0"/>
                <w:color w:val="111827"/>
                <w:sz w:val="21"/>
              </w:rPr>
              <w:t>NÃO serve para fornecer feedback</w:t>
            </w:r>
            <w:r>
              <w:rPr>
                <w:rFonts w:ascii="Arial" w:hAnsi="Arial"/>
                <w:b w:val="0"/>
                <w:i w:val="0"/>
                <w:color w:val="111827"/>
                <w:sz w:val="21"/>
              </w:rPr>
              <w:t>, pois o avaliador desconhece a pontuação estatística das frases preenchidas, o que impossibilita justificar detalhadamente a avaliação para o servidor.</w:t>
            </w:r>
          </w:p>
        </w:tc>
      </w:tr>
    </w:tbl>
    <w:p>
      <w:pPr>
        <w:spacing w:before="0" w:after="120"/>
      </w:pPr>
    </w:p>
    <w:p>
      <w:pPr>
        <w:keepNext/>
        <w:spacing w:before="200" w:after="80"/>
      </w:pPr>
      <w:r>
        <w:rPr>
          <w:rFonts w:ascii="Arial" w:hAnsi="Arial"/>
          <w:b/>
          <w:i w:val="0"/>
          <w:color w:val="2B6CB0"/>
          <w:sz w:val="24"/>
        </w:rPr>
        <w:t>2. Erros, Vieses e Distorções Cognitivas do Avaliador</w:t>
      </w:r>
    </w:p>
    <w:p>
      <w:pPr>
        <w:spacing w:line="360" w:lineRule="auto" w:before="0" w:after="80"/>
        <w:jc w:val="both"/>
      </w:pPr>
      <w:r>
        <w:rPr>
          <w:rFonts w:ascii="Arial" w:hAnsi="Arial"/>
          <w:b w:val="0"/>
          <w:i w:val="0"/>
          <w:color w:val="111827"/>
          <w:sz w:val="24"/>
        </w:rPr>
        <w:t>A subjetividade humana constitui o maior obstáculo à precisão da avaliação de desempenho:</w:t>
      </w:r>
    </w:p>
    <w:p>
      <w:pPr>
        <w:spacing w:after="120"/>
      </w:pPr>
    </w:p>
    <w:p>
      <w:pPr>
        <w:spacing w:line="276" w:lineRule="auto" w:before="20" w:after="40"/>
        <w:ind w:left="425"/>
      </w:pPr>
      <w:r>
        <w:rPr>
          <w:rFonts w:ascii="Arial" w:hAnsi="Arial"/>
          <w:b/>
          <w:color w:val="1B365D"/>
          <w:sz w:val="22"/>
        </w:rPr>
        <w:t xml:space="preserve">1. </w:t>
      </w:r>
      <w:r>
        <w:rPr>
          <w:rFonts w:ascii="Arial" w:hAnsi="Arial"/>
          <w:b w:val="0"/>
          <w:i w:val="0"/>
          <w:color w:val="111827"/>
          <w:sz w:val="22"/>
        </w:rPr>
        <w:t>**Efeito Halo (</w:t>
      </w:r>
      <w:r>
        <w:rPr>
          <w:rFonts w:ascii="Arial" w:hAnsi="Arial"/>
          <w:b w:val="0"/>
          <w:i/>
          <w:color w:val="111827"/>
          <w:sz w:val="22"/>
        </w:rPr>
        <w:t>Halo Effect</w:t>
      </w:r>
      <w:r>
        <w:rPr>
          <w:rFonts w:ascii="Arial" w:hAnsi="Arial"/>
          <w:b w:val="0"/>
          <w:i w:val="0"/>
          <w:color w:val="111827"/>
          <w:sz w:val="22"/>
        </w:rPr>
        <w:t>) e Efeito Horn:**</w:t>
      </w:r>
    </w:p>
    <w:p>
      <w:pPr>
        <w:spacing w:line="276" w:lineRule="auto" w:before="20" w:after="40"/>
        <w:ind w:left="992"/>
      </w:pPr>
      <w:r>
        <w:rPr>
          <w:rFonts w:ascii="Arial" w:hAnsi="Arial"/>
          <w:b/>
          <w:color w:val="2B6CB0"/>
          <w:sz w:val="22"/>
        </w:rPr>
        <w:t xml:space="preserve">• </w:t>
      </w:r>
      <w:r>
        <w:rPr>
          <w:rFonts w:ascii="Arial" w:hAnsi="Arial"/>
          <w:b w:val="0"/>
          <w:i/>
          <w:color w:val="111827"/>
          <w:sz w:val="22"/>
        </w:rPr>
        <w:t>Halo:</w:t>
      </w:r>
      <w:r>
        <w:rPr>
          <w:rFonts w:ascii="Arial" w:hAnsi="Arial"/>
          <w:b w:val="0"/>
          <w:i w:val="0"/>
          <w:color w:val="111827"/>
          <w:sz w:val="22"/>
        </w:rPr>
        <w:t xml:space="preserve"> O avaliador projeta uma característica altamente positiva (ex.: o servidor é pontual ou simpático) sobre todo o desempenho, atribuindo notas excelentes em fatores técnicos que sequer avaliou.</w:t>
      </w:r>
    </w:p>
    <w:p>
      <w:pPr>
        <w:spacing w:line="276" w:lineRule="auto" w:before="20" w:after="40"/>
        <w:ind w:left="992"/>
      </w:pPr>
      <w:r>
        <w:rPr>
          <w:rFonts w:ascii="Arial" w:hAnsi="Arial"/>
          <w:b/>
          <w:color w:val="2B6CB0"/>
          <w:sz w:val="22"/>
        </w:rPr>
        <w:t xml:space="preserve">• </w:t>
      </w:r>
      <w:r>
        <w:rPr>
          <w:rFonts w:ascii="Arial" w:hAnsi="Arial"/>
          <w:b w:val="0"/>
          <w:i/>
          <w:color w:val="111827"/>
          <w:sz w:val="22"/>
        </w:rPr>
        <w:t>Horn:</w:t>
      </w:r>
      <w:r>
        <w:rPr>
          <w:rFonts w:ascii="Arial" w:hAnsi="Arial"/>
          <w:b w:val="0"/>
          <w:i w:val="0"/>
          <w:color w:val="111827"/>
          <w:sz w:val="22"/>
        </w:rPr>
        <w:t xml:space="preserve"> Uma falha isolada contamina negativamente todos os demais quesitos, rotulando o servidor como inteiramente inapto.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Tendência Central:</w:t>
      </w:r>
      <w:r>
        <w:rPr>
          <w:rFonts w:ascii="Arial" w:hAnsi="Arial"/>
          <w:b w:val="0"/>
          <w:i w:val="0"/>
          <w:color w:val="111827"/>
          <w:sz w:val="22"/>
        </w:rPr>
        <w:t xml:space="preserve"> O avaliador tem receio de prejudicar os maus colaboradores ou gerar atritos ao destacar os melhores; por comodismo ou insegurança, atribui notas medianas ("bom" ou "regular") a todos.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Erro de Recenticidade (Recência):</w:t>
      </w:r>
      <w:r>
        <w:rPr>
          <w:rFonts w:ascii="Arial" w:hAnsi="Arial"/>
          <w:b w:val="0"/>
          <w:i w:val="0"/>
          <w:color w:val="111827"/>
          <w:sz w:val="22"/>
        </w:rPr>
        <w:t xml:space="preserve"> O avaliador deixa-se influenciar desproporcionalmente por fatos ocorridos nos últimos 15 ou 30 dias que antecedem a avaliação, ignorando os comportamentos dos 11 meses anteriores.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Complacência / Leniência:</w:t>
      </w:r>
      <w:r>
        <w:rPr>
          <w:rFonts w:ascii="Arial" w:hAnsi="Arial"/>
          <w:b w:val="0"/>
          <w:i w:val="0"/>
          <w:color w:val="111827"/>
          <w:sz w:val="22"/>
        </w:rPr>
        <w:t xml:space="preserve"> Tendência sistemática de conceder notas infladas a todos os subordinados para evitar descontentamento, atritos pessoais ou conversas difíceis de feedback.</w:t>
      </w:r>
    </w:p>
    <w:p>
      <w:pPr>
        <w:spacing w:line="276" w:lineRule="auto" w:before="20" w:after="40"/>
        <w:ind w:left="425"/>
      </w:pPr>
      <w:r>
        <w:rPr>
          <w:rFonts w:ascii="Arial" w:hAnsi="Arial"/>
          <w:b/>
          <w:color w:val="1B365D"/>
          <w:sz w:val="22"/>
        </w:rPr>
        <w:t xml:space="preserve">5. </w:t>
      </w:r>
      <w:r>
        <w:rPr>
          <w:rFonts w:ascii="Arial" w:hAnsi="Arial"/>
          <w:b/>
          <w:i w:val="0"/>
          <w:color w:val="111827"/>
          <w:sz w:val="22"/>
        </w:rPr>
        <w:t>Rigor Excessivo / Severidade:</w:t>
      </w:r>
      <w:r>
        <w:rPr>
          <w:rFonts w:ascii="Arial" w:hAnsi="Arial"/>
          <w:b w:val="0"/>
          <w:i w:val="0"/>
          <w:color w:val="111827"/>
          <w:sz w:val="22"/>
        </w:rPr>
        <w:t xml:space="preserve"> O avaliador estabelece padrões de exigência inalcançáveis, atribuindo notas baixas de forma generalizada por considerar que "ninguém faz mais do que a obrigação".</w:t>
      </w:r>
    </w:p>
    <w:p>
      <w:pPr>
        <w:spacing w:line="276" w:lineRule="auto" w:before="20" w:after="40"/>
        <w:ind w:left="425"/>
      </w:pPr>
      <w:r>
        <w:rPr>
          <w:rFonts w:ascii="Arial" w:hAnsi="Arial"/>
          <w:b/>
          <w:color w:val="1B365D"/>
          <w:sz w:val="22"/>
        </w:rPr>
        <w:t xml:space="preserve">6. </w:t>
      </w:r>
      <w:r>
        <w:rPr>
          <w:rFonts w:ascii="Arial" w:hAnsi="Arial"/>
          <w:b w:val="0"/>
          <w:i w:val="0"/>
          <w:color w:val="111827"/>
          <w:sz w:val="22"/>
        </w:rPr>
        <w:t>**Erro de Semelhança (</w:t>
      </w:r>
      <w:r>
        <w:rPr>
          <w:rFonts w:ascii="Arial" w:hAnsi="Arial"/>
          <w:b w:val="0"/>
          <w:i/>
          <w:color w:val="111827"/>
          <w:sz w:val="22"/>
        </w:rPr>
        <w:t>Similar-to-me</w:t>
      </w:r>
      <w:r>
        <w:rPr>
          <w:rFonts w:ascii="Arial" w:hAnsi="Arial"/>
          <w:b w:val="0"/>
          <w:i w:val="0"/>
          <w:color w:val="111827"/>
          <w:sz w:val="22"/>
        </w:rPr>
        <w:t>):** Tendência de avaliar mais favoravelmente indivíduos que compartilham dos mesmos valores, formação acadêmica, estilo pessoal ou interesses do próprio avaliador.</w:t>
      </w:r>
    </w:p>
    <w:p>
      <w:pPr>
        <w:spacing w:line="276" w:lineRule="auto" w:before="20" w:after="40"/>
        <w:ind w:left="425"/>
      </w:pPr>
      <w:r>
        <w:rPr>
          <w:rFonts w:ascii="Arial" w:hAnsi="Arial"/>
          <w:b/>
          <w:color w:val="1B365D"/>
          <w:sz w:val="22"/>
        </w:rPr>
        <w:t xml:space="preserve">7. </w:t>
      </w:r>
      <w:r>
        <w:rPr>
          <w:rFonts w:ascii="Arial" w:hAnsi="Arial"/>
          <w:b/>
          <w:i w:val="0"/>
          <w:color w:val="111827"/>
          <w:sz w:val="22"/>
        </w:rPr>
        <w:t>Erro de Contraste:</w:t>
      </w:r>
      <w:r>
        <w:rPr>
          <w:rFonts w:ascii="Arial" w:hAnsi="Arial"/>
          <w:b w:val="0"/>
          <w:i w:val="0"/>
          <w:color w:val="111827"/>
          <w:sz w:val="22"/>
        </w:rPr>
        <w:t xml:space="preserve"> O avaliador julga o servidor comparando-o diretamente com o indivíduo avaliado logo antes, e não confrontando seu desempenho com os padrões objetivos do cargo.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ATENÇÃO — EFEITO HALO VS. RECÊNCIA: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Efeito Halo:</w:t>
            </w:r>
            <w:r>
              <w:rPr>
                <w:rFonts w:ascii="Arial" w:hAnsi="Arial"/>
                <w:b w:val="0"/>
                <w:i w:val="0"/>
                <w:color w:val="111827"/>
                <w:sz w:val="21"/>
              </w:rPr>
              <w:t xml:space="preserve"> distorção decorrente de uma </w:t>
            </w:r>
            <w:r>
              <w:rPr>
                <w:rFonts w:ascii="Arial" w:hAnsi="Arial"/>
                <w:b/>
                <w:i w:val="0"/>
                <w:color w:val="111827"/>
                <w:sz w:val="21"/>
              </w:rPr>
              <w:t>única característica ou traço marcante</w:t>
            </w:r>
            <w:r>
              <w:rPr>
                <w:rFonts w:ascii="Arial" w:hAnsi="Arial"/>
                <w:b w:val="0"/>
                <w:i w:val="0"/>
                <w:color w:val="111827"/>
                <w:sz w:val="21"/>
              </w:rPr>
              <w:t xml:space="preserve"> que cega o avaliador sobre os demais quesitos;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Erro de Recência:</w:t>
            </w:r>
            <w:r>
              <w:rPr>
                <w:rFonts w:ascii="Arial" w:hAnsi="Arial"/>
                <w:b w:val="0"/>
                <w:i w:val="0"/>
                <w:color w:val="111827"/>
                <w:sz w:val="21"/>
              </w:rPr>
              <w:t xml:space="preserve"> distorção de ordem </w:t>
            </w:r>
            <w:r>
              <w:rPr>
                <w:rFonts w:ascii="Arial" w:hAnsi="Arial"/>
                <w:b/>
                <w:i w:val="0"/>
                <w:color w:val="111827"/>
                <w:sz w:val="21"/>
              </w:rPr>
              <w:t>temporal</w:t>
            </w:r>
            <w:r>
              <w:rPr>
                <w:rFonts w:ascii="Arial" w:hAnsi="Arial"/>
                <w:b w:val="0"/>
                <w:i w:val="0"/>
                <w:color w:val="111827"/>
                <w:sz w:val="21"/>
              </w:rPr>
              <w:t xml:space="preserve">, em que o avaliador recorda apenas dos acontecimentos dos </w:t>
            </w:r>
            <w:r>
              <w:rPr>
                <w:rFonts w:ascii="Arial" w:hAnsi="Arial"/>
                <w:b/>
                <w:i w:val="0"/>
                <w:color w:val="111827"/>
                <w:sz w:val="21"/>
              </w:rPr>
              <w:t>últimos dias ou semanas</w:t>
            </w:r>
            <w:r>
              <w:rPr>
                <w:rFonts w:ascii="Arial" w:hAnsi="Arial"/>
                <w:b w:val="0"/>
                <w:i w:val="0"/>
                <w:color w:val="111827"/>
                <w:sz w:val="21"/>
              </w:rPr>
              <w:t xml:space="preserve"> do ciclo avaliativo.</w:t>
            </w:r>
          </w:p>
        </w:tc>
      </w:tr>
    </w:tbl>
    <w:p>
      <w:pPr>
        <w:spacing w:before="0" w:after="120"/>
      </w:pPr>
    </w:p>
    <w:p>
      <w:pPr>
        <w:keepNext/>
        <w:spacing w:before="200" w:after="80"/>
      </w:pPr>
      <w:r>
        <w:rPr>
          <w:rFonts w:ascii="Arial" w:hAnsi="Arial"/>
          <w:b/>
          <w:i w:val="0"/>
          <w:color w:val="2B6CB0"/>
          <w:sz w:val="24"/>
        </w:rPr>
        <w:t>3. Remuneração e Planos de Carreira no Setor Público</w:t>
      </w:r>
    </w:p>
    <w:p>
      <w:pPr>
        <w:spacing w:line="360" w:lineRule="auto" w:before="0" w:after="80"/>
        <w:jc w:val="both"/>
      </w:pPr>
      <w:r>
        <w:rPr>
          <w:rFonts w:ascii="Arial" w:hAnsi="Arial"/>
          <w:b w:val="0"/>
          <w:i w:val="0"/>
          <w:color w:val="111827"/>
          <w:sz w:val="24"/>
        </w:rPr>
        <w:t>A remuneração no serviço público subordina-se a rígidos parâmetros constitucionais de legalidade e moralidade: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Vencimento Básico:</w:t>
      </w:r>
      <w:r>
        <w:rPr>
          <w:rFonts w:ascii="Arial" w:hAnsi="Arial"/>
          <w:b w:val="0"/>
          <w:i w:val="0"/>
          <w:color w:val="111827"/>
          <w:sz w:val="22"/>
        </w:rPr>
        <w:t xml:space="preserve"> Retribuição pecuniária fixada em lei devida ao servidor pelo efetivo exercício de cargo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Remuneração:</w:t>
      </w:r>
      <w:r>
        <w:rPr>
          <w:rFonts w:ascii="Arial" w:hAnsi="Arial"/>
          <w:b w:val="0"/>
          <w:i w:val="0"/>
          <w:color w:val="111827"/>
          <w:sz w:val="22"/>
        </w:rPr>
        <w:t xml:space="preserve"> O vencimento do cargo efetivo acrescido das vantagens pecuniárias permanentes estabelecidas em lei (adicionais por tempo de serviço, gratificações de titulação, etc.).</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Regime de Subsídio Constitucional (CF/88, art. 39, § 4º):</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Fixado em </w:t>
      </w:r>
      <w:r>
        <w:rPr>
          <w:rFonts w:ascii="Arial" w:hAnsi="Arial"/>
          <w:b/>
          <w:i w:val="0"/>
          <w:color w:val="111827"/>
          <w:sz w:val="22"/>
        </w:rPr>
        <w:t>parcela única</w:t>
      </w:r>
      <w:r>
        <w:rPr>
          <w:rFonts w:ascii="Arial" w:hAnsi="Arial"/>
          <w:b w:val="0"/>
          <w:i w:val="0"/>
          <w:color w:val="111827"/>
          <w:sz w:val="22"/>
        </w:rPr>
        <w:t xml:space="preserve">, sendo expressamente </w:t>
      </w:r>
      <w:r>
        <w:rPr>
          <w:rFonts w:ascii="Arial" w:hAnsi="Arial"/>
          <w:b/>
          <w:i w:val="0"/>
          <w:color w:val="111827"/>
          <w:sz w:val="22"/>
        </w:rPr>
        <w:t>vedado o acréscimo de qualquer gratificação, adicional, abono, prêmio, verba de representação</w:t>
      </w:r>
      <w:r>
        <w:rPr>
          <w:rFonts w:ascii="Arial" w:hAnsi="Arial"/>
          <w:b w:val="0"/>
          <w:i w:val="0"/>
          <w:color w:val="111827"/>
          <w:sz w:val="22"/>
        </w:rPr>
        <w:t xml:space="preserve"> ou outra espécie remuneratória;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Obrigatório para membros de Poder, detentores de mandato eletivo, Ministros/Secretários e membros da Magistratura, Ministério Público, Defensoria Pública e carreiras policiais;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Exceção Constitucional:</w:t>
      </w:r>
      <w:r>
        <w:rPr>
          <w:rFonts w:ascii="Arial" w:hAnsi="Arial"/>
          <w:b w:val="0"/>
          <w:i w:val="0"/>
          <w:color w:val="111827"/>
          <w:sz w:val="22"/>
        </w:rPr>
        <w:t xml:space="preserve"> O subsídio não impede o pagamento de parcelas de natureza </w:t>
      </w:r>
      <w:r>
        <w:rPr>
          <w:rFonts w:ascii="Arial" w:hAnsi="Arial"/>
          <w:b/>
          <w:i w:val="0"/>
          <w:color w:val="111827"/>
          <w:sz w:val="22"/>
        </w:rPr>
        <w:t>estritamente indenizatória</w:t>
      </w:r>
      <w:r>
        <w:rPr>
          <w:rFonts w:ascii="Arial" w:hAnsi="Arial"/>
          <w:b w:val="0"/>
          <w:i w:val="0"/>
          <w:color w:val="111827"/>
          <w:sz w:val="22"/>
        </w:rPr>
        <w:t xml:space="preserve"> previstas em lei (como diárias, ajuda de custo para mudança de sede e indenização de transporte).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Teto Remuneratório Constitucional (CF/88, art. 37, XI):</w:t>
      </w:r>
      <w:r>
        <w:rPr>
          <w:rFonts w:ascii="Arial" w:hAnsi="Arial"/>
          <w:b w:val="0"/>
          <w:i w:val="0"/>
          <w:color w:val="111827"/>
          <w:sz w:val="22"/>
        </w:rPr>
        <w:t xml:space="preserve"> Limite máximo de retribuição no serviço público, correspondente ao subsídio mensal dos Ministros do Supremo Tribunal Federal (STF). Qualquer valor excedente deve ser retido pela aplicação do instituto do </w:t>
      </w:r>
      <w:r>
        <w:rPr>
          <w:rFonts w:ascii="Arial" w:hAnsi="Arial"/>
          <w:b/>
          <w:i w:val="0"/>
          <w:color w:val="111827"/>
          <w:sz w:val="22"/>
        </w:rPr>
        <w:t>abate-teto</w:t>
      </w:r>
      <w:r>
        <w:rPr>
          <w:rFonts w:ascii="Arial" w:hAnsi="Arial"/>
          <w:b w:val="0"/>
          <w:i w:val="0"/>
          <w:color w:val="111827"/>
          <w:sz w:val="22"/>
        </w:rPr>
        <w:t>.</w:t>
      </w:r>
    </w:p>
    <w:p>
      <w:pPr>
        <w:keepNext/>
        <w:spacing w:before="120" w:after="40"/>
      </w:pPr>
      <w:r>
        <w:rPr>
          <w:rFonts w:ascii="Arial" w:hAnsi="Arial"/>
          <w:b/>
          <w:i/>
          <w:color w:val="334155"/>
          <w:sz w:val="22"/>
        </w:rPr>
        <w:t>Dinâmica dos Planos de Cargos e Carreiras</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Progressão:</w:t>
      </w:r>
      <w:r>
        <w:rPr>
          <w:rFonts w:ascii="Arial" w:hAnsi="Arial"/>
          <w:b w:val="0"/>
          <w:i w:val="0"/>
          <w:color w:val="111827"/>
          <w:sz w:val="22"/>
        </w:rPr>
        <w:t xml:space="preserve"> Passagem do servidor de um padrão remuneratório para o seguinte, dentro da mesma classe de seu cargo efetivo (foco na senioridade e avaliações periódicas).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Promoção:</w:t>
      </w:r>
      <w:r>
        <w:rPr>
          <w:rFonts w:ascii="Arial" w:hAnsi="Arial"/>
          <w:b w:val="0"/>
          <w:i w:val="0"/>
          <w:color w:val="111827"/>
          <w:sz w:val="22"/>
        </w:rPr>
        <w:t xml:space="preserve"> Elevação do servidor de uma classe para a classe imediatamente superior dentro da mesma carreira, dependendo de merecimento, capacitação continuada e vacância. </w:t>
      </w:r>
      <w:r>
        <w:rPr>
          <w:rFonts w:ascii="Arial" w:hAnsi="Arial"/>
          <w:b w:val="0"/>
          <w:i/>
          <w:color w:val="111827"/>
          <w:sz w:val="22"/>
        </w:rPr>
        <w:t>Não se confunde com ascensão ou transposição (formas de provimento derivado banidas pela CF/88).</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 SUBSÍDIO CONSTITUCIONAL:</w:t>
            </w:r>
          </w:p>
          <w:p>
            <w:pPr>
              <w:spacing w:line="288" w:lineRule="auto" w:before="40" w:after="40"/>
            </w:pPr>
            <w:r>
              <w:rPr>
                <w:rFonts w:ascii="Arial" w:hAnsi="Arial"/>
                <w:b w:val="0"/>
                <w:i w:val="0"/>
                <w:color w:val="111827"/>
                <w:sz w:val="21"/>
              </w:rPr>
              <w:t xml:space="preserve">O subsídio em parcela única (art. 39, § 4º da CF/88) </w:t>
            </w:r>
            <w:r>
              <w:rPr>
                <w:rFonts w:ascii="Arial" w:hAnsi="Arial"/>
                <w:b/>
                <w:i w:val="0"/>
                <w:color w:val="111827"/>
                <w:sz w:val="21"/>
              </w:rPr>
              <w:t>proíbe gratificações e adicionais de natureza remuneratória</w:t>
            </w:r>
            <w:r>
              <w:rPr>
                <w:rFonts w:ascii="Arial" w:hAnsi="Arial"/>
                <w:b w:val="0"/>
                <w:i w:val="0"/>
                <w:color w:val="111827"/>
                <w:sz w:val="21"/>
              </w:rPr>
              <w:t xml:space="preserve">, mas </w:t>
            </w:r>
            <w:r>
              <w:rPr>
                <w:rFonts w:ascii="Arial" w:hAnsi="Arial"/>
                <w:b/>
                <w:i w:val="0"/>
                <w:color w:val="111827"/>
                <w:sz w:val="21"/>
              </w:rPr>
              <w:t>NÃO impede verbas estritamente indenizatórias</w:t>
            </w:r>
            <w:r>
              <w:rPr>
                <w:rFonts w:ascii="Arial" w:hAnsi="Arial"/>
                <w:b w:val="0"/>
                <w:i w:val="0"/>
                <w:color w:val="111827"/>
                <w:sz w:val="21"/>
              </w:rPr>
              <w:t xml:space="preserve"> (como diárias de viagem a serviço e ajuda de custo para transporte), visto que verbas indenizatórias apenas ressarcem despesas extraordinárias do agente e não integram a base remuneratória.</w:t>
            </w:r>
          </w:p>
        </w:tc>
      </w:tr>
    </w:tbl>
    <w:p>
      <w:pPr>
        <w:spacing w:before="0" w:after="120"/>
      </w:pPr>
    </w:p>
    <w:p>
      <w:pPr>
        <w:keepNext/>
        <w:spacing w:before="200" w:after="80"/>
      </w:pPr>
      <w:r>
        <w:rPr>
          <w:rFonts w:ascii="Arial" w:hAnsi="Arial"/>
          <w:b/>
          <w:i w:val="0"/>
          <w:color w:val="2B6CB0"/>
          <w:sz w:val="24"/>
        </w:rPr>
        <w:t>4. Qualidade de Vida no Trabalho (QVT): Modelo de Richard Walton</w:t>
      </w:r>
    </w:p>
    <w:p>
      <w:pPr>
        <w:spacing w:line="360" w:lineRule="auto" w:before="0" w:after="80"/>
        <w:jc w:val="both"/>
      </w:pPr>
      <w:r>
        <w:rPr>
          <w:rFonts w:ascii="Arial" w:hAnsi="Arial"/>
          <w:b w:val="0"/>
          <w:i w:val="0"/>
          <w:color w:val="111827"/>
          <w:sz w:val="24"/>
        </w:rPr>
        <w:t xml:space="preserve">O modelo formulado por Richard Walton (1973) é a principal referência doutrinária exigida em provas sobre o bem-estar no ambiente corporativo e público. Walton estruturou a QVT em </w:t>
      </w:r>
      <w:r>
        <w:rPr>
          <w:rFonts w:ascii="Arial" w:hAnsi="Arial"/>
          <w:b/>
          <w:i w:val="0"/>
          <w:color w:val="111827"/>
          <w:sz w:val="24"/>
        </w:rPr>
        <w:t>oito dimensões conceituais</w:t>
      </w:r>
      <w:r>
        <w:rPr>
          <w:rFonts w:ascii="Arial" w:hAnsi="Arial"/>
          <w:b w:val="0"/>
          <w:i w:val="0"/>
          <w:color w:val="111827"/>
          <w:sz w:val="24"/>
        </w:rPr>
        <w:t>:</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Compensação Justa e Adequada:</w:t>
      </w:r>
      <w:r>
        <w:rPr>
          <w:rFonts w:ascii="Arial" w:hAnsi="Arial"/>
          <w:b w:val="0"/>
          <w:i w:val="0"/>
          <w:color w:val="111827"/>
          <w:sz w:val="22"/>
        </w:rPr>
        <w:t xml:space="preserve"> Remuneração que garanta uma vida digna ao trabalhador e que observe a equidade interna (mesmo valor para atribuições equivalentes) e externa (mercado).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Condições de Segurança e Saúde no Trabalho:</w:t>
      </w:r>
      <w:r>
        <w:rPr>
          <w:rFonts w:ascii="Arial" w:hAnsi="Arial"/>
          <w:b w:val="0"/>
          <w:i w:val="0"/>
          <w:color w:val="111827"/>
          <w:sz w:val="22"/>
        </w:rPr>
        <w:t xml:space="preserve"> Instalações físicas saudáveis, equipamentos ergonômicos, prevenção de acidentes, ausência de insalubridade e limites saudáveis de jornada laboral.</w:t>
      </w:r>
    </w:p>
    <w:p>
      <w:pPr>
        <w:spacing w:line="276" w:lineRule="auto" w:before="20" w:after="40"/>
        <w:ind w:left="425"/>
      </w:pPr>
      <w:r>
        <w:rPr>
          <w:rFonts w:ascii="Arial" w:hAnsi="Arial"/>
          <w:b/>
          <w:color w:val="1B365D"/>
          <w:sz w:val="22"/>
        </w:rPr>
        <w:t xml:space="preserve">3. </w:t>
      </w:r>
      <w:r>
        <w:rPr>
          <w:rFonts w:ascii="Arial" w:hAnsi="Arial"/>
          <w:b/>
          <w:i w:val="0"/>
          <w:color w:val="111827"/>
          <w:sz w:val="22"/>
        </w:rPr>
        <w:t>Utilização e Desenvolvimento de Capacidades:</w:t>
      </w:r>
      <w:r>
        <w:rPr>
          <w:rFonts w:ascii="Arial" w:hAnsi="Arial"/>
          <w:b w:val="0"/>
          <w:i w:val="0"/>
          <w:color w:val="111827"/>
          <w:sz w:val="22"/>
        </w:rPr>
        <w:t xml:space="preserve"> Oportunidade dada ao colaborador de exercer autonomia intelectual, aplicar habilidades cognitivas, planejar seu trabalho e obter feedback claro.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Oportunidade de Crescimento Contínuo e Segurança:</w:t>
      </w:r>
      <w:r>
        <w:rPr>
          <w:rFonts w:ascii="Arial" w:hAnsi="Arial"/>
          <w:b w:val="0"/>
          <w:i w:val="0"/>
          <w:color w:val="111827"/>
          <w:sz w:val="22"/>
        </w:rPr>
        <w:t xml:space="preserve"> Perspectiva concreta de progressão na carreira, investimento institucional em capacitação e garantia de estabilidade funcional no emprego.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Integração Social na Organização:</w:t>
      </w:r>
      <w:r>
        <w:rPr>
          <w:rFonts w:ascii="Arial" w:hAnsi="Arial"/>
          <w:b w:val="0"/>
          <w:i w:val="0"/>
          <w:color w:val="111827"/>
          <w:sz w:val="22"/>
        </w:rPr>
        <w:t xml:space="preserve"> Clima colaborativo e acolhedor, ausência de discriminações de raça, gênero ou orientação sexual, respeito interpessoal e senso de pertencimento grupal.</w:t>
      </w:r>
    </w:p>
    <w:p>
      <w:pPr>
        <w:spacing w:line="276" w:lineRule="auto" w:before="20" w:after="40"/>
        <w:ind w:left="425"/>
      </w:pPr>
      <w:r>
        <w:rPr>
          <w:rFonts w:ascii="Arial" w:hAnsi="Arial"/>
          <w:b/>
          <w:color w:val="1B365D"/>
          <w:sz w:val="22"/>
        </w:rPr>
        <w:t xml:space="preserve">6. </w:t>
      </w:r>
      <w:r>
        <w:rPr>
          <w:rFonts w:ascii="Arial" w:hAnsi="Arial"/>
          <w:b/>
          <w:i w:val="0"/>
          <w:color w:val="111827"/>
          <w:sz w:val="22"/>
        </w:rPr>
        <w:t>Constitucionalismo na Organização:</w:t>
      </w:r>
      <w:r>
        <w:rPr>
          <w:rFonts w:ascii="Arial" w:hAnsi="Arial"/>
          <w:b w:val="0"/>
          <w:i w:val="0"/>
          <w:color w:val="111827"/>
          <w:sz w:val="22"/>
        </w:rPr>
        <w:t xml:space="preserve"> Vigência das garantias do Estado de Direito dentro da instituição: respeito à intimidade e privacidade do servidor, liberdade de expressão e direito à ampla defesa e contraditório contra atos punitivos internos.</w:t>
      </w:r>
    </w:p>
    <w:p>
      <w:pPr>
        <w:spacing w:line="276" w:lineRule="auto" w:before="20" w:after="40"/>
        <w:ind w:left="425"/>
      </w:pPr>
      <w:r>
        <w:rPr>
          <w:rFonts w:ascii="Arial" w:hAnsi="Arial"/>
          <w:b/>
          <w:color w:val="1B365D"/>
          <w:sz w:val="22"/>
        </w:rPr>
        <w:t xml:space="preserve">7. </w:t>
      </w:r>
      <w:r>
        <w:rPr>
          <w:rFonts w:ascii="Arial" w:hAnsi="Arial"/>
          <w:b/>
          <w:i w:val="0"/>
          <w:color w:val="111827"/>
          <w:sz w:val="22"/>
        </w:rPr>
        <w:t>Espaço Total de Vida:</w:t>
      </w:r>
      <w:r>
        <w:rPr>
          <w:rFonts w:ascii="Arial" w:hAnsi="Arial"/>
          <w:b w:val="0"/>
          <w:i w:val="0"/>
          <w:color w:val="111827"/>
          <w:sz w:val="22"/>
        </w:rPr>
        <w:t xml:space="preserve"> Equilíbrio sadio entre a dedicação às atividades profissionais e o tempo reservado ao convívio familiar, lazer, descanso e vida pessoal (prevenção ao esgotamento).</w:t>
      </w:r>
    </w:p>
    <w:p>
      <w:pPr>
        <w:spacing w:line="276" w:lineRule="auto" w:before="20" w:after="40"/>
        <w:ind w:left="425"/>
      </w:pPr>
      <w:r>
        <w:rPr>
          <w:rFonts w:ascii="Arial" w:hAnsi="Arial"/>
          <w:b/>
          <w:color w:val="1B365D"/>
          <w:sz w:val="22"/>
        </w:rPr>
        <w:t xml:space="preserve">8. </w:t>
      </w:r>
      <w:r>
        <w:rPr>
          <w:rFonts w:ascii="Arial" w:hAnsi="Arial"/>
          <w:b/>
          <w:i w:val="0"/>
          <w:color w:val="111827"/>
          <w:sz w:val="22"/>
        </w:rPr>
        <w:t>Relevância Social do Trabalho:</w:t>
      </w:r>
      <w:r>
        <w:rPr>
          <w:rFonts w:ascii="Arial" w:hAnsi="Arial"/>
          <w:b w:val="0"/>
          <w:i w:val="0"/>
          <w:color w:val="111827"/>
          <w:sz w:val="22"/>
        </w:rPr>
        <w:t xml:space="preserve"> Percepção e orgulho do servidor de que o trabalho de sua instituição gera valor real, protege o interesse público e contribui para o bem comum da sociedade.</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IMPORTANTE — CONSTITUCIONALISMO DE RICHARD WALTON:</w:t>
            </w:r>
          </w:p>
          <w:p>
            <w:pPr>
              <w:spacing w:line="288" w:lineRule="auto" w:before="40" w:after="40"/>
            </w:pPr>
            <w:r>
              <w:rPr>
                <w:rFonts w:ascii="Arial" w:hAnsi="Arial"/>
                <w:b w:val="0"/>
                <w:i w:val="0"/>
                <w:color w:val="111827"/>
                <w:sz w:val="21"/>
              </w:rPr>
              <w:t xml:space="preserve">Em provas de tribunais e controladorias, a dimensão do </w:t>
            </w:r>
            <w:r>
              <w:rPr>
                <w:rFonts w:ascii="Arial" w:hAnsi="Arial"/>
                <w:b/>
                <w:i w:val="0"/>
                <w:color w:val="111827"/>
                <w:sz w:val="21"/>
              </w:rPr>
              <w:t>Constitucionalismo</w:t>
            </w:r>
            <w:r>
              <w:rPr>
                <w:rFonts w:ascii="Arial" w:hAnsi="Arial"/>
                <w:b w:val="0"/>
                <w:i w:val="0"/>
                <w:color w:val="111827"/>
                <w:sz w:val="21"/>
              </w:rPr>
              <w:t xml:space="preserve"> desponta com enorme frequência. Ela significa assegurar os </w:t>
            </w:r>
            <w:r>
              <w:rPr>
                <w:rFonts w:ascii="Arial" w:hAnsi="Arial"/>
                <w:b/>
                <w:i w:val="0"/>
                <w:color w:val="111827"/>
                <w:sz w:val="21"/>
              </w:rPr>
              <w:t>direitos civis do trabalhador</w:t>
            </w:r>
            <w:r>
              <w:rPr>
                <w:rFonts w:ascii="Arial" w:hAnsi="Arial"/>
                <w:b w:val="0"/>
                <w:i w:val="0"/>
                <w:color w:val="111827"/>
                <w:sz w:val="21"/>
              </w:rPr>
              <w:t xml:space="preserve"> dentro dos muros da repartição (privacidade de dados, liberdade de discordância respeitosa, equidade e devido processo em sindicâncias).</w:t>
            </w:r>
          </w:p>
        </w:tc>
      </w:tr>
    </w:tbl>
    <w:p>
      <w:pPr>
        <w:spacing w:before="0" w:after="120"/>
      </w:pPr>
    </w:p>
    <w:p>
      <w:pPr>
        <w:keepNext/>
        <w:spacing w:before="200" w:after="80"/>
      </w:pPr>
      <w:r>
        <w:rPr>
          <w:rFonts w:ascii="Arial" w:hAnsi="Arial"/>
          <w:b/>
          <w:i w:val="0"/>
          <w:color w:val="2B6CB0"/>
          <w:sz w:val="24"/>
        </w:rPr>
        <w:t>5. Teletrabalho e Trabalho Híbrido no Setor Público</w:t>
      </w:r>
    </w:p>
    <w:p>
      <w:pPr>
        <w:spacing w:line="360" w:lineRule="auto" w:before="0" w:after="80"/>
        <w:jc w:val="both"/>
      </w:pPr>
      <w:r>
        <w:rPr>
          <w:rFonts w:ascii="Arial" w:hAnsi="Arial"/>
          <w:b w:val="0"/>
          <w:i w:val="0"/>
          <w:color w:val="111827"/>
          <w:sz w:val="24"/>
        </w:rPr>
        <w:t>A consolidação do regime de teletrabalho transformou a dinâmica das instituições de controle externo (como os Tribunais de Contas):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Superação do Paradigma Cartorial:</w:t>
      </w:r>
      <w:r>
        <w:rPr>
          <w:rFonts w:ascii="Arial" w:hAnsi="Arial"/>
          <w:b w:val="0"/>
          <w:i w:val="0"/>
          <w:color w:val="111827"/>
          <w:sz w:val="22"/>
        </w:rPr>
        <w:t xml:space="preserve"> Substituição definitiva da mera fiscalização da presença física e batimento de ponto pelo modelo contemporâneo de </w:t>
      </w:r>
      <w:r>
        <w:rPr>
          <w:rFonts w:ascii="Arial" w:hAnsi="Arial"/>
          <w:b/>
          <w:i w:val="0"/>
          <w:color w:val="111827"/>
          <w:sz w:val="22"/>
        </w:rPr>
        <w:t>Pacto de Resultados e Metas Mensuráveis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servidor em teletrabalho não se subordina ao controle tradicional de frequência horária;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Deve entregar metas previamente pactuadas com a chefia imediata (frequentemente estipuladas com produtividade superior à exigida no trabalho presencial).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Vantagens para a Administração Pública:</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Redução expressiva dos custos fixos de manutenção predial (energia elétrica, água, insumos de escritório, mobiliário);</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Aumento comprovado de produtividade na análise minuciosa de processos licitatórios e relatórios de auditoria que demandam concentração prolongada;</w:t>
      </w:r>
    </w:p>
    <w:p>
      <w:pPr>
        <w:spacing w:line="276" w:lineRule="auto" w:before="20" w:after="40"/>
        <w:ind w:left="992"/>
      </w:pPr>
      <w:r>
        <w:rPr>
          <w:rFonts w:ascii="Arial" w:hAnsi="Arial"/>
          <w:b/>
          <w:color w:val="1B365D"/>
          <w:sz w:val="22"/>
        </w:rPr>
        <w:t xml:space="preserve">3. </w:t>
      </w:r>
      <w:r>
        <w:rPr>
          <w:rFonts w:ascii="Arial" w:hAnsi="Arial"/>
          <w:b w:val="0"/>
          <w:i w:val="0"/>
          <w:color w:val="111827"/>
          <w:sz w:val="22"/>
        </w:rPr>
        <w:t>Atração e fixação de quadros técnicos qualificados;</w:t>
      </w:r>
    </w:p>
    <w:p>
      <w:pPr>
        <w:spacing w:line="276" w:lineRule="auto" w:before="20" w:after="40"/>
        <w:ind w:left="992"/>
      </w:pPr>
      <w:r>
        <w:rPr>
          <w:rFonts w:ascii="Arial" w:hAnsi="Arial"/>
          <w:b/>
          <w:color w:val="1B365D"/>
          <w:sz w:val="22"/>
        </w:rPr>
        <w:t xml:space="preserve">4. </w:t>
      </w:r>
      <w:r>
        <w:rPr>
          <w:rFonts w:ascii="Arial" w:hAnsi="Arial"/>
          <w:b w:val="0"/>
          <w:i w:val="0"/>
          <w:color w:val="111827"/>
          <w:sz w:val="22"/>
        </w:rPr>
        <w:t>Redução da pegada de carbono e melhoria na mobilidade urbana das cidades.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Desafios e Riscos Gerenciais: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Sensação de Isolamento Social e Afastamento Cultural:</w:t>
      </w:r>
      <w:r>
        <w:rPr>
          <w:rFonts w:ascii="Arial" w:hAnsi="Arial"/>
          <w:b w:val="0"/>
          <w:i w:val="0"/>
          <w:color w:val="111827"/>
          <w:sz w:val="22"/>
        </w:rPr>
        <w:t xml:space="preserve"> Risco de o servidor perder o senso de identidade e comunhão com a missão do órgão;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Segurança da Informação e Sigilo de Processos:</w:t>
      </w:r>
      <w:r>
        <w:rPr>
          <w:rFonts w:ascii="Arial" w:hAnsi="Arial"/>
          <w:b w:val="0"/>
          <w:i w:val="0"/>
          <w:color w:val="111827"/>
          <w:sz w:val="22"/>
        </w:rPr>
        <w:t xml:space="preserve"> Necessidade de criptografia avançada, redes privadas virtuais (VPN) e certificação digital;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**Direito à Desconexão e Síndrome de </w:t>
      </w:r>
      <w:r>
        <w:rPr>
          <w:rFonts w:ascii="Arial" w:hAnsi="Arial"/>
          <w:b w:val="0"/>
          <w:i/>
          <w:color w:val="111827"/>
          <w:sz w:val="22"/>
        </w:rPr>
        <w:t>Burnout</w:t>
      </w:r>
      <w:r>
        <w:rPr>
          <w:rFonts w:ascii="Arial" w:hAnsi="Arial"/>
          <w:b w:val="0"/>
          <w:i w:val="0"/>
          <w:color w:val="111827"/>
          <w:sz w:val="22"/>
        </w:rPr>
        <w:t>:** Risco de o servidor trabalhar ininterruptamente no espaço doméstico. A administração pública deve estabelecer políticas rígidas de respeito aos períodos de repouso e desconexão digital fora do expediente pactuado.</w:t>
      </w:r>
    </w:p>
    <w:p>
      <w:pPr>
        <w:keepNext/>
        <w:spacing w:before="200" w:after="80"/>
      </w:pPr>
      <w:r>
        <w:rPr>
          <w:rFonts w:ascii="Arial" w:hAnsi="Arial"/>
          <w:b/>
          <w:i w:val="0"/>
          <w:color w:val="2B6CB0"/>
          <w:sz w:val="24"/>
        </w:rPr>
        <w:t>6.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da República Federativa do Brasil de 1988</w:t>
      </w:r>
      <w:r>
        <w:rPr>
          <w:rFonts w:ascii="Arial" w:hAnsi="Arial"/>
          <w:b w:val="0"/>
          <w:i w:val="0"/>
          <w:color w:val="111827"/>
          <w:sz w:val="22"/>
        </w:rPr>
        <w:t xml:space="preserve"> - Art. 37, XI (Teto constitucional) e Art. 39, § 4º (Regime de subsídio).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WALTON, Richard E. Quality of Working Life: What is it? Sloan Management Review, 1973</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CHIAVENATO, Idalberto. Desempenho Humano nas Empresas: como desenhar cargos e avaliar o desempenho. Rio de Janeiro: Manole, 2018</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Decreto Federal nº 11.072/2022</w:t>
      </w:r>
      <w:r>
        <w:rPr>
          <w:rFonts w:ascii="Arial" w:hAnsi="Arial"/>
          <w:b w:val="0"/>
          <w:i w:val="0"/>
          <w:color w:val="111827"/>
          <w:sz w:val="22"/>
        </w:rPr>
        <w:t xml:space="preserve"> - Regulamenta o Programa de Gestão e Desempenho (PGD) e o teletrabalho na administração pública federal.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BERNARDIN, H. John; RUSSELL, Joyce E. A. Gestão de Recursos Humanos: uma abordagem experiencial. McGraw-Hill</w:t>
      </w:r>
      <w:r>
        <w:rPr>
          <w:rFonts w:ascii="Arial" w:hAnsi="Arial"/>
          <w:b w:val="0"/>
          <w:i w:val="0"/>
          <w:color w:val="111827"/>
          <w:sz w:val="22"/>
        </w:rPr>
        <w:t>.</w:t>
      </w:r>
    </w:p>
    <w:p>
      <w:pPr>
        <w:keepNext/>
        <w:spacing w:before="200" w:after="80"/>
      </w:pPr>
      <w:r>
        <w:rPr>
          <w:rFonts w:ascii="Arial" w:hAnsi="Arial"/>
          <w:b/>
          <w:i w:val="0"/>
          <w:color w:val="2B6CB0"/>
          <w:sz w:val="24"/>
        </w:rPr>
        <w:t>7.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Analista de Controle Externo – TCE-GO)</w:t>
      </w:r>
    </w:p>
    <w:p>
      <w:pPr>
        <w:spacing w:line="360" w:lineRule="auto" w:before="0" w:after="80"/>
        <w:jc w:val="both"/>
      </w:pPr>
      <w:r>
        <w:rPr>
          <w:rFonts w:ascii="Arial" w:hAnsi="Arial"/>
          <w:b w:val="0"/>
          <w:i w:val="0"/>
          <w:color w:val="111827"/>
          <w:sz w:val="24"/>
        </w:rPr>
        <w:t>Um diretor de fiscalização do Tribunal de Contas realizou a avaliação anual de desempenho de um técnico administrativo recém-lotado em sua gerência. Ao analisar a pontualidade impecável e a cortesia no atendimento demonstradas pelo servidor no dia a dia, o diretor atribuiu pontuação máxima em todos os itens da avaliação, inclusive naqueles relativos a domínio técnico avançado de auditoria de obras e redação de relatórios complexos, competências que sequer haviam sido desempenhadas ou verificadas no período. A falha cognitiva que maculou o procedimento avaliativo configura o denominado: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Erro de tendência central.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Efeito Halo.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Erro de rigor excessivo.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Viés de recência funcional.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Falso consenso heurístico.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erro de tendência central ocorre quando o avaliador evita notas extremas e coloca todos os subordinados na nota média intermediária.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O **Efeito Halo (</w:t>
            </w:r>
            <w:r>
              <w:rPr>
                <w:rFonts w:ascii="Arial" w:hAnsi="Arial"/>
                <w:b w:val="0"/>
                <w:i/>
                <w:color w:val="111827"/>
                <w:sz w:val="21"/>
              </w:rPr>
              <w:t>Halo Effect</w:t>
            </w:r>
            <w:r>
              <w:rPr>
                <w:rFonts w:ascii="Arial" w:hAnsi="Arial"/>
                <w:b w:val="0"/>
                <w:i w:val="0"/>
                <w:color w:val="111827"/>
                <w:sz w:val="21"/>
              </w:rPr>
              <w:t>)** é a distorção perceptiva na qual o avaliador permite que uma impressão positiva isolada a respeito de uma característica específica (neste caso, a pontualidade e simpatia) irradie e contamine favoravelmente o julgamento de todas as demais dimensões de competência técnica do avaliado, atribuindo-lhe notas excelentes em itens que sequer foram testados.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O rigor excessivo é a conduta implacável de conceder notas rebaixadas para praticamente toda a equipe.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O viés de recência refere-se à supervalorização de episódios temporais recentes (últimos dias do ciclo), esquecendo o restante do período.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O falso consenso é a presunção equivocada de que os outros indivíduos compartilham dos mesmos julgamentos e crenças do avaliador.</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Técnico de Controle Externo – Gestão Pública – TCE-AP)</w:t>
      </w:r>
    </w:p>
    <w:p>
      <w:pPr>
        <w:spacing w:line="360" w:lineRule="auto" w:before="0" w:after="80"/>
        <w:jc w:val="both"/>
      </w:pPr>
      <w:r>
        <w:rPr>
          <w:rFonts w:ascii="Arial" w:hAnsi="Arial"/>
          <w:b w:val="0"/>
          <w:i w:val="0"/>
          <w:color w:val="111827"/>
          <w:sz w:val="24"/>
        </w:rPr>
        <w:t xml:space="preserve">Em determinado órgão público estadual, a diretoria de Recursos Humanos decidiu substituir o método tradicional de escalas gráficas pelo método da Escolha Forçada, visando conferir maior neutralidade aos resultados avaliativos. Todavia, após a primeira rodada de avaliação, diversos gestores setoriais queixaram-se publicamente da nova ferramenta. À luz da teoria de Gestão de Pessoas, a principal limitação técnica inerente ao método da </w:t>
      </w:r>
      <w:r>
        <w:rPr>
          <w:rFonts w:ascii="Arial" w:hAnsi="Arial"/>
          <w:b/>
          <w:i w:val="0"/>
          <w:color w:val="111827"/>
          <w:sz w:val="24"/>
        </w:rPr>
        <w:t>Escolha Forçada</w:t>
      </w:r>
      <w:r>
        <w:rPr>
          <w:rFonts w:ascii="Arial" w:hAnsi="Arial"/>
          <w:b w:val="0"/>
          <w:i w:val="0"/>
          <w:color w:val="111827"/>
          <w:sz w:val="24"/>
        </w:rPr>
        <w:t xml:space="preserve"> consiste em:</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exigir pesados custos com a contratação permanente de psicólogos clínicos para entrevistar cada servidor individualmente.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apresentar acentuada vulnerabilidade à subjetividade pessoal do avaliador, facilitando o favorecimento sistemático de protegidos políticos.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impedir que os gestores forneçam um feedback formativo e transparente aos avaliados, visto que os pesos ponderados das frases são apurados estatisticamente pelo RH e não divulgados ao avaliador.</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fixar compulsoriamente todas as avaliações no patamar intermediário de notas, provocando uma distorção generalizada por tendência central.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restringir-se exclusivamente à apuração de dados financeiros e orçamentários, sendo inaplicável a cargos de suporte administrativo.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A contratação de especialistas para entrevistas detalhadas é a característica marcante do método da Pesquisa de Campo, não da Escolha Forçada.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maior vantagem da Escolha Forçada é precisamente </w:t>
            </w:r>
            <w:r>
              <w:rPr>
                <w:rFonts w:ascii="Arial" w:hAnsi="Arial"/>
                <w:b/>
                <w:i w:val="0"/>
                <w:color w:val="111827"/>
                <w:sz w:val="21"/>
              </w:rPr>
              <w:t>eliminar a subjetividade</w:t>
            </w:r>
            <w:r>
              <w:rPr>
                <w:rFonts w:ascii="Arial" w:hAnsi="Arial"/>
                <w:b w:val="0"/>
                <w:i w:val="0"/>
                <w:color w:val="111827"/>
                <w:sz w:val="21"/>
              </w:rPr>
              <w:t>, o favoritismo e a complacência, obrigando a escolha entre blocos de frases pré-definidas.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A crítica clássica e mais cobrada em concursos em relação ao método da </w:t>
            </w:r>
            <w:r>
              <w:rPr>
                <w:rFonts w:ascii="Arial" w:hAnsi="Arial"/>
                <w:b/>
                <w:i w:val="0"/>
                <w:color w:val="111827"/>
                <w:sz w:val="21"/>
              </w:rPr>
              <w:t>Escolha Forçada</w:t>
            </w:r>
            <w:r>
              <w:rPr>
                <w:rFonts w:ascii="Arial" w:hAnsi="Arial"/>
                <w:b w:val="0"/>
                <w:i w:val="0"/>
                <w:color w:val="111827"/>
                <w:sz w:val="21"/>
              </w:rPr>
              <w:t xml:space="preserve"> é a sua </w:t>
            </w:r>
            <w:r>
              <w:rPr>
                <w:rFonts w:ascii="Arial" w:hAnsi="Arial"/>
                <w:b/>
                <w:i w:val="0"/>
                <w:color w:val="111827"/>
                <w:sz w:val="21"/>
              </w:rPr>
              <w:t>incapacidade de gerar feedback construtivo</w:t>
            </w:r>
            <w:r>
              <w:rPr>
                <w:rFonts w:ascii="Arial" w:hAnsi="Arial"/>
                <w:b w:val="0"/>
                <w:i w:val="0"/>
                <w:color w:val="111827"/>
                <w:sz w:val="21"/>
              </w:rPr>
              <w:t>: como as combinações de frases possuem ponderações estatísticas matemáticas tabuladas privativamente pela área de RH, a chefia imediata preenche o formulário sem saber exatamente como o servidor pontuou em cada quesito, impossibilitando orientá-lo sobre onde e como melhorar seu desempenho no trabalho.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A tendência central é a marca do método das Escalas Gráficas.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Escolha Forçada é um método geral de avaliação comportamental, perfeitamente utilizável na área administrativa.</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Analista Judiciário – TRT-21ª)</w:t>
      </w:r>
    </w:p>
    <w:p>
      <w:pPr>
        <w:spacing w:line="360" w:lineRule="auto" w:before="0" w:after="80"/>
        <w:jc w:val="both"/>
      </w:pPr>
      <w:r>
        <w:rPr>
          <w:rFonts w:ascii="Arial" w:hAnsi="Arial"/>
          <w:b w:val="0"/>
          <w:i w:val="0"/>
          <w:color w:val="111827"/>
          <w:sz w:val="24"/>
        </w:rPr>
        <w:t>O modelo conceitual de Qualidade de Vida no Trabalho (QVT) estruturado por Richard Walton estabelece oito dimensões fundamentais para a criação de um ecossistema laboral saudável e motivador. A dimensão que prevê expressamente o respeito à privacidade dos colaboradores, a vigência de regras claras e transparentes de conduta funcional, a liberdade de expressão responsável e a garantia do devido processo legal e ampla defesa diante de averiguações funcionais é denominada por Walton 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Espaço Total de Vida.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Relevância Social do Trabalho.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Integração Social na Organização.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Constitucionalismo na Organização.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Compensação Justa e Adequada.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Espaço Total de Vida diz respeito ao equilíbrio sadio entre as demandas laborais e a vida pessoal, social e familiar do empregado.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A Relevância Social do Trabalho analisa o orgulho que o trabalhador ostenta quanto à contribuição ética e ao valor público que a instituição entrega à sociedade.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A Integração Social na Organização envolve a ausência de discriminações e preconceitos e o fortalecimento de laços de companheirismo e cooperação mútua.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CORRETA.</w:t>
            </w:r>
            <w:r>
              <w:rPr>
                <w:rFonts w:ascii="Arial" w:hAnsi="Arial"/>
                <w:b w:val="0"/>
                <w:i w:val="0"/>
                <w:color w:val="111827"/>
                <w:sz w:val="21"/>
              </w:rPr>
              <w:t xml:space="preserve"> No modelo de Richard Walton, o </w:t>
            </w:r>
            <w:r>
              <w:rPr>
                <w:rFonts w:ascii="Arial" w:hAnsi="Arial"/>
                <w:b/>
                <w:i w:val="0"/>
                <w:color w:val="111827"/>
                <w:sz w:val="21"/>
              </w:rPr>
              <w:t>Constitucionalismo na Organização</w:t>
            </w:r>
            <w:r>
              <w:rPr>
                <w:rFonts w:ascii="Arial" w:hAnsi="Arial"/>
                <w:b w:val="0"/>
                <w:i w:val="0"/>
                <w:color w:val="111827"/>
                <w:sz w:val="21"/>
              </w:rPr>
              <w:t xml:space="preserve"> é a dimensão que estabelece a vigência dos direitos civis e das garantias de cidadania dentro da corporação. Envolve o respeito aos direitos trabalhistas, regras institucionais claras, proteção da intimidade/privacidade, liberdade de opinião e o cumprimento inafastável do contraditório e da ampla defesa antes da imposição de sanções disciplinares.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Compensação Justa e Adequada compreende renda condizente com a dignidade e critérios de equidade interna e externa.</w:t>
            </w:r>
          </w:p>
          <w:p>
            <w:pPr>
              <w:spacing w:line="288" w:lineRule="auto" w:before="120" w:after="80"/>
            </w:pPr>
            <w:r>
              <w:rPr>
                <w:rFonts w:ascii="Arial" w:hAnsi="Arial"/>
                <w:b/>
                <w:i w:val="0"/>
                <w:color w:val="047857"/>
                <w:sz w:val="22"/>
              </w:rPr>
              <w:t>Gabarito: D</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Auditor de Controle Externo – TCE-RO)</w:t>
      </w:r>
    </w:p>
    <w:p>
      <w:pPr>
        <w:spacing w:line="360" w:lineRule="auto" w:before="0" w:after="80"/>
        <w:jc w:val="both"/>
      </w:pPr>
      <w:r>
        <w:rPr>
          <w:rFonts w:ascii="Arial" w:hAnsi="Arial"/>
          <w:b w:val="0"/>
          <w:i w:val="0"/>
          <w:color w:val="111827"/>
          <w:sz w:val="24"/>
        </w:rPr>
        <w:t>Nos termos do art. 39, § 4º da Constituição Federal de 1988, determinadas categorias de agentes públicos devem ser remuneradas exclusivamente pelo regime de subsídio. A respeito dessa disciplina constitucional, é correto afirmar: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O subsídio é fixado em parcela única, sendo constitucionalmente lícito o pagamento cumulativo de gratificações de produtividade e adicionais de tempo de serviço.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O regime de subsídio veda o acréscimo de qualquer gratificação, adicional, abono, prêmio ou verba de representação, ressalvado o pagamento de parcelas de natureza estritamente indenizatória previstas em lei.</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O subsídio mensal dos servidores públicos estaduais não se subordina ao teto remuneratório constitucional, tendo em vista a autonomia federativa ampla dos Estados-membros.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pagamento de diárias e de ajuda de custo para ressarcir despesas extraordinárias com deslocamento a serviço é terminantemente vedado aos agentes remunerados por subsídio.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O subsídio pode ser instituído discricionariamente mediante portaria interna expedida pelo Presidente do Tribunal de Contas, prescindindo de lei formal específica.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subsídio veda terminantemente a inclusão de gratificações por tempo de serviço ou adicionais de produtividade típicos da remuneração composta.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CORRETA.</w:t>
            </w:r>
            <w:r>
              <w:rPr>
                <w:rFonts w:ascii="Arial" w:hAnsi="Arial"/>
                <w:b w:val="0"/>
                <w:i w:val="0"/>
                <w:color w:val="111827"/>
                <w:sz w:val="21"/>
              </w:rPr>
              <w:t xml:space="preserve"> Conforme a redação expressa do art. 39, § 4º da CF/88, o subsídio é fixado em </w:t>
            </w:r>
            <w:r>
              <w:rPr>
                <w:rFonts w:ascii="Arial" w:hAnsi="Arial"/>
                <w:b/>
                <w:i w:val="0"/>
                <w:color w:val="111827"/>
                <w:sz w:val="21"/>
              </w:rPr>
              <w:t>parcela única, vedado o acréscimo de qualquer gratificação, adicional, abono, prêmio, verba de representação</w:t>
            </w:r>
            <w:r>
              <w:rPr>
                <w:rFonts w:ascii="Arial" w:hAnsi="Arial"/>
                <w:b w:val="0"/>
                <w:i w:val="0"/>
                <w:color w:val="111827"/>
                <w:sz w:val="21"/>
              </w:rPr>
              <w:t xml:space="preserve"> ou outra espécie remuneratória. A jurisprudência consolidada do STF ressalva expressamente que essa vedação </w:t>
            </w:r>
            <w:r>
              <w:rPr>
                <w:rFonts w:ascii="Arial" w:hAnsi="Arial"/>
                <w:b/>
                <w:i w:val="0"/>
                <w:color w:val="111827"/>
                <w:sz w:val="21"/>
              </w:rPr>
              <w:t>não atinge parcelas de natureza estritamente indenizatória</w:t>
            </w:r>
            <w:r>
              <w:rPr>
                <w:rFonts w:ascii="Arial" w:hAnsi="Arial"/>
                <w:b w:val="0"/>
                <w:i w:val="0"/>
                <w:color w:val="111827"/>
                <w:sz w:val="21"/>
              </w:rPr>
              <w:t xml:space="preserve"> (como diárias e indenização de transporte), pois elas visam ressarcir despesas suportadas pelo agente público no interesse do serviço e não constituem ganho patrimonial.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Incorreta.</w:t>
            </w:r>
            <w:r>
              <w:rPr>
                <w:rFonts w:ascii="Arial" w:hAnsi="Arial"/>
                <w:b w:val="0"/>
                <w:i w:val="0"/>
                <w:color w:val="111827"/>
                <w:sz w:val="21"/>
              </w:rPr>
              <w:t xml:space="preserve"> Todos os subsídios subordinam-se expressamente ao teto remuneratório constitucional previsto no art. 37, XI da CF/88.</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Diárias e ajuda de custo são parcelas indenizatórias legítimas e plenamente compatíveis com o regime de subsídio.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fixação ou alteração de subsídios exige obrigatoriamente lei formal específica (princípio da reserva legal).</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Analista de Gestão Pública – DPE-RS)</w:t>
      </w:r>
    </w:p>
    <w:p>
      <w:pPr>
        <w:spacing w:line="360" w:lineRule="auto" w:before="0" w:after="80"/>
        <w:jc w:val="both"/>
      </w:pPr>
      <w:r>
        <w:rPr>
          <w:rFonts w:ascii="Arial" w:hAnsi="Arial"/>
          <w:b w:val="0"/>
          <w:i w:val="0"/>
          <w:color w:val="111827"/>
          <w:sz w:val="24"/>
        </w:rPr>
        <w:t>Com o avanço da transformação digital na administração pública, o regime de teletrabalho consolidou-se como instrumento relevante de modernização gerencial. Sob a ótica do planejamento e gestão de pessoas, a correta implementação do teletrabalho no setor público pressupõe: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intensificação dos mecanismos cartoriais de fiscalização contínua de horários por meio de relógios de ponto virtuais e acionamento de câmeras de vídeo a cada 30 minutos.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supressão definitiva de qualquer responsabilidade da instituição governamental quanto a padrões ergonômicos e segurança cibernética de seus dados.</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substituição do controle formal e presencial de frequência por um modelo fundamentado na pactuação prévia de metas mensuráveis e entregas de resultados de valor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cancelamento compulsório de todos os programas institucionais de capacitação continuada para os servidores admitidos na modalidade remota.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 proibição legal do retorno do servidor ao regime de trabalho presencial, dado o caráter irrevogável do termo de adesão ao teletrabalho.</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 Incorreta.</w:t>
            </w:r>
            <w:r>
              <w:rPr>
                <w:rFonts w:ascii="Arial" w:hAnsi="Arial"/>
                <w:b w:val="0"/>
                <w:i w:val="0"/>
                <w:color w:val="111827"/>
                <w:sz w:val="21"/>
              </w:rPr>
              <w:t xml:space="preserve"> O teletrabalho moderno rompe exatamente com a lógica cartorial de vigiar horários mecânicos, substituindo-a pelo foco em resultados e produtividade.</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 Incorreta.</w:t>
            </w:r>
            <w:r>
              <w:rPr>
                <w:rFonts w:ascii="Arial" w:hAnsi="Arial"/>
                <w:b w:val="0"/>
                <w:i w:val="0"/>
                <w:color w:val="111827"/>
                <w:sz w:val="21"/>
              </w:rPr>
              <w:t xml:space="preserve"> O órgão mantém a obrigação de orientar sobre práticas ergonômicas e instituir mecanismos rígidos de governança e segurança da informação (VPN, sigilo funcional).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 CORRETA.</w:t>
            </w:r>
            <w:r>
              <w:rPr>
                <w:rFonts w:ascii="Arial" w:hAnsi="Arial"/>
                <w:b w:val="0"/>
                <w:i w:val="0"/>
                <w:color w:val="111827"/>
                <w:sz w:val="21"/>
              </w:rPr>
              <w:t xml:space="preserve"> O fundamento primordial do teletrabalho e do trabalho híbrido no setor público reside na transição paradigmática do controle de presença física e cumprimento estrito de horas no relógio para a </w:t>
            </w:r>
            <w:r>
              <w:rPr>
                <w:rFonts w:ascii="Arial" w:hAnsi="Arial"/>
                <w:b/>
                <w:i w:val="0"/>
                <w:color w:val="111827"/>
                <w:sz w:val="21"/>
              </w:rPr>
              <w:t>gestão por resultados</w:t>
            </w:r>
            <w:r>
              <w:rPr>
                <w:rFonts w:ascii="Arial" w:hAnsi="Arial"/>
                <w:b w:val="0"/>
                <w:i w:val="0"/>
                <w:color w:val="111827"/>
                <w:sz w:val="21"/>
              </w:rPr>
              <w:t>, orientada por metas quantitativas e qualitativas claras, com prazos e entregas concretas pactuadas no plano de trabalho institucional.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 Incorreta.</w:t>
            </w:r>
            <w:r>
              <w:rPr>
                <w:rFonts w:ascii="Arial" w:hAnsi="Arial"/>
                <w:b w:val="0"/>
                <w:i w:val="0"/>
                <w:color w:val="111827"/>
                <w:sz w:val="21"/>
              </w:rPr>
              <w:t xml:space="preserve"> Servidores em teletrabalho permanecem com pleno direito e necessidade de qualificação por meio de educação corporativa (EaD e cursos).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 Incorreta.</w:t>
            </w:r>
            <w:r>
              <w:rPr>
                <w:rFonts w:ascii="Arial" w:hAnsi="Arial"/>
                <w:b w:val="0"/>
                <w:i w:val="0"/>
                <w:color w:val="111827"/>
                <w:sz w:val="21"/>
              </w:rPr>
              <w:t xml:space="preserve"> A permanência em teletrabalho não constitui direito adquirido; trata-se de regime precário e revogável por necessidade do serviço ou interesse da administração pública a qualquer momento.</w:t>
            </w:r>
          </w:p>
          <w:p>
            <w:pPr>
              <w:spacing w:line="288" w:lineRule="auto" w:before="120" w:after="80"/>
            </w:pPr>
            <w:r>
              <w:rPr>
                <w:rFonts w:ascii="Arial" w:hAnsi="Arial"/>
                <w:b/>
                <w:i w:val="0"/>
                <w:color w:val="047857"/>
                <w:sz w:val="22"/>
              </w:rPr>
              <w:t>Gabarito: C</w:t>
            </w:r>
          </w:p>
        </w:tc>
      </w:tr>
    </w:tbl>
    <w:p>
      <w:pPr>
        <w:spacing w:before="0" w:after="120"/>
      </w:pPr>
    </w:p>
    <w:p>
      <w:r>
        <w:br w:type="page"/>
      </w:r>
    </w:p>
    <w:p>
      <w:pPr>
        <w:keepNext/>
        <w:spacing w:before="360" w:after="160"/>
      </w:pPr>
      <w:r>
        <w:rPr>
          <w:rFonts w:ascii="Arial" w:hAnsi="Arial"/>
          <w:b/>
          <w:i w:val="0"/>
          <w:color w:val="1B365D"/>
          <w:sz w:val="36"/>
        </w:rPr>
        <w:t>04 - Regime Jurídico dos Servidores Públicos Civis do Estado de Goiás (Lei Estadual nº 20.756/2020)</w:t>
      </w:r>
    </w:p>
    <w:p>
      <w:pPr>
        <w:spacing w:line="240" w:lineRule="auto" w:before="20" w:after="40"/>
        <w:ind w:left="2268"/>
      </w:pPr>
      <w:r>
        <w:rPr>
          <w:rFonts w:ascii="Arial" w:hAnsi="Arial"/>
          <w:b/>
          <w:i w:val="0"/>
          <w:color w:val="4B5563"/>
          <w:sz w:val="20"/>
        </w:rPr>
        <w:t>Matéria:</w:t>
      </w:r>
      <w:r>
        <w:rPr>
          <w:rFonts w:ascii="Arial" w:hAnsi="Arial"/>
          <w:b w:val="0"/>
          <w:i w:val="0"/>
          <w:color w:val="4B5563"/>
          <w:sz w:val="20"/>
        </w:rPr>
        <w:t xml:space="preserve"> Gestão de Pessoas</w:t>
      </w:r>
    </w:p>
    <w:p>
      <w:pPr>
        <w:spacing w:line="240" w:lineRule="auto" w:before="20" w:after="40"/>
        <w:ind w:left="2268"/>
      </w:pPr>
      <w:r>
        <w:rPr>
          <w:rFonts w:ascii="Arial" w:hAnsi="Arial"/>
          <w:b/>
          <w:i w:val="0"/>
          <w:color w:val="4B5563"/>
          <w:sz w:val="20"/>
        </w:rPr>
        <w:t>Cargo:</w:t>
      </w:r>
      <w:r>
        <w:rPr>
          <w:rFonts w:ascii="Arial" w:hAnsi="Arial"/>
          <w:b w:val="0"/>
          <w:i w:val="0"/>
          <w:color w:val="4B5563"/>
          <w:sz w:val="20"/>
        </w:rPr>
        <w:t xml:space="preserve"> A01 – Técnico de Controle Externo – Especialidade: Técnico Administrativo (TCE-GO)</w:t>
      </w:r>
    </w:p>
    <w:p>
      <w:pPr>
        <w:spacing w:line="240" w:lineRule="auto" w:before="20" w:after="40"/>
        <w:ind w:left="2268"/>
      </w:pPr>
      <w:r>
        <w:rPr>
          <w:rFonts w:ascii="Arial" w:hAnsi="Arial"/>
          <w:b/>
          <w:i w:val="0"/>
          <w:color w:val="4B5563"/>
          <w:sz w:val="20"/>
        </w:rPr>
        <w:t>Conteúdo Oficial:</w:t>
      </w:r>
      <w:r>
        <w:rPr>
          <w:rFonts w:ascii="Arial" w:hAnsi="Arial"/>
          <w:b w:val="0"/>
          <w:i w:val="0"/>
          <w:color w:val="4B5563"/>
          <w:sz w:val="20"/>
        </w:rPr>
        <w:t xml:space="preserve"> Lei Estadual de Goiás nº 20.756/2020 (Estatuto dos Servidores Públicos Civis do Estado de Goiás); Formas de Provimento (Nomeação, Posse e Exercício); Estágio Probatório e Estabilidade; Formas Derivadas de Provimento; Vacância; Direitos, Vantagens e Licenças; Regime Disciplinar, Sanções e Prazos de Prescrição; Sindicância e PAD.</w:t>
      </w:r>
    </w:p>
    <w:p>
      <w:pPr>
        <w:spacing w:after="120"/>
      </w:pPr>
    </w:p>
    <w:p>
      <w:pPr>
        <w:keepNext/>
        <w:spacing w:before="280" w:after="120"/>
      </w:pPr>
      <w:r>
        <w:rPr>
          <w:rFonts w:ascii="Arial" w:hAnsi="Arial"/>
          <w:b/>
          <w:i w:val="0"/>
          <w:color w:val="2C5282"/>
          <w:sz w:val="28"/>
        </w:rPr>
        <w:t>📌 Ementa &amp; Delimitação do Conteúdo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Disposições Preliminares e Conceitos Fundamentais: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Servidor Público: pessoa legalmente investida em cargo público de provimento efetivo ou em comissão;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Cargo Público: unidade básica de atribuições e responsabilidades cometidas a um servidor, criada por lei, com denominação própria, quantidade certa e remuneração paga pelos cofres estaduais;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Função de Confiança (exclusiva de servidores de cargo efetivo) vs. Cargo em Comissão (livre nomeação e exoneração, com percentual mínimo reservado para servidores de carreira).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Provimento de Cargos Públicos: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Requisitos básicos para investidura em cargo público estadual (nacionalidade brasileira, gozo dos direitos políticos, quitação militar e eleitoral, nível de escolaridade exigido, idade mínima de 18 anos e higidez física e mental);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Nomeação (provimento originário em caráter efetivo ou em comissão);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 Posse: formalização da investidura mediante assinatura do respectivo termo; prazo legal improrrogável de </w:t>
      </w:r>
      <w:r>
        <w:rPr>
          <w:rFonts w:ascii="Arial" w:hAnsi="Arial"/>
          <w:b/>
          <w:i w:val="0"/>
          <w:color w:val="111827"/>
          <w:sz w:val="22"/>
        </w:rPr>
        <w:t>30 (trinta) dias</w:t>
      </w:r>
      <w:r>
        <w:rPr>
          <w:rFonts w:ascii="Arial" w:hAnsi="Arial"/>
          <w:b w:val="0"/>
          <w:i w:val="0"/>
          <w:color w:val="111827"/>
          <w:sz w:val="22"/>
        </w:rPr>
        <w:t xml:space="preserve"> contados da publicação oficial do ato de nomeação no Diário Oficial; consequência do descumprimento: o ato de nomeação é </w:t>
      </w:r>
      <w:r>
        <w:rPr>
          <w:rFonts w:ascii="Arial" w:hAnsi="Arial"/>
          <w:b/>
          <w:i w:val="0"/>
          <w:color w:val="111827"/>
          <w:sz w:val="22"/>
        </w:rPr>
        <w:t>tornado sem efeito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Exercício: início do efetivo desempenho das funções cometidas ao cargo; prazo legal de </w:t>
      </w:r>
      <w:r>
        <w:rPr>
          <w:rFonts w:ascii="Arial" w:hAnsi="Arial"/>
          <w:b/>
          <w:i w:val="0"/>
          <w:color w:val="111827"/>
          <w:sz w:val="22"/>
        </w:rPr>
        <w:t>15 (quinze) dias</w:t>
      </w:r>
      <w:r>
        <w:rPr>
          <w:rFonts w:ascii="Arial" w:hAnsi="Arial"/>
          <w:b w:val="0"/>
          <w:i w:val="0"/>
          <w:color w:val="111827"/>
          <w:sz w:val="22"/>
        </w:rPr>
        <w:t xml:space="preserve"> contados da posse; consequência do descumprimento: o servidor empossado é </w:t>
      </w:r>
      <w:r>
        <w:rPr>
          <w:rFonts w:ascii="Arial" w:hAnsi="Arial"/>
          <w:b/>
          <w:i w:val="0"/>
          <w:color w:val="111827"/>
          <w:sz w:val="22"/>
        </w:rPr>
        <w:t>exonerado de ofício</w:t>
      </w:r>
      <w:r>
        <w:rPr>
          <w:rFonts w:ascii="Arial" w:hAnsi="Arial"/>
          <w:b w:val="0"/>
          <w:i w:val="0"/>
          <w:color w:val="111827"/>
          <w:sz w:val="22"/>
        </w:rPr>
        <w:t>.</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Estágio Probatório e Estabilidade Constitucional: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Período de </w:t>
      </w:r>
      <w:r>
        <w:rPr>
          <w:rFonts w:ascii="Arial" w:hAnsi="Arial"/>
          <w:b/>
          <w:i w:val="0"/>
          <w:color w:val="111827"/>
          <w:sz w:val="22"/>
        </w:rPr>
        <w:t>3 (três) anos (36 meses) de efetivo exercício</w:t>
      </w:r>
      <w:r>
        <w:rPr>
          <w:rFonts w:ascii="Arial" w:hAnsi="Arial"/>
          <w:b w:val="0"/>
          <w:i w:val="0"/>
          <w:color w:val="111827"/>
          <w:sz w:val="22"/>
        </w:rPr>
        <w:t xml:space="preserve"> em cargo de provimento efetivo;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Fatores de avaliação especial de desempenho: assiduidade, pontualidade, disciplina, capacidade de iniciativa, produtividade e responsabilidade;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Comissão Especial de Avaliação de Desempenho;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Consequência da inabilitação no probatório: </w:t>
      </w:r>
      <w:r>
        <w:rPr>
          <w:rFonts w:ascii="Arial" w:hAnsi="Arial"/>
          <w:b/>
          <w:i w:val="0"/>
          <w:color w:val="111827"/>
          <w:sz w:val="22"/>
        </w:rPr>
        <w:t>exoneração de ofício</w:t>
      </w:r>
      <w:r>
        <w:rPr>
          <w:rFonts w:ascii="Arial" w:hAnsi="Arial"/>
          <w:b w:val="0"/>
          <w:i w:val="0"/>
          <w:color w:val="111827"/>
          <w:sz w:val="22"/>
        </w:rPr>
        <w:t xml:space="preserve"> (se não estável anteriormente no serviço público estadual) ou </w:t>
      </w:r>
      <w:r>
        <w:rPr>
          <w:rFonts w:ascii="Arial" w:hAnsi="Arial"/>
          <w:b/>
          <w:i w:val="0"/>
          <w:color w:val="111827"/>
          <w:sz w:val="22"/>
        </w:rPr>
        <w:t>recondução ao cargo de origem</w:t>
      </w:r>
      <w:r>
        <w:rPr>
          <w:rFonts w:ascii="Arial" w:hAnsi="Arial"/>
          <w:b w:val="0"/>
          <w:i w:val="0"/>
          <w:color w:val="111827"/>
          <w:sz w:val="22"/>
        </w:rPr>
        <w:t xml:space="preserve"> (se já estável em outro cargo público estadual);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Hipóteses constitucionais de perda do cargo pelo servidor estável (CF/88, art. 41 e art. 169).</w:t>
      </w:r>
    </w:p>
    <w:p>
      <w:pPr>
        <w:spacing w:line="276" w:lineRule="auto" w:before="20" w:after="40"/>
        <w:ind w:left="425"/>
      </w:pPr>
      <w:r>
        <w:rPr>
          <w:rFonts w:ascii="Arial" w:hAnsi="Arial"/>
          <w:b/>
          <w:color w:val="1B365D"/>
          <w:sz w:val="22"/>
        </w:rPr>
        <w:t xml:space="preserve">4. </w:t>
      </w:r>
      <w:r>
        <w:rPr>
          <w:rFonts w:ascii="Arial" w:hAnsi="Arial"/>
          <w:b/>
          <w:i w:val="0"/>
          <w:color w:val="111827"/>
          <w:sz w:val="22"/>
        </w:rPr>
        <w:t>Formas Derivadas de Provimento:</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Reintegração:</w:t>
      </w:r>
      <w:r>
        <w:rPr>
          <w:rFonts w:ascii="Arial" w:hAnsi="Arial"/>
          <w:b w:val="0"/>
          <w:i w:val="0"/>
          <w:color w:val="111827"/>
          <w:sz w:val="22"/>
        </w:rPr>
        <w:t xml:space="preserve"> retorno do servidor estável indevidamente demitido por via de anulação judicial ou administrativa, com recomposição financeira retroativa integral;</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Recondução:</w:t>
      </w:r>
      <w:r>
        <w:rPr>
          <w:rFonts w:ascii="Arial" w:hAnsi="Arial"/>
          <w:b w:val="0"/>
          <w:i w:val="0"/>
          <w:color w:val="111827"/>
          <w:sz w:val="22"/>
        </w:rPr>
        <w:t xml:space="preserve"> retorno do servidor estável ao cargo anteriormente ocupado por inabilitação em probatório de outro cargo ou reintegração do titular precedente;</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Reversão:</w:t>
      </w:r>
      <w:r>
        <w:rPr>
          <w:rFonts w:ascii="Arial" w:hAnsi="Arial"/>
          <w:b w:val="0"/>
          <w:i w:val="0"/>
          <w:color w:val="111827"/>
          <w:sz w:val="22"/>
        </w:rPr>
        <w:t xml:space="preserve"> retorno à atividade do servidor aposentado (de ofício por cessação da incapacidade em junta médica ou a pedido no interesse público);</w:t>
      </w:r>
    </w:p>
    <w:p>
      <w:pPr>
        <w:spacing w:line="276" w:lineRule="auto" w:before="20" w:after="40"/>
        <w:ind w:left="992"/>
      </w:pPr>
      <w:r>
        <w:rPr>
          <w:rFonts w:ascii="Arial" w:hAnsi="Arial"/>
          <w:b/>
          <w:color w:val="2B6CB0"/>
          <w:sz w:val="22"/>
        </w:rPr>
        <w:t xml:space="preserve">• </w:t>
      </w:r>
      <w:r>
        <w:rPr>
          <w:rFonts w:ascii="Arial" w:hAnsi="Arial"/>
          <w:b/>
          <w:i w:val="0"/>
          <w:color w:val="111827"/>
          <w:sz w:val="22"/>
        </w:rPr>
        <w:t>Aproveitamento:</w:t>
      </w:r>
      <w:r>
        <w:rPr>
          <w:rFonts w:ascii="Arial" w:hAnsi="Arial"/>
          <w:b w:val="0"/>
          <w:i w:val="0"/>
          <w:color w:val="111827"/>
          <w:sz w:val="22"/>
        </w:rPr>
        <w:t xml:space="preserve"> retorno compulsório do servidor estável em disponibilidade remunerada para cargo de natureza e vencimentos compatíveis;</w:t>
      </w:r>
    </w:p>
    <w:p>
      <w:pPr>
        <w:spacing w:line="276" w:lineRule="auto" w:before="20" w:after="40"/>
        <w:ind w:left="992"/>
      </w:pPr>
      <w:r>
        <w:rPr>
          <w:rFonts w:ascii="Arial" w:hAnsi="Arial"/>
          <w:b/>
          <w:color w:val="2B6CB0"/>
          <w:sz w:val="22"/>
        </w:rPr>
        <w:t xml:space="preserve">• </w:t>
      </w:r>
      <w:r>
        <w:rPr>
          <w:rFonts w:ascii="Arial" w:hAnsi="Arial"/>
          <w:b/>
          <w:i w:val="0"/>
          <w:color w:val="111827"/>
          <w:sz w:val="22"/>
        </w:rPr>
        <w:t>Readaptação:</w:t>
      </w:r>
      <w:r>
        <w:rPr>
          <w:rFonts w:ascii="Arial" w:hAnsi="Arial"/>
          <w:b w:val="0"/>
          <w:i w:val="0"/>
          <w:color w:val="111827"/>
          <w:sz w:val="22"/>
        </w:rPr>
        <w:t xml:space="preserve"> investidura em cargo de complexidade compatível com limitação física ou mental comprovada em perícia médica oficial, assegurada a irredutibilidade remuneratória (sem decesso).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Vacância do Cargo Público: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Exoneração (</w:t>
      </w:r>
      <w:r>
        <w:rPr>
          <w:rFonts w:ascii="Arial" w:hAnsi="Arial"/>
          <w:b w:val="0"/>
          <w:i/>
          <w:color w:val="111827"/>
          <w:sz w:val="22"/>
        </w:rPr>
        <w:t>a pedido</w:t>
      </w:r>
      <w:r>
        <w:rPr>
          <w:rFonts w:ascii="Arial" w:hAnsi="Arial"/>
          <w:b w:val="0"/>
          <w:i w:val="0"/>
          <w:color w:val="111827"/>
          <w:sz w:val="22"/>
        </w:rPr>
        <w:t xml:space="preserve"> do servidor ou </w:t>
      </w:r>
      <w:r>
        <w:rPr>
          <w:rFonts w:ascii="Arial" w:hAnsi="Arial"/>
          <w:b w:val="0"/>
          <w:i/>
          <w:color w:val="111827"/>
          <w:sz w:val="22"/>
        </w:rPr>
        <w:t>de ofício</w:t>
      </w:r>
      <w:r>
        <w:rPr>
          <w:rFonts w:ascii="Arial" w:hAnsi="Arial"/>
          <w:b w:val="0"/>
          <w:i w:val="0"/>
          <w:color w:val="111827"/>
          <w:sz w:val="22"/>
        </w:rPr>
        <w:t xml:space="preserve"> por inabilitação no estágio probatório ou descumprimento do prazo de exercício) vs. Demissão (penalidade disciplinar punitiva gravíssima);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Outras hipóteses legais de vacância: readaptação, aposentadoria, posse em outro cargo inacumulável, falecimento e destituição de cargo em comissão.</w:t>
      </w:r>
    </w:p>
    <w:p>
      <w:pPr>
        <w:spacing w:line="276" w:lineRule="auto" w:before="20" w:after="40"/>
        <w:ind w:left="425"/>
      </w:pPr>
      <w:r>
        <w:rPr>
          <w:rFonts w:ascii="Arial" w:hAnsi="Arial"/>
          <w:b/>
          <w:color w:val="1B365D"/>
          <w:sz w:val="22"/>
        </w:rPr>
        <w:t xml:space="preserve">6. </w:t>
      </w:r>
      <w:r>
        <w:rPr>
          <w:rFonts w:ascii="Arial" w:hAnsi="Arial"/>
          <w:b/>
          <w:i w:val="0"/>
          <w:color w:val="111827"/>
          <w:sz w:val="22"/>
        </w:rPr>
        <w:t>Direitos, Vantagens Pecuniárias e Licenças: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Vencimento básico vs. Remuneração (vencimento acrescido de vantagens de caráter permanente e transitório);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Indenizações (caráter não incorporável, não previdenciário e não sujeito ao abate-teto): Ajuda de Custo (deslocamento para nova sede no interesse da administração), Diárias (hospedagem e alimentação em missão fora da sede) e Indenização de Transporte;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Férias anuais e acréscimo de um terço constitucional;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Licenças estatutárias: para tratamento de saúde, por motivo de doença em pessoa da família, maternidade e paternidade, para capacitação profissional (até 3 meses a cada quinquênio, com remuneração integral) e para tratar de interesses particulares (até 3 anos consecutivos, sem remuneração, condicionada à estabilidade prévia).</w:t>
      </w:r>
    </w:p>
    <w:p>
      <w:pPr>
        <w:spacing w:line="276" w:lineRule="auto" w:before="20" w:after="40"/>
        <w:ind w:left="425"/>
      </w:pPr>
      <w:r>
        <w:rPr>
          <w:rFonts w:ascii="Arial" w:hAnsi="Arial"/>
          <w:b/>
          <w:color w:val="1B365D"/>
          <w:sz w:val="22"/>
        </w:rPr>
        <w:t xml:space="preserve">7. </w:t>
      </w:r>
      <w:r>
        <w:rPr>
          <w:rFonts w:ascii="Arial" w:hAnsi="Arial"/>
          <w:b/>
          <w:i w:val="0"/>
          <w:color w:val="111827"/>
          <w:sz w:val="22"/>
        </w:rPr>
        <w:t>Regime Disciplinar, Sanções e Prescrição (Lei nº 20.756/2020):</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Responsabilidade civil, penal e administrativa (independência relativa das instâncias e reflexo imediato da absolvição criminal que nega a autoria ou a existência do fato);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Deveres funcionais e proibições estatutárias;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Penalidades disciplinares: </w:t>
      </w:r>
      <w:r>
        <w:rPr>
          <w:rFonts w:ascii="Arial" w:hAnsi="Arial"/>
          <w:b/>
          <w:i w:val="0"/>
          <w:color w:val="111827"/>
          <w:sz w:val="22"/>
        </w:rPr>
        <w:t>advertência</w:t>
      </w:r>
      <w:r>
        <w:rPr>
          <w:rFonts w:ascii="Arial" w:hAnsi="Arial"/>
          <w:b w:val="0"/>
          <w:i w:val="0"/>
          <w:color w:val="111827"/>
          <w:sz w:val="22"/>
        </w:rPr>
        <w:t xml:space="preserve"> (escrita), </w:t>
      </w:r>
      <w:r>
        <w:rPr>
          <w:rFonts w:ascii="Arial" w:hAnsi="Arial"/>
          <w:b/>
          <w:i w:val="0"/>
          <w:color w:val="111827"/>
          <w:sz w:val="22"/>
        </w:rPr>
        <w:t>suspensão</w:t>
      </w:r>
      <w:r>
        <w:rPr>
          <w:rFonts w:ascii="Arial" w:hAnsi="Arial"/>
          <w:b w:val="0"/>
          <w:i w:val="0"/>
          <w:color w:val="111827"/>
          <w:sz w:val="22"/>
        </w:rPr>
        <w:t xml:space="preserve"> (máximo de 90 dias, conversível em multa de 50% por dia trabalhado), </w:t>
      </w:r>
      <w:r>
        <w:rPr>
          <w:rFonts w:ascii="Arial" w:hAnsi="Arial"/>
          <w:b/>
          <w:i w:val="0"/>
          <w:color w:val="111827"/>
          <w:sz w:val="22"/>
        </w:rPr>
        <w:t>demissão</w:t>
      </w:r>
      <w:r>
        <w:rPr>
          <w:rFonts w:ascii="Arial" w:hAnsi="Arial"/>
          <w:b w:val="0"/>
          <w:i w:val="0"/>
          <w:color w:val="111827"/>
          <w:sz w:val="22"/>
        </w:rPr>
        <w:t xml:space="preserve">, </w:t>
      </w:r>
      <w:r>
        <w:rPr>
          <w:rFonts w:ascii="Arial" w:hAnsi="Arial"/>
          <w:b/>
          <w:i w:val="0"/>
          <w:color w:val="111827"/>
          <w:sz w:val="22"/>
        </w:rPr>
        <w:t>cassação de aposentadoria ou de disponibilidade</w:t>
      </w:r>
      <w:r>
        <w:rPr>
          <w:rFonts w:ascii="Arial" w:hAnsi="Arial"/>
          <w:b w:val="0"/>
          <w:i w:val="0"/>
          <w:color w:val="111827"/>
          <w:sz w:val="22"/>
        </w:rPr>
        <w:t xml:space="preserve"> e </w:t>
      </w:r>
      <w:r>
        <w:rPr>
          <w:rFonts w:ascii="Arial" w:hAnsi="Arial"/>
          <w:b/>
          <w:i w:val="0"/>
          <w:color w:val="111827"/>
          <w:sz w:val="22"/>
        </w:rPr>
        <w:t>destituição de cargo em comissão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Hipóteses de demissão: crime contra a administração, improbidade administrativa dolosa, abandono de cargo (mais de 30 dias consecutivos), inassiduidade habitual (60 dias interpolados em 12 meses), corrupção passiva e lesão aos cofres públicos;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Prazos de prescrição da ação disciplinar: </w:t>
      </w:r>
      <w:r>
        <w:rPr>
          <w:rFonts w:ascii="Arial" w:hAnsi="Arial"/>
          <w:b/>
          <w:i w:val="0"/>
          <w:color w:val="111827"/>
          <w:sz w:val="22"/>
        </w:rPr>
        <w:t>5 anos</w:t>
      </w:r>
      <w:r>
        <w:rPr>
          <w:rFonts w:ascii="Arial" w:hAnsi="Arial"/>
          <w:b w:val="0"/>
          <w:i w:val="0"/>
          <w:color w:val="111827"/>
          <w:sz w:val="22"/>
        </w:rPr>
        <w:t xml:space="preserve"> (demissão e cassação), </w:t>
      </w:r>
      <w:r>
        <w:rPr>
          <w:rFonts w:ascii="Arial" w:hAnsi="Arial"/>
          <w:b/>
          <w:i w:val="0"/>
          <w:color w:val="111827"/>
          <w:sz w:val="22"/>
        </w:rPr>
        <w:t>2 anos</w:t>
      </w:r>
      <w:r>
        <w:rPr>
          <w:rFonts w:ascii="Arial" w:hAnsi="Arial"/>
          <w:b w:val="0"/>
          <w:i w:val="0"/>
          <w:color w:val="111827"/>
          <w:sz w:val="22"/>
        </w:rPr>
        <w:t xml:space="preserve"> (suspensão) e </w:t>
      </w:r>
      <w:r>
        <w:rPr>
          <w:rFonts w:ascii="Arial" w:hAnsi="Arial"/>
          <w:b/>
          <w:i w:val="0"/>
          <w:color w:val="111827"/>
          <w:sz w:val="22"/>
        </w:rPr>
        <w:t>180 dias</w:t>
      </w:r>
      <w:r>
        <w:rPr>
          <w:rFonts w:ascii="Arial" w:hAnsi="Arial"/>
          <w:b w:val="0"/>
          <w:i w:val="0"/>
          <w:color w:val="111827"/>
          <w:sz w:val="22"/>
        </w:rPr>
        <w:t xml:space="preserve"> (advertência);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Sindicância e Processo Administrativo Disciplinar (PAD): comissão composta por 3 servidores estáveis, contraditório, ampla defesa e revisão disciplinar.</w:t>
      </w:r>
    </w:p>
    <w:p>
      <w:pPr>
        <w:keepNext/>
        <w:spacing w:before="280" w:after="120"/>
      </w:pPr>
      <w:r>
        <w:rPr>
          <w:rFonts w:ascii="Arial" w:hAnsi="Arial"/>
          <w:b/>
          <w:i w:val="0"/>
          <w:color w:val="2C5282"/>
          <w:sz w:val="28"/>
        </w:rPr>
        <w:t>🧭 Sumário Interativo</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1. Disposições Gerais e Conceitos Estruturais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1.1 Servidor Público e Cargo Público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1.2 Cargos de Provimento Efetivo, em Comissão e Funções de Confiança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1.3 Requisitos Básicos para Investidura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2. Dinâmica de Ingresso: Nomeação, Posse e Exercício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2.1 A Trilha Temporal de Investidura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2.2 Consequências Jurídicas do Descumprimento dos Prazos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3. Estágio Probatório e Estabilidade Constitucional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3.1 Requisitos e Fatores de Avaliação Especial</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3.2 Desfechos da Avaliação Especial: Exoneração vs. Recondução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3.3 Hipóteses Constitucionais de Perda do Cargo do Servidor Estável</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4. Provimento Derivado e Vacância de Cargos Públicos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4.1 Formas Derivadas de Provimento (Quadro Comparativo)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4.2 Hipóteses Legais de Vacância</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5. Direitos, Vantagens Pecuniárias e Licenças Estatutárias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5.1 Sistema Remuneratório: Vencimento, Remuneração e Indenizações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5.2 Regime de Férias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5.3 Licenças Estatutárias: Capacitação vs. Interesses Particulares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6. Regime Disciplinar e Processo Sancionador</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6.1 Responsabilidade Funcional e Independência Relativa das Instâncias</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6.2 As Penalidades Disciplinares e Hipóteses de Demissão</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6.3 Prazos de Prescrição da Pretensão Punitiva</w:t>
      </w:r>
    </w:p>
    <w:p>
      <w:pPr>
        <w:spacing w:line="276" w:lineRule="auto" w:before="20" w:after="40"/>
        <w:ind w:left="992"/>
      </w:pPr>
      <w:r>
        <w:rPr>
          <w:rFonts w:ascii="Arial" w:hAnsi="Arial"/>
          <w:b/>
          <w:color w:val="2B6CB0"/>
          <w:sz w:val="22"/>
        </w:rPr>
        <w:t xml:space="preserve">• </w:t>
      </w:r>
      <w:r>
        <w:rPr>
          <w:rFonts w:ascii="Arial" w:hAnsi="Arial"/>
          <w:color w:val="2B6CB0"/>
          <w:sz w:val="22"/>
          <w:u w:val="single"/>
        </w:rPr>
        <w:t>6.4 Sindicância e Processo Administrativo Disciplinar (PAD)</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7.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8. Questões de Concurso FCC Comentadas</w:t>
      </w:r>
    </w:p>
    <w:p>
      <w:pPr>
        <w:keepNext/>
        <w:spacing w:before="280" w:after="120"/>
      </w:pPr>
      <w:r>
        <w:rPr>
          <w:rFonts w:ascii="Arial" w:hAnsi="Arial"/>
          <w:b/>
          <w:i w:val="0"/>
          <w:color w:val="2C5282"/>
          <w:sz w:val="28"/>
        </w:rPr>
        <w:t>1. Disposições Gerais e Conceitos Estruturais</w:t>
      </w:r>
    </w:p>
    <w:p>
      <w:pPr>
        <w:spacing w:line="360" w:lineRule="auto" w:before="0" w:after="80"/>
        <w:jc w:val="both"/>
      </w:pPr>
      <w:r>
        <w:rPr>
          <w:rFonts w:ascii="Arial" w:hAnsi="Arial"/>
          <w:b w:val="0"/>
          <w:i w:val="0"/>
          <w:color w:val="111827"/>
          <w:sz w:val="24"/>
        </w:rPr>
        <w:t xml:space="preserve">A </w:t>
      </w:r>
      <w:r>
        <w:rPr>
          <w:rFonts w:ascii="Arial" w:hAnsi="Arial"/>
          <w:b/>
          <w:i w:val="0"/>
          <w:color w:val="111827"/>
          <w:sz w:val="24"/>
        </w:rPr>
        <w:t>Lei Estadual de Goiás nº 20.756, de 28 de janeiro de 2020</w:t>
      </w:r>
      <w:r>
        <w:rPr>
          <w:rFonts w:ascii="Arial" w:hAnsi="Arial"/>
          <w:b w:val="0"/>
          <w:i w:val="0"/>
          <w:color w:val="111827"/>
          <w:sz w:val="24"/>
        </w:rPr>
        <w:t>, estabeleceu o novo regime jurídico dos servidores públicos civis do Estado de Goiás, das suas autarquias e fundações públicas, modernizando os institutos estatutários e revogando a antiga Lei Estadual nº 10.460/1988.</w:t>
      </w:r>
    </w:p>
    <w:p>
      <w:pPr>
        <w:keepNext/>
        <w:spacing w:before="200" w:after="80"/>
      </w:pPr>
      <w:r>
        <w:rPr>
          <w:rFonts w:ascii="Arial" w:hAnsi="Arial"/>
          <w:b/>
          <w:i w:val="0"/>
          <w:color w:val="2B6CB0"/>
          <w:sz w:val="24"/>
        </w:rPr>
        <w:t>1.1 Servidor Público e Cargo Público</w:t>
      </w:r>
    </w:p>
    <w:p>
      <w:pPr>
        <w:spacing w:line="360" w:lineRule="auto" w:before="0" w:after="80"/>
        <w:jc w:val="both"/>
      </w:pPr>
      <w:r>
        <w:rPr>
          <w:rFonts w:ascii="Arial" w:hAnsi="Arial"/>
          <w:b w:val="0"/>
          <w:i w:val="0"/>
          <w:color w:val="111827"/>
          <w:sz w:val="24"/>
        </w:rPr>
        <w:t>Nos termos do Estatuto Goiano:</w:t>
      </w:r>
    </w:p>
    <w:p>
      <w:pPr>
        <w:spacing w:line="276" w:lineRule="auto" w:before="20" w:after="40"/>
        <w:ind w:left="425"/>
      </w:pPr>
      <w:r>
        <w:rPr>
          <w:rFonts w:ascii="Arial" w:hAnsi="Arial"/>
          <w:b/>
          <w:color w:val="2B6CB0"/>
          <w:sz w:val="22"/>
        </w:rPr>
        <w:t xml:space="preserve">• </w:t>
      </w:r>
      <w:r>
        <w:rPr>
          <w:rFonts w:ascii="Arial" w:hAnsi="Arial"/>
          <w:b/>
          <w:i w:val="0"/>
          <w:color w:val="111827"/>
          <w:sz w:val="22"/>
        </w:rPr>
        <w:t>Servidor Público:</w:t>
      </w:r>
      <w:r>
        <w:rPr>
          <w:rFonts w:ascii="Arial" w:hAnsi="Arial"/>
          <w:b w:val="0"/>
          <w:i w:val="0"/>
          <w:color w:val="111827"/>
          <w:sz w:val="22"/>
        </w:rPr>
        <w:t xml:space="preserve"> é a pessoa física legalmente investida em cargo público, de provimento efetivo ou em comissão.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Cargo Público:</w:t>
      </w:r>
      <w:r>
        <w:rPr>
          <w:rFonts w:ascii="Arial" w:hAnsi="Arial"/>
          <w:b w:val="0"/>
          <w:i w:val="0"/>
          <w:color w:val="111827"/>
          <w:sz w:val="22"/>
        </w:rPr>
        <w:t xml:space="preserve"> é a unidade básica de estrutura organizacional, criada exclusivamente por </w:t>
      </w:r>
      <w:r>
        <w:rPr>
          <w:rFonts w:ascii="Arial" w:hAnsi="Arial"/>
          <w:b/>
          <w:i w:val="0"/>
          <w:color w:val="111827"/>
          <w:sz w:val="22"/>
        </w:rPr>
        <w:t>lei</w:t>
      </w:r>
      <w:r>
        <w:rPr>
          <w:rFonts w:ascii="Arial" w:hAnsi="Arial"/>
          <w:b w:val="0"/>
          <w:i w:val="0"/>
          <w:color w:val="111827"/>
          <w:sz w:val="22"/>
        </w:rPr>
        <w:t>, com denominação própria, quantidade certa, atribuições e responsabilidades cometidas a um titular, com remuneração paga pelos cofres estaduais.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Os cargos públicos são acessíveis a todos os brasileiros natos ou naturalizados, bem como aos estrangeiros na forma estipulada em lei complementar ou ordinária de regência (CF/88, art. 37, I).</w:t>
      </w:r>
    </w:p>
    <w:p>
      <w:pPr>
        <w:keepNext/>
        <w:spacing w:before="200" w:after="80"/>
      </w:pPr>
      <w:r>
        <w:rPr>
          <w:rFonts w:ascii="Arial" w:hAnsi="Arial"/>
          <w:b/>
          <w:i w:val="0"/>
          <w:color w:val="2B6CB0"/>
          <w:sz w:val="24"/>
        </w:rPr>
        <w:t>1.2 Cargos de Provimento Efetivo, em Comissão e Funções de Confiança</w:t>
      </w:r>
    </w:p>
    <w:p>
      <w:pPr>
        <w:spacing w:line="360" w:lineRule="auto" w:before="0" w:after="80"/>
        <w:jc w:val="both"/>
      </w:pPr>
      <w:r>
        <w:rPr>
          <w:rFonts w:ascii="Arial" w:hAnsi="Arial"/>
          <w:b w:val="0"/>
          <w:i w:val="0"/>
          <w:color w:val="111827"/>
          <w:sz w:val="24"/>
        </w:rPr>
        <w:t>A estrutura de cargos e funções públicas no Estado de Goiás desdobra-se em três modalidades jurídicas distintas, alinhadas ao art. 37, V, da CF/88:</w:t>
      </w:r>
    </w:p>
    <w:p>
      <w:pPr>
        <w:spacing w:line="276" w:lineRule="auto" w:before="20" w:after="40"/>
        <w:ind w:left="425"/>
      </w:pPr>
      <w:r>
        <w:rPr>
          <w:rFonts w:ascii="Arial" w:hAnsi="Arial"/>
          <w:b/>
          <w:color w:val="1B365D"/>
          <w:sz w:val="22"/>
        </w:rPr>
        <w:t xml:space="preserve">1. </w:t>
      </w:r>
      <w:r>
        <w:rPr>
          <w:rFonts w:ascii="Arial" w:hAnsi="Arial"/>
          <w:b/>
          <w:i w:val="0"/>
          <w:color w:val="111827"/>
          <w:sz w:val="22"/>
        </w:rPr>
        <w:t>Cargos de Provimento Efetivo: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Exigem aprovação prévia em </w:t>
      </w:r>
      <w:r>
        <w:rPr>
          <w:rFonts w:ascii="Arial" w:hAnsi="Arial"/>
          <w:b/>
          <w:i w:val="0"/>
          <w:color w:val="111827"/>
          <w:sz w:val="22"/>
        </w:rPr>
        <w:t>concurso público</w:t>
      </w:r>
      <w:r>
        <w:rPr>
          <w:rFonts w:ascii="Arial" w:hAnsi="Arial"/>
          <w:b w:val="0"/>
          <w:i w:val="0"/>
          <w:color w:val="111827"/>
          <w:sz w:val="22"/>
        </w:rPr>
        <w:t xml:space="preserve"> de provas ou de provas e títulos;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Destinam-se ao corpo permanente da administração direta, autárquica e fundacional;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Proporcionam a aquisição de </w:t>
      </w:r>
      <w:r>
        <w:rPr>
          <w:rFonts w:ascii="Arial" w:hAnsi="Arial"/>
          <w:b/>
          <w:i w:val="0"/>
          <w:color w:val="111827"/>
          <w:sz w:val="22"/>
        </w:rPr>
        <w:t>estabilidade</w:t>
      </w:r>
      <w:r>
        <w:rPr>
          <w:rFonts w:ascii="Arial" w:hAnsi="Arial"/>
          <w:b w:val="0"/>
          <w:i w:val="0"/>
          <w:color w:val="111827"/>
          <w:sz w:val="22"/>
        </w:rPr>
        <w:t xml:space="preserve"> após 3 anos de efetivo exercício e aprovação em avaliação especial de desempenho.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Cargos em Comissão: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Declarados em lei de </w:t>
      </w:r>
      <w:r>
        <w:rPr>
          <w:rFonts w:ascii="Arial" w:hAnsi="Arial"/>
          <w:b/>
          <w:i w:val="0"/>
          <w:color w:val="111827"/>
          <w:sz w:val="22"/>
        </w:rPr>
        <w:t>livre nomeação e livre exoneração</w:t>
      </w:r>
      <w:r>
        <w:rPr>
          <w:rFonts w:ascii="Arial" w:hAnsi="Arial"/>
          <w:b w:val="0"/>
          <w:i w:val="0"/>
          <w:color w:val="111827"/>
          <w:sz w:val="22"/>
        </w:rPr>
        <w:t xml:space="preserve"> (</w:t>
      </w:r>
      <w:r>
        <w:rPr>
          <w:rFonts w:ascii="Arial" w:hAnsi="Arial"/>
          <w:b w:val="0"/>
          <w:i/>
          <w:color w:val="111827"/>
          <w:sz w:val="22"/>
        </w:rPr>
        <w:t>ad nutum</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Destinam-se exclusivamente às atribuições de </w:t>
      </w:r>
      <w:r>
        <w:rPr>
          <w:rFonts w:ascii="Arial" w:hAnsi="Arial"/>
          <w:b/>
          <w:i w:val="0"/>
          <w:color w:val="111827"/>
          <w:sz w:val="22"/>
        </w:rPr>
        <w:t>direção, chefia e assessoramento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Não conferem estabilidade sob nenhuma hipótese;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legislação goiana exige a destinação de um percentual mínimo desses cargos aos servidores titulares de cargos efetivos de carreira.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Funções de Confiança (ou Funções Gratificadas):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Exercidas </w:t>
      </w:r>
      <w:r>
        <w:rPr>
          <w:rFonts w:ascii="Arial" w:hAnsi="Arial"/>
          <w:b/>
          <w:i w:val="0"/>
          <w:color w:val="111827"/>
          <w:sz w:val="22"/>
        </w:rPr>
        <w:t>exclusivamente por servidores ocupantes de cargo de provimento efetivo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Destinadas exclusivamente às atribuições de direção, chefia e assessoramento intermediários;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Remuneradas mediante gratificação acessória paga enquanto perdurar a designação formal.</w:t>
      </w:r>
    </w:p>
    <w:p>
      <w:pPr>
        <w:spacing w:after="120"/>
      </w:pPr>
    </w:p>
    <w:p>
      <w:pPr>
        <w:keepNext/>
        <w:spacing w:before="200" w:after="80"/>
      </w:pPr>
      <w:r>
        <w:rPr>
          <w:rFonts w:ascii="Arial" w:hAnsi="Arial"/>
          <w:b/>
          <w:i w:val="0"/>
          <w:color w:val="2B6CB0"/>
          <w:sz w:val="24"/>
        </w:rPr>
        <w:t>1.3 Requisitos Básicos para Investidura</w:t>
      </w:r>
    </w:p>
    <w:p>
      <w:pPr>
        <w:spacing w:line="360" w:lineRule="auto" w:before="0" w:after="80"/>
        <w:jc w:val="both"/>
      </w:pPr>
      <w:r>
        <w:rPr>
          <w:rFonts w:ascii="Arial" w:hAnsi="Arial"/>
          <w:b w:val="0"/>
          <w:i w:val="0"/>
          <w:color w:val="111827"/>
          <w:sz w:val="24"/>
        </w:rPr>
        <w:t>Para a investidura em cargo público civil do Estado de Goiás, exige-se o preenchimento cumulativo dos seguintes requisitos básicos: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Nacionalidade brasileira</w:t>
      </w:r>
      <w:r>
        <w:rPr>
          <w:rFonts w:ascii="Arial" w:hAnsi="Arial"/>
          <w:b w:val="0"/>
          <w:i w:val="0"/>
          <w:color w:val="111827"/>
          <w:sz w:val="22"/>
        </w:rPr>
        <w:t xml:space="preserve"> (ou estrangeira, nos termos da lei específica);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Gozo dos direitos políticos;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Quitação com as obrigações militares e eleitorais;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Nível de escolaridade e habilitação profissional</w:t>
      </w:r>
      <w:r>
        <w:rPr>
          <w:rFonts w:ascii="Arial" w:hAnsi="Arial"/>
          <w:b w:val="0"/>
          <w:i w:val="0"/>
          <w:color w:val="111827"/>
          <w:sz w:val="22"/>
        </w:rPr>
        <w:t xml:space="preserve"> exigidos para o exercício do cargo;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Idade mínima de 18 (dezoito) anos</w:t>
      </w:r>
      <w:r>
        <w:rPr>
          <w:rFonts w:ascii="Arial" w:hAnsi="Arial"/>
          <w:b w:val="0"/>
          <w:i w:val="0"/>
          <w:color w:val="111827"/>
          <w:sz w:val="22"/>
        </w:rPr>
        <w:t xml:space="preserve"> completos na data da posse;</w:t>
      </w:r>
    </w:p>
    <w:p>
      <w:pPr>
        <w:spacing w:line="276" w:lineRule="auto" w:before="20" w:after="40"/>
        <w:ind w:left="425"/>
      </w:pPr>
      <w:r>
        <w:rPr>
          <w:rFonts w:ascii="Arial" w:hAnsi="Arial"/>
          <w:b/>
          <w:color w:val="1B365D"/>
          <w:sz w:val="22"/>
        </w:rPr>
        <w:t xml:space="preserve">6. </w:t>
      </w:r>
      <w:r>
        <w:rPr>
          <w:rFonts w:ascii="Arial" w:hAnsi="Arial"/>
          <w:b/>
          <w:i w:val="0"/>
          <w:color w:val="111827"/>
          <w:sz w:val="22"/>
        </w:rPr>
        <w:t>Aptidão física e mental</w:t>
      </w:r>
      <w:r>
        <w:rPr>
          <w:rFonts w:ascii="Arial" w:hAnsi="Arial"/>
          <w:b w:val="0"/>
          <w:i w:val="0"/>
          <w:color w:val="111827"/>
          <w:sz w:val="22"/>
        </w:rPr>
        <w:t>, devidamente atestada pela Junta Médica Oficial do Estado de Goiás.</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comprovação dos requisitos de investidura (escolaridade, idade, registro em conselho) é exigida no momento da </w:t>
            </w:r>
            <w:r>
              <w:rPr>
                <w:rFonts w:ascii="Arial" w:hAnsi="Arial"/>
                <w:b/>
                <w:i w:val="0"/>
                <w:color w:val="111827"/>
                <w:sz w:val="21"/>
              </w:rPr>
              <w:t>POSSE</w:t>
            </w:r>
            <w:r>
              <w:rPr>
                <w:rFonts w:ascii="Arial" w:hAnsi="Arial"/>
                <w:b w:val="0"/>
                <w:i w:val="0"/>
                <w:color w:val="111827"/>
                <w:sz w:val="21"/>
              </w:rPr>
              <w:t xml:space="preserve"> e não da inscrição no concurso público, em estrita consonância com a Súmula nº 266 do STJ (</w:t>
            </w:r>
            <w:r>
              <w:rPr>
                <w:rFonts w:ascii="Arial" w:hAnsi="Arial"/>
                <w:b w:val="0"/>
                <w:i/>
                <w:color w:val="111827"/>
                <w:sz w:val="21"/>
              </w:rPr>
              <w:t>"O diploma ou habilitação legal para o exercício do cargo deve ser exigido na posse e não na inscrição para o concurso público"</w:t>
            </w:r>
            <w:r>
              <w:rPr>
                <w:rFonts w:ascii="Arial" w:hAnsi="Arial"/>
                <w:b w:val="0"/>
                <w:i w:val="0"/>
                <w:color w:val="111827"/>
                <w:sz w:val="21"/>
              </w:rPr>
              <w:t>). Exceção única: quando a lei ou edital exigir expressamente a comprovação de tempo de prática forense ou atividade jurídica prévia já no ato da inscrição definitiva em carreiras jurídicas específicas.</w:t>
            </w:r>
          </w:p>
        </w:tc>
      </w:tr>
    </w:tbl>
    <w:p>
      <w:pPr>
        <w:spacing w:before="0" w:after="120"/>
      </w:pPr>
    </w:p>
    <w:p>
      <w:pPr>
        <w:keepNext/>
        <w:spacing w:before="280" w:after="120"/>
      </w:pPr>
      <w:r>
        <w:rPr>
          <w:rFonts w:ascii="Arial" w:hAnsi="Arial"/>
          <w:b/>
          <w:i w:val="0"/>
          <w:color w:val="2C5282"/>
          <w:sz w:val="28"/>
        </w:rPr>
        <w:t>2. Dinâmica de Ingresso: Nomeação, Posse e Exercício</w:t>
      </w:r>
    </w:p>
    <w:p>
      <w:pPr>
        <w:keepNext/>
        <w:spacing w:before="200" w:after="80"/>
      </w:pPr>
      <w:r>
        <w:rPr>
          <w:rFonts w:ascii="Arial" w:hAnsi="Arial"/>
          <w:b/>
          <w:i w:val="0"/>
          <w:color w:val="2B6CB0"/>
          <w:sz w:val="24"/>
        </w:rPr>
        <w:t>2.1 A Trilha Temporal de Investidura</w:t>
      </w:r>
    </w:p>
    <w:p>
      <w:pPr>
        <w:spacing w:line="360" w:lineRule="auto" w:before="0" w:after="80"/>
        <w:jc w:val="both"/>
      </w:pPr>
      <w:r>
        <w:rPr>
          <w:rFonts w:ascii="Arial" w:hAnsi="Arial"/>
          <w:b w:val="0"/>
          <w:i w:val="0"/>
          <w:color w:val="111827"/>
          <w:sz w:val="24"/>
        </w:rPr>
        <w:t>A investidura e o início formal do vínculo laboral do servidor com o Estado de Goiás seguem uma rigorosa cadeia cronológica de atos administrativos:</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Nomeação: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o ato administrativo formal pelo qual o Chefe do Poder ou autoridade competente convoca o candidato aprovado no certame para preencher a vaga existente;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Trata-se da única modalidade de </w:t>
      </w:r>
      <w:r>
        <w:rPr>
          <w:rFonts w:ascii="Arial" w:hAnsi="Arial"/>
          <w:b/>
          <w:i w:val="0"/>
          <w:color w:val="111827"/>
          <w:sz w:val="22"/>
        </w:rPr>
        <w:t>provimento originário</w:t>
      </w:r>
      <w:r>
        <w:rPr>
          <w:rFonts w:ascii="Arial" w:hAnsi="Arial"/>
          <w:b w:val="0"/>
          <w:i w:val="0"/>
          <w:color w:val="111827"/>
          <w:sz w:val="22"/>
        </w:rPr>
        <w:t xml:space="preserve"> no ordenamento jurídico brasileiro pós-1988;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Realiza-se em caráter efetivo (para cargos que exigem concurso) ou em comissão (para cargos declarados de livre provimento).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Posse: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É o momento solene e formal em que se </w:t>
      </w:r>
      <w:r>
        <w:rPr>
          <w:rFonts w:ascii="Arial" w:hAnsi="Arial"/>
          <w:b/>
          <w:i w:val="0"/>
          <w:color w:val="111827"/>
          <w:sz w:val="22"/>
        </w:rPr>
        <w:t>consuma a investidura</w:t>
      </w:r>
      <w:r>
        <w:rPr>
          <w:rFonts w:ascii="Arial" w:hAnsi="Arial"/>
          <w:b w:val="0"/>
          <w:i w:val="0"/>
          <w:color w:val="111827"/>
          <w:sz w:val="22"/>
        </w:rPr>
        <w:t xml:space="preserve"> no cargo público;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Formaliza-se pela assinatura do termo de posse, no qual o nomeado declara expressamente aceitar as atribuições, deveres, responsabilidades e direitos inerentes ao cargo;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Ocorre no prazo improrrogável de </w:t>
      </w:r>
      <w:r>
        <w:rPr>
          <w:rFonts w:ascii="Arial" w:hAnsi="Arial"/>
          <w:b/>
          <w:i w:val="0"/>
          <w:color w:val="111827"/>
          <w:sz w:val="22"/>
        </w:rPr>
        <w:t>30 (trinta) dias</w:t>
      </w:r>
      <w:r>
        <w:rPr>
          <w:rFonts w:ascii="Arial" w:hAnsi="Arial"/>
          <w:b w:val="0"/>
          <w:i w:val="0"/>
          <w:color w:val="111827"/>
          <w:sz w:val="22"/>
        </w:rPr>
        <w:t>, contados da data da publicação oficial do ato de nomeação no Diário Oficial do Estado (DOE);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posse pode dar-se mediante procuração específica em casos excepcionais previstos no regulamento.</w:t>
      </w:r>
    </w:p>
    <w:p>
      <w:pPr>
        <w:spacing w:line="276" w:lineRule="auto" w:before="20" w:after="40"/>
        <w:ind w:left="425"/>
      </w:pPr>
      <w:r>
        <w:rPr>
          <w:rFonts w:ascii="Arial" w:hAnsi="Arial"/>
          <w:b/>
          <w:color w:val="1B365D"/>
          <w:sz w:val="22"/>
        </w:rPr>
        <w:t xml:space="preserve">3. </w:t>
      </w:r>
      <w:r>
        <w:rPr>
          <w:rFonts w:ascii="Arial" w:hAnsi="Arial"/>
          <w:b/>
          <w:i w:val="0"/>
          <w:color w:val="111827"/>
          <w:sz w:val="22"/>
        </w:rPr>
        <w:t>Exercício: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É o efetivo desempenho das atribuições e encargos do cargo público pelo servidor;</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O prazo para o servidor empossado entrar em exercício é de </w:t>
      </w:r>
      <w:r>
        <w:rPr>
          <w:rFonts w:ascii="Arial" w:hAnsi="Arial"/>
          <w:b/>
          <w:i w:val="0"/>
          <w:color w:val="111827"/>
          <w:sz w:val="22"/>
        </w:rPr>
        <w:t>15 (quinze) dias</w:t>
      </w:r>
      <w:r>
        <w:rPr>
          <w:rFonts w:ascii="Arial" w:hAnsi="Arial"/>
          <w:b w:val="0"/>
          <w:i w:val="0"/>
          <w:color w:val="111827"/>
          <w:sz w:val="22"/>
        </w:rPr>
        <w:t>, contados da data da posse;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 contagem do tempo de serviço público e do estágio probatório tem início na exata data em que o servidor entra em efetivo exercício.</w:t>
      </w:r>
    </w:p>
    <w:p>
      <w:pPr>
        <w:keepNext/>
        <w:spacing w:before="200" w:after="80"/>
      </w:pPr>
      <w:r>
        <w:rPr>
          <w:rFonts w:ascii="Arial" w:hAnsi="Arial"/>
          <w:b/>
          <w:i w:val="0"/>
          <w:color w:val="2B6CB0"/>
          <w:sz w:val="24"/>
        </w:rPr>
        <w:t>2.2 Consequências Jurídicas do Descumprimento dos Prazos</w:t>
      </w:r>
    </w:p>
    <w:p>
      <w:pPr>
        <w:spacing w:line="360" w:lineRule="auto" w:before="0" w:after="80"/>
        <w:jc w:val="both"/>
      </w:pPr>
      <w:r>
        <w:rPr>
          <w:rFonts w:ascii="Arial" w:hAnsi="Arial"/>
          <w:b w:val="0"/>
          <w:i w:val="0"/>
          <w:color w:val="111827"/>
          <w:sz w:val="24"/>
        </w:rPr>
        <w:t>O desrespeito aos prazos legais acarreta efeitos administrativos substancialmente distintos, frequentemente cobrados pela banca FCC:</w:t>
      </w:r>
    </w:p>
    <w:tbl>
      <w:tblPr>
        <w:tblW w:type="auto" w:w="0"/>
        <w:jc w:val="center"/>
        <w:tblLayout w:type="fixed"/>
        <w:tblLook w:firstColumn="1" w:firstRow="1" w:lastColumn="0" w:lastRow="0" w:noHBand="0" w:noVBand="1" w:val="04A0"/>
      </w:tblPr>
      <w:tblGrid>
        <w:gridCol w:w="2268"/>
        <w:gridCol w:w="2268"/>
        <w:gridCol w:w="2268"/>
        <w:gridCol w:w="2268"/>
      </w:tblGrid>
      <w:tr>
        <w:trPr>
          <w:cantSplit/>
        </w:trPr>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Situação Administrativa</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Prazo Legal Aplicável</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Efeito do Descumprimento</w:t>
            </w:r>
          </w:p>
        </w:tc>
        <w:tc>
          <w:tcPr>
            <w:tcW w:type="dxa" w:w="2268"/>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Fundamento Jurídico</w:t>
            </w:r>
          </w:p>
        </w:tc>
      </w:tr>
      <w:tr>
        <w:trPr>
          <w:cantSplit/>
        </w:trPr>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Candidato Nomeado NÃO toma posse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30 dias</w:t>
            </w:r>
            <w:r>
              <w:rPr>
                <w:rFonts w:ascii="Arial" w:hAnsi="Arial"/>
                <w:b w:val="0"/>
                <w:i w:val="0"/>
                <w:color w:val="111827"/>
                <w:sz w:val="19"/>
              </w:rPr>
              <w:t xml:space="preserve"> contados da publicação no DOE</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O ato de nomeação é tornado sem efeito</w:t>
            </w:r>
          </w:p>
        </w:tc>
        <w:tc>
          <w:tcPr>
            <w:tcW w:type="dxa" w:w="2268"/>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 candidato ainda não havia ingressado no serviço público; logo, desconstitui-se o chamamento administrativo primitivo.</w:t>
            </w:r>
          </w:p>
        </w:tc>
      </w:tr>
      <w:tr>
        <w:trPr>
          <w:cantSplit/>
        </w:trPr>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Servidor Empossado NÃO entra em exercício</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15 dias</w:t>
            </w:r>
            <w:r>
              <w:rPr>
                <w:rFonts w:ascii="Arial" w:hAnsi="Arial"/>
                <w:b w:val="0"/>
                <w:i w:val="0"/>
                <w:color w:val="111827"/>
                <w:sz w:val="19"/>
              </w:rPr>
              <w:t xml:space="preserve"> contados da assinatura do termo de posse</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Exoneração de ofício do servidor</w:t>
            </w:r>
          </w:p>
        </w:tc>
        <w:tc>
          <w:tcPr>
            <w:tcW w:type="dxa" w:w="2268"/>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 investidura já ocorreu formalmente com a posse. Como o indivíduo já é juridicamente servidor público, exige-se ato de desprovimento/vacância (exoneração de ofício).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A banca frequentemente troca as consequências:</w:t>
            </w:r>
          </w:p>
          <w:p>
            <w:pPr>
              <w:spacing w:line="288" w:lineRule="auto" w:before="40" w:after="40"/>
            </w:pPr>
            <w:r>
              <w:rPr>
                <w:rFonts w:ascii="Arial" w:hAnsi="Arial"/>
                <w:b w:val="0"/>
                <w:i w:val="0"/>
                <w:color w:val="111827"/>
                <w:sz w:val="21"/>
              </w:rPr>
              <w:t xml:space="preserve">- Ela afirma que o candidato nomeado que não toma posse será </w:t>
            </w:r>
            <w:r>
              <w:rPr>
                <w:rFonts w:ascii="Arial" w:hAnsi="Arial"/>
                <w:b w:val="0"/>
                <w:i/>
                <w:color w:val="111827"/>
                <w:sz w:val="21"/>
              </w:rPr>
              <w:t>exonerado</w:t>
            </w:r>
            <w:r>
              <w:rPr>
                <w:rFonts w:ascii="Arial" w:hAnsi="Arial"/>
                <w:b w:val="0"/>
                <w:i w:val="0"/>
                <w:color w:val="111827"/>
                <w:sz w:val="21"/>
              </w:rPr>
              <w:t xml:space="preserve"> (</w:t>
            </w:r>
            <w:r>
              <w:rPr>
                <w:rFonts w:ascii="Arial" w:hAnsi="Arial"/>
                <w:b/>
                <w:i w:val="0"/>
                <w:color w:val="111827"/>
                <w:sz w:val="21"/>
              </w:rPr>
              <w:t>FALSO</w:t>
            </w:r>
            <w:r>
              <w:rPr>
                <w:rFonts w:ascii="Arial" w:hAnsi="Arial"/>
                <w:b w:val="0"/>
                <w:i w:val="0"/>
                <w:color w:val="111827"/>
                <w:sz w:val="21"/>
              </w:rPr>
              <w:t>, pois a nomeação é tornada sem efeito);</w:t>
            </w:r>
          </w:p>
          <w:p>
            <w:pPr>
              <w:spacing w:line="288" w:lineRule="auto" w:before="40" w:after="40"/>
            </w:pPr>
            <w:r>
              <w:rPr>
                <w:rFonts w:ascii="Arial" w:hAnsi="Arial"/>
                <w:b w:val="0"/>
                <w:i w:val="0"/>
                <w:color w:val="111827"/>
                <w:sz w:val="21"/>
              </w:rPr>
              <w:t xml:space="preserve">- Ela afirma que o empossado que não entra em exercício terá sua posse </w:t>
            </w:r>
            <w:r>
              <w:rPr>
                <w:rFonts w:ascii="Arial" w:hAnsi="Arial"/>
                <w:b w:val="0"/>
                <w:i/>
                <w:color w:val="111827"/>
                <w:sz w:val="21"/>
              </w:rPr>
              <w:t>anulada</w:t>
            </w:r>
            <w:r>
              <w:rPr>
                <w:rFonts w:ascii="Arial" w:hAnsi="Arial"/>
                <w:b w:val="0"/>
                <w:i w:val="0"/>
                <w:color w:val="111827"/>
                <w:sz w:val="21"/>
              </w:rPr>
              <w:t xml:space="preserve"> ou será </w:t>
            </w:r>
            <w:r>
              <w:rPr>
                <w:rFonts w:ascii="Arial" w:hAnsi="Arial"/>
                <w:b w:val="0"/>
                <w:i/>
                <w:color w:val="111827"/>
                <w:sz w:val="21"/>
              </w:rPr>
              <w:t>demitido</w:t>
            </w:r>
            <w:r>
              <w:rPr>
                <w:rFonts w:ascii="Arial" w:hAnsi="Arial"/>
                <w:b w:val="0"/>
                <w:i w:val="0"/>
                <w:color w:val="111827"/>
                <w:sz w:val="21"/>
              </w:rPr>
              <w:t xml:space="preserve"> (</w:t>
            </w:r>
            <w:r>
              <w:rPr>
                <w:rFonts w:ascii="Arial" w:hAnsi="Arial"/>
                <w:b/>
                <w:i w:val="0"/>
                <w:color w:val="111827"/>
                <w:sz w:val="21"/>
              </w:rPr>
              <w:t>FALSO</w:t>
            </w:r>
            <w:r>
              <w:rPr>
                <w:rFonts w:ascii="Arial" w:hAnsi="Arial"/>
                <w:b w:val="0"/>
                <w:i w:val="0"/>
                <w:color w:val="111827"/>
                <w:sz w:val="21"/>
              </w:rPr>
              <w:t xml:space="preserve">, a demissão é punição disciplinar que pressupõe PAD, ao passo que a consequência legal é a </w:t>
            </w:r>
            <w:r>
              <w:rPr>
                <w:rFonts w:ascii="Arial" w:hAnsi="Arial"/>
                <w:b/>
                <w:i w:val="0"/>
                <w:color w:val="111827"/>
                <w:sz w:val="21"/>
              </w:rPr>
              <w:t>exoneração de ofício</w:t>
            </w:r>
            <w:r>
              <w:rPr>
                <w:rFonts w:ascii="Arial" w:hAnsi="Arial"/>
                <w:b w:val="0"/>
                <w:i w:val="0"/>
                <w:color w:val="111827"/>
                <w:sz w:val="21"/>
              </w:rPr>
              <w:t>).</w:t>
            </w:r>
          </w:p>
        </w:tc>
      </w:tr>
    </w:tbl>
    <w:p>
      <w:pPr>
        <w:spacing w:before="0" w:after="120"/>
      </w:pPr>
    </w:p>
    <w:p>
      <w:pPr>
        <w:keepNext/>
        <w:spacing w:before="280" w:after="120"/>
      </w:pPr>
      <w:r>
        <w:rPr>
          <w:rFonts w:ascii="Arial" w:hAnsi="Arial"/>
          <w:b/>
          <w:i w:val="0"/>
          <w:color w:val="2C5282"/>
          <w:sz w:val="28"/>
        </w:rPr>
        <w:t>3. Estágio Probatório e Estabilidade Constitucional</w:t>
      </w:r>
    </w:p>
    <w:p>
      <w:pPr>
        <w:keepNext/>
        <w:spacing w:before="200" w:after="80"/>
      </w:pPr>
      <w:r>
        <w:rPr>
          <w:rFonts w:ascii="Arial" w:hAnsi="Arial"/>
          <w:b/>
          <w:i w:val="0"/>
          <w:color w:val="2B6CB0"/>
          <w:sz w:val="24"/>
        </w:rPr>
        <w:t>3.1 Requisitos e Fatores de Avaliação Especial</w:t>
      </w:r>
    </w:p>
    <w:p>
      <w:pPr>
        <w:spacing w:line="360" w:lineRule="auto" w:before="0" w:after="80"/>
        <w:jc w:val="both"/>
      </w:pPr>
      <w:r>
        <w:rPr>
          <w:rFonts w:ascii="Arial" w:hAnsi="Arial"/>
          <w:b w:val="0"/>
          <w:i w:val="0"/>
          <w:color w:val="111827"/>
          <w:sz w:val="24"/>
        </w:rPr>
        <w:t xml:space="preserve">Ao entrar em efetivo exercício, o servidor nomeado para cargo de provimento efetivo sujeita-se a </w:t>
      </w:r>
      <w:r>
        <w:rPr>
          <w:rFonts w:ascii="Arial" w:hAnsi="Arial"/>
          <w:b/>
          <w:i w:val="0"/>
          <w:color w:val="111827"/>
          <w:sz w:val="24"/>
        </w:rPr>
        <w:t>estágio probatório</w:t>
      </w:r>
      <w:r>
        <w:rPr>
          <w:rFonts w:ascii="Arial" w:hAnsi="Arial"/>
          <w:b w:val="0"/>
          <w:i w:val="0"/>
          <w:color w:val="111827"/>
          <w:sz w:val="24"/>
        </w:rPr>
        <w:t xml:space="preserve"> pelo período obrigatório de </w:t>
      </w:r>
      <w:r>
        <w:rPr>
          <w:rFonts w:ascii="Arial" w:hAnsi="Arial"/>
          <w:b/>
          <w:i w:val="0"/>
          <w:color w:val="111827"/>
          <w:sz w:val="24"/>
        </w:rPr>
        <w:t>3 (três) anos (36 meses) de efetivo exercício</w:t>
      </w:r>
      <w:r>
        <w:rPr>
          <w:rFonts w:ascii="Arial" w:hAnsi="Arial"/>
          <w:b w:val="0"/>
          <w:i w:val="0"/>
          <w:color w:val="111827"/>
          <w:sz w:val="24"/>
        </w:rPr>
        <w:t>, durante o qual sua aptidão, capacitação e dedicação funcional serão avaliadas para fins de aquisição da estabilidade.</w:t>
      </w:r>
    </w:p>
    <w:p>
      <w:pPr>
        <w:spacing w:line="360" w:lineRule="auto" w:before="0" w:after="80"/>
        <w:jc w:val="both"/>
      </w:pPr>
      <w:r>
        <w:rPr>
          <w:rFonts w:ascii="Arial" w:hAnsi="Arial"/>
          <w:b w:val="0"/>
          <w:i w:val="0"/>
          <w:color w:val="111827"/>
          <w:sz w:val="24"/>
        </w:rPr>
        <w:t xml:space="preserve">A Lei Estadual nº 20.756/2020 consagra taxativamente </w:t>
      </w:r>
      <w:r>
        <w:rPr>
          <w:rFonts w:ascii="Arial" w:hAnsi="Arial"/>
          <w:b/>
          <w:i w:val="0"/>
          <w:color w:val="111827"/>
          <w:sz w:val="24"/>
        </w:rPr>
        <w:t>6 (seis) fatores</w:t>
      </w:r>
      <w:r>
        <w:rPr>
          <w:rFonts w:ascii="Arial" w:hAnsi="Arial"/>
          <w:b w:val="0"/>
          <w:i w:val="0"/>
          <w:color w:val="111827"/>
          <w:sz w:val="24"/>
        </w:rPr>
        <w:t xml:space="preserve"> que norteiam a avaliação especial de desempenho:</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Comissão Especial de Avaliação:</w:t>
      </w:r>
      <w:r>
        <w:rPr>
          <w:rFonts w:ascii="Arial" w:hAnsi="Arial"/>
          <w:b w:val="0"/>
          <w:i w:val="0"/>
          <w:color w:val="111827"/>
          <w:sz w:val="22"/>
        </w:rPr>
        <w:t xml:space="preserve"> A avaliação especial é obrigatoriamente realizada por comissão instituída com essa finalidade específica, integrada por </w:t>
      </w:r>
      <w:r>
        <w:rPr>
          <w:rFonts w:ascii="Arial" w:hAnsi="Arial"/>
          <w:b/>
          <w:i w:val="0"/>
          <w:color w:val="111827"/>
          <w:sz w:val="22"/>
        </w:rPr>
        <w:t>servidores públicos efetivos e estáveis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A avaliação deve ser concluída e homologada pela autoridade competente antes de findo o prazo do triênio, assegurando-se ao servidor contraditório e ampla defesa em caso de parecer desfavorável.</w:t>
      </w:r>
    </w:p>
    <w:p>
      <w:pPr>
        <w:keepNext/>
        <w:spacing w:before="200" w:after="80"/>
      </w:pPr>
      <w:r>
        <w:rPr>
          <w:rFonts w:ascii="Arial" w:hAnsi="Arial"/>
          <w:b/>
          <w:i w:val="0"/>
          <w:color w:val="2B6CB0"/>
          <w:sz w:val="24"/>
        </w:rPr>
        <w:t>3.2 Desfechos da Avaliação Especial: Exoneração vs. Recondução</w:t>
      </w:r>
    </w:p>
    <w:p>
      <w:pPr>
        <w:spacing w:line="360" w:lineRule="auto" w:before="0" w:after="80"/>
        <w:jc w:val="both"/>
      </w:pPr>
      <w:r>
        <w:rPr>
          <w:rFonts w:ascii="Arial" w:hAnsi="Arial"/>
          <w:b w:val="0"/>
          <w:i w:val="0"/>
          <w:color w:val="111827"/>
          <w:sz w:val="24"/>
        </w:rPr>
        <w:t>A inabilitação funcional no estágio probatório acarreta consequências distintas em função da situação jurídica prévia do avaliado:</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Servidor Não Estável no Serviço Público Goiano: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Inabilitado na avaliação especial de desempenho </w:t>
      </w:r>
      <w:r>
        <w:rPr>
          <w:rFonts w:ascii="Cambria Math" w:hAnsi="Cambria Math"/>
          <w:i/>
          <w:color w:val="1B365D"/>
          <w:sz w:val="22"/>
        </w:rPr>
        <w:t>\rightarrow</w:t>
      </w:r>
      <w:r>
        <w:rPr>
          <w:rFonts w:ascii="Arial" w:hAnsi="Arial"/>
          <w:b w:val="0"/>
          <w:i w:val="0"/>
          <w:color w:val="111827"/>
          <w:sz w:val="22"/>
        </w:rPr>
        <w:t xml:space="preserve"> </w:t>
      </w:r>
      <w:r>
        <w:rPr>
          <w:rFonts w:ascii="Arial" w:hAnsi="Arial"/>
          <w:b/>
          <w:i w:val="0"/>
          <w:color w:val="111827"/>
          <w:sz w:val="22"/>
        </w:rPr>
        <w:t>Exoneração de ofício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Não se trata de demissão disciplinar, mas de rescisão administrativa unilateral decorrente da constatação objetiva de falta de aptidão para a carreira.</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Servidor Previamente Estável em Outro Cargo Estadual:</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Inabilitado no novo estágio probatório </w:t>
      </w:r>
      <w:r>
        <w:rPr>
          <w:rFonts w:ascii="Cambria Math" w:hAnsi="Cambria Math"/>
          <w:i/>
          <w:color w:val="1B365D"/>
          <w:sz w:val="22"/>
        </w:rPr>
        <w:t>\rightarrow</w:t>
      </w:r>
      <w:r>
        <w:rPr>
          <w:rFonts w:ascii="Arial" w:hAnsi="Arial"/>
          <w:b w:val="0"/>
          <w:i w:val="0"/>
          <w:color w:val="111827"/>
          <w:sz w:val="22"/>
        </w:rPr>
        <w:t xml:space="preserve"> </w:t>
      </w:r>
      <w:r>
        <w:rPr>
          <w:rFonts w:ascii="Arial" w:hAnsi="Arial"/>
          <w:b/>
          <w:i w:val="0"/>
          <w:color w:val="111827"/>
          <w:sz w:val="22"/>
        </w:rPr>
        <w:t>Recondução ao cargo primitivo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O instituto protege a estabilidade conquistada no cargo anterior, permitindo que o servidor retorne ao seu posto de origem sem qualquer prejuízo pecuniário, mas sem direito a indenizações.</w:t>
      </w:r>
    </w:p>
    <w:tbl>
      <w:tblPr>
        <w:tblW w:type="auto" w:w="0"/>
        <w:jc w:val="center"/>
        <w:tblLook w:firstColumn="1" w:firstRow="1" w:lastColumn="0" w:lastRow="0" w:noHBand="0" w:noVBand="1" w:val="04A0"/>
      </w:tblPr>
      <w:tblGrid>
        <w:gridCol w:w="9071"/>
      </w:tblGrid>
      <w:tr>
        <w:tc>
          <w:tcPr>
            <w:tcW w:type="dxa" w:w="9071"/>
            <w:shd w:fill="ECFDF5"/>
            <w:tcBorders>
              <w:left w:val="single" w:sz="32" w:space="0" w:color="059669"/>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NOTA EXPLICATIVA — ESTABILIDADE E RECONDUÇÃO:</w:t>
            </w:r>
          </w:p>
          <w:p>
            <w:pPr>
              <w:spacing w:line="288" w:lineRule="auto" w:before="40" w:after="40"/>
            </w:pPr>
            <w:r>
              <w:rPr>
                <w:rFonts w:ascii="Arial" w:hAnsi="Arial"/>
                <w:b w:val="0"/>
                <w:i w:val="0"/>
                <w:color w:val="111827"/>
                <w:sz w:val="21"/>
              </w:rPr>
              <w:t xml:space="preserve">A recondução pressupõe que o servidor seja </w:t>
            </w:r>
            <w:r>
              <w:rPr>
                <w:rFonts w:ascii="Arial" w:hAnsi="Arial"/>
                <w:b/>
                <w:i w:val="0"/>
                <w:color w:val="111827"/>
                <w:sz w:val="21"/>
              </w:rPr>
              <w:t>estável no cargo primitivo</w:t>
            </w:r>
            <w:r>
              <w:rPr>
                <w:rFonts w:ascii="Arial" w:hAnsi="Arial"/>
                <w:b w:val="0"/>
                <w:i w:val="0"/>
                <w:color w:val="111827"/>
                <w:sz w:val="21"/>
              </w:rPr>
              <w:t xml:space="preserve">. Se um servidor novato, ainda cumprindo estágio probatório no primeiro cargo, passar em outro concurso estadual e for inabilitado neste segundo estágio, ele </w:t>
            </w:r>
            <w:r>
              <w:rPr>
                <w:rFonts w:ascii="Arial" w:hAnsi="Arial"/>
                <w:b/>
                <w:i w:val="0"/>
                <w:color w:val="111827"/>
                <w:sz w:val="21"/>
              </w:rPr>
              <w:t>não terá direito à recondução</w:t>
            </w:r>
            <w:r>
              <w:rPr>
                <w:rFonts w:ascii="Arial" w:hAnsi="Arial"/>
                <w:b w:val="0"/>
                <w:i w:val="0"/>
                <w:color w:val="111827"/>
                <w:sz w:val="21"/>
              </w:rPr>
              <w:t xml:space="preserve"> (será simplesmente exonerado de ofício), visto que jamais adquiriu a estabilidade no serviço público!</w:t>
            </w:r>
          </w:p>
        </w:tc>
      </w:tr>
    </w:tbl>
    <w:p>
      <w:pPr>
        <w:spacing w:before="0" w:after="120"/>
      </w:pPr>
    </w:p>
    <w:p>
      <w:pPr>
        <w:keepNext/>
        <w:spacing w:before="200" w:after="80"/>
      </w:pPr>
      <w:r>
        <w:rPr>
          <w:rFonts w:ascii="Arial" w:hAnsi="Arial"/>
          <w:b/>
          <w:i w:val="0"/>
          <w:color w:val="2B6CB0"/>
          <w:sz w:val="24"/>
        </w:rPr>
        <w:t>3.3 Hipóteses Constitucionais de Perda do Cargo do Servidor Estável</w:t>
      </w:r>
    </w:p>
    <w:p>
      <w:pPr>
        <w:spacing w:line="360" w:lineRule="auto" w:before="0" w:after="80"/>
        <w:jc w:val="both"/>
      </w:pPr>
      <w:r>
        <w:rPr>
          <w:rFonts w:ascii="Arial" w:hAnsi="Arial"/>
          <w:b w:val="0"/>
          <w:i w:val="0"/>
          <w:color w:val="111827"/>
          <w:sz w:val="24"/>
        </w:rPr>
        <w:t xml:space="preserve">Conforme o art. 41, § 1º, e o art. 169, § 4º, da Constituição Federal de 1988, combinados com o Estatuto Estadual, o servidor público goiano estável </w:t>
      </w:r>
      <w:r>
        <w:rPr>
          <w:rFonts w:ascii="Arial" w:hAnsi="Arial"/>
          <w:b/>
          <w:i w:val="0"/>
          <w:color w:val="111827"/>
          <w:sz w:val="24"/>
        </w:rPr>
        <w:t>só perderá o cargo</w:t>
      </w:r>
      <w:r>
        <w:rPr>
          <w:rFonts w:ascii="Arial" w:hAnsi="Arial"/>
          <w:b w:val="0"/>
          <w:i w:val="0"/>
          <w:color w:val="111827"/>
          <w:sz w:val="24"/>
        </w:rPr>
        <w:t xml:space="preserve"> em 4 (quatro) hipóteses taxativas:</w:t>
      </w:r>
    </w:p>
    <w:p>
      <w:pPr>
        <w:spacing w:line="276" w:lineRule="auto" w:before="20" w:after="40"/>
        <w:ind w:left="425"/>
      </w:pPr>
      <w:r>
        <w:rPr>
          <w:rFonts w:ascii="Arial" w:hAnsi="Arial"/>
          <w:b/>
          <w:color w:val="1B365D"/>
          <w:sz w:val="22"/>
        </w:rPr>
        <w:t xml:space="preserve">1. </w:t>
      </w:r>
      <w:r>
        <w:rPr>
          <w:rFonts w:ascii="Arial" w:hAnsi="Arial"/>
          <w:b/>
          <w:i w:val="0"/>
          <w:color w:val="111827"/>
          <w:sz w:val="22"/>
        </w:rPr>
        <w:t>Sentença judicial transitada em julgado;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Processo Administrativo Disciplinar (PAD)</w:t>
      </w:r>
      <w:r>
        <w:rPr>
          <w:rFonts w:ascii="Arial" w:hAnsi="Arial"/>
          <w:b w:val="0"/>
          <w:i w:val="0"/>
          <w:color w:val="111827"/>
          <w:sz w:val="22"/>
        </w:rPr>
        <w:t xml:space="preserve"> no qual lhe seja assegurada ampla defesa;</w:t>
      </w:r>
    </w:p>
    <w:p>
      <w:pPr>
        <w:spacing w:line="276" w:lineRule="auto" w:before="20" w:after="40"/>
        <w:ind w:left="425"/>
      </w:pPr>
      <w:r>
        <w:rPr>
          <w:rFonts w:ascii="Arial" w:hAnsi="Arial"/>
          <w:b/>
          <w:color w:val="1B365D"/>
          <w:sz w:val="22"/>
        </w:rPr>
        <w:t xml:space="preserve">3. </w:t>
      </w:r>
      <w:r>
        <w:rPr>
          <w:rFonts w:ascii="Arial" w:hAnsi="Arial"/>
          <w:b/>
          <w:i w:val="0"/>
          <w:color w:val="111827"/>
          <w:sz w:val="22"/>
        </w:rPr>
        <w:t>Procedimento de avaliação periódica de desempenho</w:t>
      </w:r>
      <w:r>
        <w:rPr>
          <w:rFonts w:ascii="Arial" w:hAnsi="Arial"/>
          <w:b w:val="0"/>
          <w:i w:val="0"/>
          <w:color w:val="111827"/>
          <w:sz w:val="22"/>
        </w:rPr>
        <w:t>, na forma de lei complementar, assegurada ampla defesa;</w:t>
      </w:r>
    </w:p>
    <w:p>
      <w:pPr>
        <w:spacing w:line="276" w:lineRule="auto" w:before="20" w:after="40"/>
        <w:ind w:left="425"/>
      </w:pPr>
      <w:r>
        <w:rPr>
          <w:rFonts w:ascii="Arial" w:hAnsi="Arial"/>
          <w:b/>
          <w:color w:val="1B365D"/>
          <w:sz w:val="22"/>
        </w:rPr>
        <w:t xml:space="preserve">4. </w:t>
      </w:r>
      <w:r>
        <w:rPr>
          <w:rFonts w:ascii="Arial" w:hAnsi="Arial"/>
          <w:b/>
          <w:i w:val="0"/>
          <w:color w:val="111827"/>
          <w:sz w:val="22"/>
        </w:rPr>
        <w:t>Corte de despesas de pessoal para cumprimento dos limites da LRF</w:t>
      </w:r>
      <w:r>
        <w:rPr>
          <w:rFonts w:ascii="Arial" w:hAnsi="Arial"/>
          <w:b w:val="0"/>
          <w:i w:val="0"/>
          <w:color w:val="111827"/>
          <w:sz w:val="22"/>
        </w:rPr>
        <w:t xml:space="preserve"> (CF/88, art. 169, § 4º): após a redução de pelo menos 20% das despesas com cargos em comissão e funções de confiança e a exoneração prévia de servidores não estáveis, se as despesas ainda superarem os limites da Lei de Responsabilidade Fiscal, o servidor estável poderá perder o cargo, fazendo jus à indenização de 1 (um) mês de remuneração por ano de serviço.</w:t>
      </w:r>
    </w:p>
    <w:p>
      <w:pPr>
        <w:keepNext/>
        <w:spacing w:before="280" w:after="120"/>
      </w:pPr>
      <w:r>
        <w:rPr>
          <w:rFonts w:ascii="Arial" w:hAnsi="Arial"/>
          <w:b/>
          <w:i w:val="0"/>
          <w:color w:val="2C5282"/>
          <w:sz w:val="28"/>
        </w:rPr>
        <w:t>4. Provimento Derivado e Vacância de Cargos Públicos</w:t>
      </w:r>
    </w:p>
    <w:p>
      <w:pPr>
        <w:keepNext/>
        <w:spacing w:before="200" w:after="80"/>
      </w:pPr>
      <w:r>
        <w:rPr>
          <w:rFonts w:ascii="Arial" w:hAnsi="Arial"/>
          <w:b/>
          <w:i w:val="0"/>
          <w:color w:val="2B6CB0"/>
          <w:sz w:val="24"/>
        </w:rPr>
        <w:t>4.1 Formas Derivadas de Provimento (Quadro Comparativo)</w:t>
      </w:r>
    </w:p>
    <w:p>
      <w:pPr>
        <w:spacing w:line="360" w:lineRule="auto" w:before="0" w:after="80"/>
        <w:jc w:val="both"/>
      </w:pPr>
      <w:r>
        <w:rPr>
          <w:rFonts w:ascii="Arial" w:hAnsi="Arial"/>
          <w:b w:val="0"/>
          <w:i w:val="0"/>
          <w:color w:val="111827"/>
          <w:sz w:val="24"/>
        </w:rPr>
        <w:t>Enquanto a nomeação é a única forma de provimento originário (inaugura a relação jurídica do indivíduo com o Estado), o provimento derivado pressupõe um vínculo funcional precedente. A Lei Estadual nº 20.756/2020 disciplina cinco modalidades de provimento derivado:</w:t>
      </w:r>
    </w:p>
    <w:p>
      <w:pPr>
        <w:spacing w:after="120"/>
      </w:pP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Modalidade Derivada</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Conceito e Hipóteses Legais de Cabimento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Direitos Pecuniários e Destino do Ocupante da Vaga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Reintegração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Retorno do </w:t>
            </w:r>
            <w:r>
              <w:rPr>
                <w:rFonts w:ascii="Arial" w:hAnsi="Arial"/>
                <w:b/>
                <w:i w:val="0"/>
                <w:color w:val="111827"/>
                <w:sz w:val="19"/>
              </w:rPr>
              <w:t>servidor estável</w:t>
            </w:r>
            <w:r>
              <w:rPr>
                <w:rFonts w:ascii="Arial" w:hAnsi="Arial"/>
                <w:b w:val="0"/>
                <w:i w:val="0"/>
                <w:color w:val="111827"/>
                <w:sz w:val="19"/>
              </w:rPr>
              <w:t xml:space="preserve"> ao cargo anteriormente ocupado quando for declarada a </w:t>
            </w:r>
            <w:r>
              <w:rPr>
                <w:rFonts w:ascii="Arial" w:hAnsi="Arial"/>
                <w:b/>
                <w:i w:val="0"/>
                <w:color w:val="111827"/>
                <w:sz w:val="19"/>
              </w:rPr>
              <w:t>invalidade da sua demissão</w:t>
            </w:r>
            <w:r>
              <w:rPr>
                <w:rFonts w:ascii="Arial" w:hAnsi="Arial"/>
                <w:b w:val="0"/>
                <w:i w:val="0"/>
                <w:color w:val="111827"/>
                <w:sz w:val="19"/>
              </w:rPr>
              <w:t xml:space="preserve"> por decisão administrativa ou sentença judicial transitada em julgado.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Ressarcimento integral</w:t>
            </w:r>
            <w:r>
              <w:rPr>
                <w:rFonts w:ascii="Arial" w:hAnsi="Arial"/>
                <w:b w:val="0"/>
                <w:i w:val="0"/>
                <w:color w:val="111827"/>
                <w:sz w:val="19"/>
              </w:rPr>
              <w:t xml:space="preserve"> de todos os vencimentos e vantagens retroativas a que faria jus. O eventual ocupante da vaga, se estável, será </w:t>
            </w:r>
            <w:r>
              <w:rPr>
                <w:rFonts w:ascii="Arial" w:hAnsi="Arial"/>
                <w:b/>
                <w:i w:val="0"/>
                <w:color w:val="111827"/>
                <w:sz w:val="19"/>
              </w:rPr>
              <w:t>reconduzido ao cargo de origem sem indenização</w:t>
            </w:r>
            <w:r>
              <w:rPr>
                <w:rFonts w:ascii="Arial" w:hAnsi="Arial"/>
                <w:b w:val="0"/>
                <w:i w:val="0"/>
                <w:color w:val="111827"/>
                <w:sz w:val="19"/>
              </w:rPr>
              <w:t>, aproveitado em outro cargo ou posto em disponibilidade remunerada proporcional.</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Recondução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Retorno do </w:t>
            </w:r>
            <w:r>
              <w:rPr>
                <w:rFonts w:ascii="Arial" w:hAnsi="Arial"/>
                <w:b/>
                <w:i w:val="0"/>
                <w:color w:val="111827"/>
                <w:sz w:val="19"/>
              </w:rPr>
              <w:t>servidor estável</w:t>
            </w:r>
            <w:r>
              <w:rPr>
                <w:rFonts w:ascii="Arial" w:hAnsi="Arial"/>
                <w:b w:val="0"/>
                <w:i w:val="0"/>
                <w:color w:val="111827"/>
                <w:sz w:val="19"/>
              </w:rPr>
              <w:t xml:space="preserve"> ao cargo que ocupava anteriormente no serviço público do Estado de Goiás.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Cabível em duas hipóteses expressas: 1) Inabilitação em estágio probatório relativo a outro cargo público estadual; 2) Deslocamento provocado pela </w:t>
            </w:r>
            <w:r>
              <w:rPr>
                <w:rFonts w:ascii="Arial" w:hAnsi="Arial"/>
                <w:b/>
                <w:i w:val="0"/>
                <w:color w:val="111827"/>
                <w:sz w:val="19"/>
              </w:rPr>
              <w:t>reintegração</w:t>
            </w:r>
            <w:r>
              <w:rPr>
                <w:rFonts w:ascii="Arial" w:hAnsi="Arial"/>
                <w:b w:val="0"/>
                <w:i w:val="0"/>
                <w:color w:val="111827"/>
                <w:sz w:val="19"/>
              </w:rPr>
              <w:t xml:space="preserve"> do anterior titular do cargo. Não gera direito a nenhuma indenização financeira.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Reversão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Retorno à atividade do servidor público </w:t>
            </w:r>
            <w:r>
              <w:rPr>
                <w:rFonts w:ascii="Arial" w:hAnsi="Arial"/>
                <w:b/>
                <w:i w:val="0"/>
                <w:color w:val="111827"/>
                <w:sz w:val="19"/>
              </w:rPr>
              <w:t>aposentado</w:t>
            </w:r>
            <w:r>
              <w:rPr>
                <w:rFonts w:ascii="Arial" w:hAnsi="Arial"/>
                <w:b w:val="0"/>
                <w:i w:val="0"/>
                <w:color w:val="111827"/>
                <w:sz w:val="19"/>
              </w:rPr>
              <w:t>.</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Ocorre em duas modalidades: 1) </w:t>
            </w:r>
            <w:r>
              <w:rPr>
                <w:rFonts w:ascii="Arial" w:hAnsi="Arial"/>
                <w:b w:val="0"/>
                <w:i/>
                <w:color w:val="111827"/>
                <w:sz w:val="19"/>
              </w:rPr>
              <w:t>De ofício:</w:t>
            </w:r>
            <w:r>
              <w:rPr>
                <w:rFonts w:ascii="Arial" w:hAnsi="Arial"/>
                <w:b w:val="0"/>
                <w:i w:val="0"/>
                <w:color w:val="111827"/>
                <w:sz w:val="19"/>
              </w:rPr>
              <w:t xml:space="preserve"> quando a Junta Médica Oficial declarar insubsistentes os motivos determinantes da aposentadoria por incapacidade permanente; 2) </w:t>
            </w:r>
            <w:r>
              <w:rPr>
                <w:rFonts w:ascii="Arial" w:hAnsi="Arial"/>
                <w:b w:val="0"/>
                <w:i/>
                <w:color w:val="111827"/>
                <w:sz w:val="19"/>
              </w:rPr>
              <w:t>A pedido:</w:t>
            </w:r>
            <w:r>
              <w:rPr>
                <w:rFonts w:ascii="Arial" w:hAnsi="Arial"/>
                <w:b w:val="0"/>
                <w:i w:val="0"/>
                <w:color w:val="111827"/>
                <w:sz w:val="19"/>
              </w:rPr>
              <w:t xml:space="preserve"> a critério e interesse da administração, desde que a aposentadoria tenha sido voluntária, o servidor fosse estável na atividade, haja cargo vago e conte com idade inferior a 70 anos.</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Aproveitamento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Retorno compulsório ao exercício ativo do servidor público </w:t>
            </w:r>
            <w:r>
              <w:rPr>
                <w:rFonts w:ascii="Arial" w:hAnsi="Arial"/>
                <w:b/>
                <w:i w:val="0"/>
                <w:color w:val="111827"/>
                <w:sz w:val="19"/>
              </w:rPr>
              <w:t>estável colocado em disponibilidade remunerada</w:t>
            </w:r>
            <w:r>
              <w:rPr>
                <w:rFonts w:ascii="Arial" w:hAnsi="Arial"/>
                <w:b w:val="0"/>
                <w:i w:val="0"/>
                <w:color w:val="111827"/>
                <w:sz w:val="19"/>
              </w:rPr>
              <w:t>.</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Opera-se imediatamente em cargo de atribuições e vencimentos estritamente compatíveis com o anteriormente ocupado. Se convocado regularmente e não entrar em exercício (sem motivo de força maior ou doença comprovada), sua disponibilidade é sumariamente cassada.</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Readaptação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Investidura do servidor em cargo de atribuições e responsabilidades compatíveis com a </w:t>
            </w:r>
            <w:r>
              <w:rPr>
                <w:rFonts w:ascii="Arial" w:hAnsi="Arial"/>
                <w:b/>
                <w:i w:val="0"/>
                <w:color w:val="111827"/>
                <w:sz w:val="19"/>
              </w:rPr>
              <w:t>limitação funcional que tenha sofrido em sua capacidade física ou mental</w:t>
            </w:r>
            <w:r>
              <w:rPr>
                <w:rFonts w:ascii="Arial" w:hAnsi="Arial"/>
                <w:b w:val="0"/>
                <w:i w:val="0"/>
                <w:color w:val="111827"/>
                <w:sz w:val="19"/>
              </w:rPr>
              <w:t>, verificada em perícia médica oficial.</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Exige laudo pericial conclusivo da Junta Médica Oficial do Estado. O servidor readaptado </w:t>
            </w:r>
            <w:r>
              <w:rPr>
                <w:rFonts w:ascii="Arial" w:hAnsi="Arial"/>
                <w:b/>
                <w:i w:val="0"/>
                <w:color w:val="111827"/>
                <w:sz w:val="19"/>
              </w:rPr>
              <w:t>mantém a remuneração integral de seu cargo de origem</w:t>
            </w:r>
            <w:r>
              <w:rPr>
                <w:rFonts w:ascii="Arial" w:hAnsi="Arial"/>
                <w:b w:val="0"/>
                <w:i w:val="0"/>
                <w:color w:val="111827"/>
                <w:sz w:val="19"/>
              </w:rPr>
              <w:t>, sendo vedado qualquer decesso remuneratório.</w:t>
            </w:r>
          </w:p>
        </w:tc>
      </w:tr>
    </w:tbl>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A FCC adora cobrar a situação do terceiro que estava ocupando a vaga do servidor que foi reintegrado:</w:t>
            </w:r>
          </w:p>
          <w:p>
            <w:pPr>
              <w:spacing w:line="288" w:lineRule="auto" w:before="40" w:after="40"/>
            </w:pPr>
            <w:r>
              <w:rPr>
                <w:rFonts w:ascii="Arial" w:hAnsi="Arial"/>
                <w:b w:val="0"/>
                <w:i w:val="0"/>
                <w:color w:val="111827"/>
                <w:sz w:val="21"/>
              </w:rPr>
              <w:t xml:space="preserve">- Se o ocupante da vaga </w:t>
            </w:r>
            <w:r>
              <w:rPr>
                <w:rFonts w:ascii="Arial" w:hAnsi="Arial"/>
                <w:b/>
                <w:i w:val="0"/>
                <w:color w:val="111827"/>
                <w:sz w:val="21"/>
              </w:rPr>
              <w:t>NÃO for estável</w:t>
            </w:r>
            <w:r>
              <w:rPr>
                <w:rFonts w:ascii="Arial" w:hAnsi="Arial"/>
                <w:b w:val="0"/>
                <w:i w:val="0"/>
                <w:color w:val="111827"/>
                <w:sz w:val="21"/>
              </w:rPr>
              <w:t xml:space="preserve">: é sumariamente </w:t>
            </w:r>
            <w:r>
              <w:rPr>
                <w:rFonts w:ascii="Arial" w:hAnsi="Arial"/>
                <w:b/>
                <w:i w:val="0"/>
                <w:color w:val="111827"/>
                <w:sz w:val="21"/>
              </w:rPr>
              <w:t>exonerado</w:t>
            </w:r>
            <w:r>
              <w:rPr>
                <w:rFonts w:ascii="Arial" w:hAnsi="Arial"/>
                <w:b w:val="0"/>
                <w:i w:val="0"/>
                <w:color w:val="111827"/>
                <w:sz w:val="21"/>
              </w:rPr>
              <w:t xml:space="preserve"> sem qualquer indenização.</w:t>
            </w:r>
          </w:p>
          <w:p>
            <w:pPr>
              <w:spacing w:line="288" w:lineRule="auto" w:before="40" w:after="40"/>
            </w:pPr>
            <w:r>
              <w:rPr>
                <w:rFonts w:ascii="Arial" w:hAnsi="Arial"/>
                <w:b w:val="0"/>
                <w:i w:val="0"/>
                <w:color w:val="111827"/>
                <w:sz w:val="21"/>
              </w:rPr>
              <w:t xml:space="preserve">- Se o ocupante da vaga </w:t>
            </w:r>
            <w:r>
              <w:rPr>
                <w:rFonts w:ascii="Arial" w:hAnsi="Arial"/>
                <w:b/>
                <w:i w:val="0"/>
                <w:color w:val="111827"/>
                <w:sz w:val="21"/>
              </w:rPr>
              <w:t>FOR estável</w:t>
            </w:r>
            <w:r>
              <w:rPr>
                <w:rFonts w:ascii="Arial" w:hAnsi="Arial"/>
                <w:b w:val="0"/>
                <w:i w:val="0"/>
                <w:color w:val="111827"/>
                <w:sz w:val="21"/>
              </w:rPr>
              <w:t>: ele tem três caminhos sucessivos:</w:t>
            </w:r>
          </w:p>
          <w:p>
            <w:pPr>
              <w:spacing w:line="288" w:lineRule="auto" w:before="40" w:after="40"/>
            </w:pPr>
            <w:r>
              <w:rPr>
                <w:rFonts w:ascii="Arial" w:hAnsi="Arial"/>
                <w:b w:val="0"/>
                <w:i w:val="0"/>
                <w:color w:val="111827"/>
                <w:sz w:val="21"/>
              </w:rPr>
              <w:t xml:space="preserve">1º) É </w:t>
            </w:r>
            <w:r>
              <w:rPr>
                <w:rFonts w:ascii="Arial" w:hAnsi="Arial"/>
                <w:b/>
                <w:i w:val="0"/>
                <w:color w:val="111827"/>
                <w:sz w:val="21"/>
              </w:rPr>
              <w:t>reconduzido</w:t>
            </w:r>
            <w:r>
              <w:rPr>
                <w:rFonts w:ascii="Arial" w:hAnsi="Arial"/>
                <w:b w:val="0"/>
                <w:i w:val="0"/>
                <w:color w:val="111827"/>
                <w:sz w:val="21"/>
              </w:rPr>
              <w:t xml:space="preserve"> ao seu cargo anterior (sem direito à indenização);</w:t>
            </w:r>
          </w:p>
          <w:p>
            <w:pPr>
              <w:spacing w:line="288" w:lineRule="auto" w:before="40" w:after="40"/>
            </w:pPr>
            <w:r>
              <w:rPr>
                <w:rFonts w:ascii="Arial" w:hAnsi="Arial"/>
                <w:b w:val="0"/>
                <w:i w:val="0"/>
                <w:color w:val="111827"/>
                <w:sz w:val="21"/>
              </w:rPr>
              <w:t xml:space="preserve">2º) É </w:t>
            </w:r>
            <w:r>
              <w:rPr>
                <w:rFonts w:ascii="Arial" w:hAnsi="Arial"/>
                <w:b/>
                <w:i w:val="0"/>
                <w:color w:val="111827"/>
                <w:sz w:val="21"/>
              </w:rPr>
              <w:t>aproveitado</w:t>
            </w:r>
            <w:r>
              <w:rPr>
                <w:rFonts w:ascii="Arial" w:hAnsi="Arial"/>
                <w:b w:val="0"/>
                <w:i w:val="0"/>
                <w:color w:val="111827"/>
                <w:sz w:val="21"/>
              </w:rPr>
              <w:t xml:space="preserve"> em outro cargo de atribuições e vencimentos equivalentes;</w:t>
            </w:r>
          </w:p>
          <w:p>
            <w:pPr>
              <w:spacing w:line="288" w:lineRule="auto" w:before="40" w:after="40"/>
            </w:pPr>
            <w:r>
              <w:rPr>
                <w:rFonts w:ascii="Arial" w:hAnsi="Arial"/>
                <w:b w:val="0"/>
                <w:i w:val="0"/>
                <w:color w:val="111827"/>
                <w:sz w:val="21"/>
              </w:rPr>
              <w:t xml:space="preserve">3º) Se não houver vaga disponível para recondução ou aproveitamento, é posto em </w:t>
            </w:r>
            <w:r>
              <w:rPr>
                <w:rFonts w:ascii="Arial" w:hAnsi="Arial"/>
                <w:b/>
                <w:i w:val="0"/>
                <w:color w:val="111827"/>
                <w:sz w:val="21"/>
              </w:rPr>
              <w:t>disponibilidade remunerada proporcional</w:t>
            </w:r>
            <w:r>
              <w:rPr>
                <w:rFonts w:ascii="Arial" w:hAnsi="Arial"/>
                <w:b w:val="0"/>
                <w:i w:val="0"/>
                <w:color w:val="111827"/>
                <w:sz w:val="21"/>
              </w:rPr>
              <w:t xml:space="preserve"> ao tempo de contribuição.</w:t>
            </w:r>
          </w:p>
        </w:tc>
      </w:tr>
    </w:tbl>
    <w:p>
      <w:pPr>
        <w:spacing w:before="0" w:after="120"/>
      </w:pPr>
    </w:p>
    <w:p>
      <w:pPr>
        <w:keepNext/>
        <w:spacing w:before="200" w:after="80"/>
      </w:pPr>
      <w:r>
        <w:rPr>
          <w:rFonts w:ascii="Arial" w:hAnsi="Arial"/>
          <w:b/>
          <w:i w:val="0"/>
          <w:color w:val="2B6CB0"/>
          <w:sz w:val="24"/>
        </w:rPr>
        <w:t>4.2 Hipóteses Legais de Vacância</w:t>
      </w:r>
    </w:p>
    <w:p>
      <w:pPr>
        <w:spacing w:line="360" w:lineRule="auto" w:before="0" w:after="80"/>
        <w:jc w:val="both"/>
      </w:pPr>
      <w:r>
        <w:rPr>
          <w:rFonts w:ascii="Arial" w:hAnsi="Arial"/>
          <w:b w:val="0"/>
          <w:i w:val="0"/>
          <w:color w:val="111827"/>
          <w:sz w:val="24"/>
        </w:rPr>
        <w:t>Vacância é o ato ou fato administrativo que extingue o provimento, tornando desocupado o cargo público. No Estatuto Goiano (Lei nº 20.756/2020), as hipóteses de vacância são:</w:t>
      </w:r>
    </w:p>
    <w:p>
      <w:pPr>
        <w:spacing w:line="276" w:lineRule="auto" w:before="20" w:after="40"/>
        <w:ind w:left="425"/>
      </w:pPr>
      <w:r>
        <w:rPr>
          <w:rFonts w:ascii="Arial" w:hAnsi="Arial"/>
          <w:b/>
          <w:color w:val="1B365D"/>
          <w:sz w:val="22"/>
        </w:rPr>
        <w:t xml:space="preserve">1. </w:t>
      </w:r>
      <w:r>
        <w:rPr>
          <w:rFonts w:ascii="Arial" w:hAnsi="Arial"/>
          <w:b/>
          <w:i w:val="0"/>
          <w:color w:val="111827"/>
          <w:sz w:val="22"/>
        </w:rPr>
        <w:t>Exoneração:</w:t>
      </w:r>
      <w:r>
        <w:rPr>
          <w:rFonts w:ascii="Arial" w:hAnsi="Arial"/>
          <w:b w:val="0"/>
          <w:i w:val="0"/>
          <w:color w:val="111827"/>
          <w:sz w:val="22"/>
        </w:rPr>
        <w:t xml:space="preserve"> desprovimento sem conotação sancionatória/punitiva. Dá-se:</w:t>
      </w:r>
    </w:p>
    <w:p>
      <w:pPr>
        <w:spacing w:line="276" w:lineRule="auto" w:before="20" w:after="40"/>
        <w:ind w:left="992"/>
      </w:pPr>
      <w:r>
        <w:rPr>
          <w:rFonts w:ascii="Arial" w:hAnsi="Arial"/>
          <w:b/>
          <w:color w:val="2B6CB0"/>
          <w:sz w:val="22"/>
        </w:rPr>
        <w:t xml:space="preserve">• </w:t>
      </w:r>
      <w:r>
        <w:rPr>
          <w:rFonts w:ascii="Arial" w:hAnsi="Arial"/>
          <w:b w:val="0"/>
          <w:i/>
          <w:color w:val="111827"/>
          <w:sz w:val="22"/>
        </w:rPr>
        <w:t>A pedido</w:t>
      </w:r>
      <w:r>
        <w:rPr>
          <w:rFonts w:ascii="Arial" w:hAnsi="Arial"/>
          <w:b w:val="0"/>
          <w:i w:val="0"/>
          <w:color w:val="111827"/>
          <w:sz w:val="22"/>
        </w:rPr>
        <w:t xml:space="preserve"> do próprio servidor;</w:t>
      </w:r>
    </w:p>
    <w:p>
      <w:pPr>
        <w:spacing w:line="276" w:lineRule="auto" w:before="20" w:after="40"/>
        <w:ind w:left="992"/>
      </w:pPr>
      <w:r>
        <w:rPr>
          <w:rFonts w:ascii="Arial" w:hAnsi="Arial"/>
          <w:b/>
          <w:color w:val="2B6CB0"/>
          <w:sz w:val="22"/>
        </w:rPr>
        <w:t xml:space="preserve">• </w:t>
      </w:r>
      <w:r>
        <w:rPr>
          <w:rFonts w:ascii="Arial" w:hAnsi="Arial"/>
          <w:b w:val="0"/>
          <w:i/>
          <w:color w:val="111827"/>
          <w:sz w:val="22"/>
        </w:rPr>
        <w:t>De ofício:</w:t>
      </w:r>
      <w:r>
        <w:rPr>
          <w:rFonts w:ascii="Arial" w:hAnsi="Arial"/>
          <w:b w:val="0"/>
          <w:i w:val="0"/>
          <w:color w:val="111827"/>
          <w:sz w:val="22"/>
        </w:rPr>
        <w:t xml:space="preserve"> quando não satisfeitas as condições do estágio probatório ou quando o servidor empossado não entrar em exercício no prazo legal de 15 dias; ou ainda para desocupação de cargo em comissão.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Demissão:</w:t>
      </w:r>
      <w:r>
        <w:rPr>
          <w:rFonts w:ascii="Arial" w:hAnsi="Arial"/>
          <w:b w:val="0"/>
          <w:i w:val="0"/>
          <w:color w:val="111827"/>
          <w:sz w:val="22"/>
        </w:rPr>
        <w:t xml:space="preserve"> sanção disciplinar punitiva expulsória aplicada em razão do cometimento de falta funcional gravíssima apurada em regular PAD.</w:t>
      </w:r>
    </w:p>
    <w:p>
      <w:pPr>
        <w:spacing w:line="276" w:lineRule="auto" w:before="20" w:after="40"/>
        <w:ind w:left="425"/>
      </w:pPr>
      <w:r>
        <w:rPr>
          <w:rFonts w:ascii="Arial" w:hAnsi="Arial"/>
          <w:b/>
          <w:color w:val="1B365D"/>
          <w:sz w:val="22"/>
        </w:rPr>
        <w:t xml:space="preserve">3. </w:t>
      </w:r>
      <w:r>
        <w:rPr>
          <w:rFonts w:ascii="Arial" w:hAnsi="Arial"/>
          <w:b/>
          <w:i w:val="0"/>
          <w:color w:val="111827"/>
          <w:sz w:val="22"/>
        </w:rPr>
        <w:t>Readaptação:</w:t>
      </w:r>
      <w:r>
        <w:rPr>
          <w:rFonts w:ascii="Arial" w:hAnsi="Arial"/>
          <w:b w:val="0"/>
          <w:i w:val="0"/>
          <w:color w:val="111827"/>
          <w:sz w:val="22"/>
        </w:rPr>
        <w:t xml:space="preserve"> gera vacância do cargo originário no momento em que o servidor é investido no cargo adaptado às suas limitações.</w:t>
      </w:r>
    </w:p>
    <w:p>
      <w:pPr>
        <w:spacing w:line="276" w:lineRule="auto" w:before="20" w:after="40"/>
        <w:ind w:left="425"/>
      </w:pPr>
      <w:r>
        <w:rPr>
          <w:rFonts w:ascii="Arial" w:hAnsi="Arial"/>
          <w:b/>
          <w:color w:val="1B365D"/>
          <w:sz w:val="22"/>
        </w:rPr>
        <w:t xml:space="preserve">4. </w:t>
      </w:r>
      <w:r>
        <w:rPr>
          <w:rFonts w:ascii="Arial" w:hAnsi="Arial"/>
          <w:b/>
          <w:i w:val="0"/>
          <w:color w:val="111827"/>
          <w:sz w:val="22"/>
        </w:rPr>
        <w:t>Aposentadoria:</w:t>
      </w:r>
      <w:r>
        <w:rPr>
          <w:rFonts w:ascii="Arial" w:hAnsi="Arial"/>
          <w:b w:val="0"/>
          <w:i w:val="0"/>
          <w:color w:val="111827"/>
          <w:sz w:val="22"/>
        </w:rPr>
        <w:t xml:space="preserve"> extingue o provimento ativo, abrindo vaga no quadro funcional.</w:t>
      </w:r>
    </w:p>
    <w:p>
      <w:pPr>
        <w:spacing w:line="276" w:lineRule="auto" w:before="20" w:after="40"/>
        <w:ind w:left="425"/>
      </w:pPr>
      <w:r>
        <w:rPr>
          <w:rFonts w:ascii="Arial" w:hAnsi="Arial"/>
          <w:b/>
          <w:color w:val="1B365D"/>
          <w:sz w:val="22"/>
        </w:rPr>
        <w:t xml:space="preserve">5. </w:t>
      </w:r>
      <w:r>
        <w:rPr>
          <w:rFonts w:ascii="Arial" w:hAnsi="Arial"/>
          <w:b/>
          <w:i w:val="0"/>
          <w:color w:val="111827"/>
          <w:sz w:val="22"/>
        </w:rPr>
        <w:t>Posse em outro cargo inacumulável:</w:t>
      </w:r>
      <w:r>
        <w:rPr>
          <w:rFonts w:ascii="Arial" w:hAnsi="Arial"/>
          <w:b w:val="0"/>
          <w:i w:val="0"/>
          <w:color w:val="111827"/>
          <w:sz w:val="22"/>
        </w:rPr>
        <w:t xml:space="preserve"> desocupa o cargo originário quando o servidor assume nova titularidade estatutária que veda a cumulação (CF/88, art. 37, XVI).</w:t>
      </w:r>
    </w:p>
    <w:p>
      <w:pPr>
        <w:spacing w:line="276" w:lineRule="auto" w:before="20" w:after="40"/>
        <w:ind w:left="425"/>
      </w:pPr>
      <w:r>
        <w:rPr>
          <w:rFonts w:ascii="Arial" w:hAnsi="Arial"/>
          <w:b/>
          <w:color w:val="1B365D"/>
          <w:sz w:val="22"/>
        </w:rPr>
        <w:t xml:space="preserve">6. </w:t>
      </w:r>
      <w:r>
        <w:rPr>
          <w:rFonts w:ascii="Arial" w:hAnsi="Arial"/>
          <w:b/>
          <w:i w:val="0"/>
          <w:color w:val="111827"/>
          <w:sz w:val="22"/>
        </w:rPr>
        <w:t>Falecimento:</w:t>
      </w:r>
      <w:r>
        <w:rPr>
          <w:rFonts w:ascii="Arial" w:hAnsi="Arial"/>
          <w:b w:val="0"/>
          <w:i w:val="0"/>
          <w:color w:val="111827"/>
          <w:sz w:val="22"/>
        </w:rPr>
        <w:t xml:space="preserve"> extinção natural decorrente da morte biológica do titular.</w:t>
      </w:r>
    </w:p>
    <w:p>
      <w:pPr>
        <w:spacing w:line="276" w:lineRule="auto" w:before="20" w:after="40"/>
        <w:ind w:left="425"/>
      </w:pPr>
      <w:r>
        <w:rPr>
          <w:rFonts w:ascii="Arial" w:hAnsi="Arial"/>
          <w:b/>
          <w:color w:val="1B365D"/>
          <w:sz w:val="22"/>
        </w:rPr>
        <w:t xml:space="preserve">7. </w:t>
      </w:r>
      <w:r>
        <w:rPr>
          <w:rFonts w:ascii="Arial" w:hAnsi="Arial"/>
          <w:b/>
          <w:i w:val="0"/>
          <w:color w:val="111827"/>
          <w:sz w:val="22"/>
        </w:rPr>
        <w:t>Destituição de cargo em comissão:</w:t>
      </w:r>
      <w:r>
        <w:rPr>
          <w:rFonts w:ascii="Arial" w:hAnsi="Arial"/>
          <w:b w:val="0"/>
          <w:i w:val="0"/>
          <w:color w:val="111827"/>
          <w:sz w:val="22"/>
        </w:rPr>
        <w:t xml:space="preserve"> desvinculação punitiva ou formal do titular de cargo comissionado sem vínculo efetivo.</w:t>
      </w:r>
    </w:p>
    <w:p>
      <w:pPr>
        <w:keepNext/>
        <w:spacing w:before="280" w:after="120"/>
      </w:pPr>
      <w:r>
        <w:rPr>
          <w:rFonts w:ascii="Arial" w:hAnsi="Arial"/>
          <w:b/>
          <w:i w:val="0"/>
          <w:color w:val="2C5282"/>
          <w:sz w:val="28"/>
        </w:rPr>
        <w:t>5. Direitos, Vantagens Pecuniárias e Licenças Estatutárias</w:t>
      </w:r>
    </w:p>
    <w:p>
      <w:pPr>
        <w:keepNext/>
        <w:spacing w:before="200" w:after="80"/>
      </w:pPr>
      <w:r>
        <w:rPr>
          <w:rFonts w:ascii="Arial" w:hAnsi="Arial"/>
          <w:b/>
          <w:i w:val="0"/>
          <w:color w:val="2B6CB0"/>
          <w:sz w:val="24"/>
        </w:rPr>
        <w:t>5.1 Sistema Remuneratório: Vencimento, Remuneração e Indenizações</w:t>
      </w:r>
    </w:p>
    <w:p>
      <w:pPr>
        <w:spacing w:line="360" w:lineRule="auto" w:before="0" w:after="80"/>
        <w:jc w:val="both"/>
      </w:pPr>
      <w:r>
        <w:rPr>
          <w:rFonts w:ascii="Arial" w:hAnsi="Arial"/>
          <w:b w:val="0"/>
          <w:i w:val="0"/>
          <w:color w:val="111827"/>
          <w:sz w:val="24"/>
        </w:rPr>
        <w:t>A Lei nº 20.756/2020 estabelece rigorosa distinção técnica conceitual no âmbito pecuniário: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Vencimento Básico:</w:t>
      </w:r>
      <w:r>
        <w:rPr>
          <w:rFonts w:ascii="Arial" w:hAnsi="Arial"/>
          <w:b w:val="0"/>
          <w:i w:val="0"/>
          <w:color w:val="111827"/>
          <w:sz w:val="22"/>
        </w:rPr>
        <w:t xml:space="preserve"> é a retribuição pecuniária mensal fixada em lei para o exercício de cargo público de acordo com o padrão e classe funcional, sendo irredutível (salvo o disposto em convenções constitucionais do art. 37, XV).</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Remuneração:</w:t>
      </w:r>
      <w:r>
        <w:rPr>
          <w:rFonts w:ascii="Arial" w:hAnsi="Arial"/>
          <w:b w:val="0"/>
          <w:i w:val="0"/>
          <w:color w:val="111827"/>
          <w:sz w:val="22"/>
        </w:rPr>
        <w:t xml:space="preserve"> é o valor global formado pelo vencimento básico acrescido das vantagens pecuniárias permanentes ou temporárias instituídas em lei.</w:t>
      </w:r>
    </w:p>
    <w:p>
      <w:pPr>
        <w:spacing w:line="276" w:lineRule="auto" w:before="20" w:after="40"/>
        <w:ind w:left="425"/>
      </w:pPr>
      <w:r>
        <w:rPr>
          <w:rFonts w:ascii="Arial" w:hAnsi="Arial"/>
          <w:b/>
          <w:color w:val="2B6CB0"/>
          <w:sz w:val="22"/>
        </w:rPr>
        <w:t xml:space="preserve">• </w:t>
      </w:r>
      <w:r>
        <w:rPr>
          <w:rFonts w:ascii="Arial" w:hAnsi="Arial"/>
          <w:b/>
          <w:i w:val="0"/>
          <w:color w:val="111827"/>
          <w:sz w:val="22"/>
        </w:rPr>
        <w:t>Indenizações Estatutárias:</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Destinam-se exclusivamente a </w:t>
      </w:r>
      <w:r>
        <w:rPr>
          <w:rFonts w:ascii="Arial" w:hAnsi="Arial"/>
          <w:b/>
          <w:i w:val="0"/>
          <w:color w:val="111827"/>
          <w:sz w:val="22"/>
        </w:rPr>
        <w:t>ressarcir o servidor por despesas extraordinárias</w:t>
      </w:r>
      <w:r>
        <w:rPr>
          <w:rFonts w:ascii="Arial" w:hAnsi="Arial"/>
          <w:b w:val="0"/>
          <w:i w:val="0"/>
          <w:color w:val="111827"/>
          <w:sz w:val="22"/>
        </w:rPr>
        <w:t xml:space="preserve"> suportadas em razão do desempenho das atribuições de seu cargo;</w:t>
      </w:r>
    </w:p>
    <w:p>
      <w:pPr>
        <w:spacing w:line="276" w:lineRule="auto" w:before="20" w:after="40"/>
        <w:ind w:left="992"/>
      </w:pPr>
      <w:r>
        <w:rPr>
          <w:rFonts w:ascii="Arial" w:hAnsi="Arial"/>
          <w:b/>
          <w:color w:val="2B6CB0"/>
          <w:sz w:val="22"/>
        </w:rPr>
        <w:t xml:space="preserve">• </w:t>
      </w:r>
      <w:r>
        <w:rPr>
          <w:rFonts w:ascii="Arial" w:hAnsi="Arial"/>
          <w:b/>
          <w:i w:val="0"/>
          <w:color w:val="111827"/>
          <w:sz w:val="22"/>
        </w:rPr>
        <w:t>Não se incorporam ao vencimento básico</w:t>
      </w:r>
      <w:r>
        <w:rPr>
          <w:rFonts w:ascii="Arial" w:hAnsi="Arial"/>
          <w:b w:val="0"/>
          <w:i w:val="0"/>
          <w:color w:val="111827"/>
          <w:sz w:val="22"/>
        </w:rPr>
        <w:t xml:space="preserve"> sob nenhuma hipótese;</w:t>
      </w:r>
    </w:p>
    <w:p>
      <w:pPr>
        <w:spacing w:line="276" w:lineRule="auto" w:before="20" w:after="40"/>
        <w:ind w:left="992"/>
      </w:pPr>
      <w:r>
        <w:rPr>
          <w:rFonts w:ascii="Arial" w:hAnsi="Arial"/>
          <w:b/>
          <w:color w:val="2B6CB0"/>
          <w:sz w:val="22"/>
        </w:rPr>
        <w:t xml:space="preserve">• </w:t>
      </w:r>
      <w:r>
        <w:rPr>
          <w:rFonts w:ascii="Arial" w:hAnsi="Arial"/>
          <w:b/>
          <w:i w:val="0"/>
          <w:color w:val="111827"/>
          <w:sz w:val="22"/>
        </w:rPr>
        <w:t>Não servem de base de cálculo</w:t>
      </w:r>
      <w:r>
        <w:rPr>
          <w:rFonts w:ascii="Arial" w:hAnsi="Arial"/>
          <w:b w:val="0"/>
          <w:i w:val="0"/>
          <w:color w:val="111827"/>
          <w:sz w:val="22"/>
        </w:rPr>
        <w:t xml:space="preserve"> para a incidência de contribuição previdenciária;</w:t>
      </w:r>
    </w:p>
    <w:p>
      <w:pPr>
        <w:spacing w:line="276" w:lineRule="auto" w:before="20" w:after="40"/>
        <w:ind w:left="992"/>
      </w:pPr>
      <w:r>
        <w:rPr>
          <w:rFonts w:ascii="Arial" w:hAnsi="Arial"/>
          <w:b/>
          <w:color w:val="2B6CB0"/>
          <w:sz w:val="22"/>
        </w:rPr>
        <w:t xml:space="preserve">• </w:t>
      </w:r>
      <w:r>
        <w:rPr>
          <w:rFonts w:ascii="Arial" w:hAnsi="Arial"/>
          <w:b/>
          <w:i w:val="0"/>
          <w:color w:val="111827"/>
          <w:sz w:val="22"/>
        </w:rPr>
        <w:t>Não se sujeitam ao teto remuneratório constitucional</w:t>
      </w:r>
      <w:r>
        <w:rPr>
          <w:rFonts w:ascii="Arial" w:hAnsi="Arial"/>
          <w:b w:val="0"/>
          <w:i w:val="0"/>
          <w:color w:val="111827"/>
          <w:sz w:val="22"/>
        </w:rPr>
        <w:t xml:space="preserve"> (abate-teto do art. 37, XI, CF/88);</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As principais indenizações no Estatuto Goiano são:</w:t>
      </w:r>
    </w:p>
    <w:p>
      <w:pPr>
        <w:spacing w:line="276" w:lineRule="auto" w:before="20" w:after="40"/>
        <w:ind w:left="992"/>
      </w:pPr>
      <w:r>
        <w:rPr>
          <w:rFonts w:ascii="Arial" w:hAnsi="Arial"/>
          <w:b/>
          <w:color w:val="1B365D"/>
          <w:sz w:val="22"/>
        </w:rPr>
        <w:t xml:space="preserve">1. </w:t>
      </w:r>
      <w:r>
        <w:rPr>
          <w:rFonts w:ascii="Arial" w:hAnsi="Arial"/>
          <w:b/>
          <w:i w:val="0"/>
          <w:color w:val="111827"/>
          <w:sz w:val="22"/>
        </w:rPr>
        <w:t>Ajuda de Custo:</w:t>
      </w:r>
      <w:r>
        <w:rPr>
          <w:rFonts w:ascii="Arial" w:hAnsi="Arial"/>
          <w:b w:val="0"/>
          <w:i w:val="0"/>
          <w:color w:val="111827"/>
          <w:sz w:val="22"/>
        </w:rPr>
        <w:t xml:space="preserve"> destina-se a compensar as despesas de instalação e transporte do servidor que passa a ter exercício em nova sede funcional, por necessidade do serviço e com mudança de domicílio em caráter permanente;</w:t>
      </w:r>
    </w:p>
    <w:p>
      <w:pPr>
        <w:spacing w:line="276" w:lineRule="auto" w:before="20" w:after="40"/>
        <w:ind w:left="992"/>
      </w:pPr>
      <w:r>
        <w:rPr>
          <w:rFonts w:ascii="Arial" w:hAnsi="Arial"/>
          <w:b/>
          <w:color w:val="1B365D"/>
          <w:sz w:val="22"/>
        </w:rPr>
        <w:t xml:space="preserve">2. </w:t>
      </w:r>
      <w:r>
        <w:rPr>
          <w:rFonts w:ascii="Arial" w:hAnsi="Arial"/>
          <w:b/>
          <w:i w:val="0"/>
          <w:color w:val="111827"/>
          <w:sz w:val="22"/>
        </w:rPr>
        <w:t>Diárias:</w:t>
      </w:r>
      <w:r>
        <w:rPr>
          <w:rFonts w:ascii="Arial" w:hAnsi="Arial"/>
          <w:b w:val="0"/>
          <w:i w:val="0"/>
          <w:color w:val="111827"/>
          <w:sz w:val="22"/>
        </w:rPr>
        <w:t xml:space="preserve"> concedidas ao servidor que se deslocar da sede em caráter eventual ou transitório no interesse do serviço público para cobrir custos de alimentação, transporte urbano e hospedagem;</w:t>
      </w:r>
    </w:p>
    <w:p>
      <w:pPr>
        <w:spacing w:line="276" w:lineRule="auto" w:before="20" w:after="40"/>
        <w:ind w:left="992"/>
      </w:pPr>
      <w:r>
        <w:rPr>
          <w:rFonts w:ascii="Arial" w:hAnsi="Arial"/>
          <w:b/>
          <w:color w:val="1B365D"/>
          <w:sz w:val="22"/>
        </w:rPr>
        <w:t xml:space="preserve">3. </w:t>
      </w:r>
      <w:r>
        <w:rPr>
          <w:rFonts w:ascii="Arial" w:hAnsi="Arial"/>
          <w:b/>
          <w:i w:val="0"/>
          <w:color w:val="111827"/>
          <w:sz w:val="22"/>
        </w:rPr>
        <w:t>Indenização de Transporte:</w:t>
      </w:r>
      <w:r>
        <w:rPr>
          <w:rFonts w:ascii="Arial" w:hAnsi="Arial"/>
          <w:b w:val="0"/>
          <w:i w:val="0"/>
          <w:color w:val="111827"/>
          <w:sz w:val="22"/>
        </w:rPr>
        <w:t xml:space="preserve"> paga ao servidor que realiza despesas com a utilização de meio próprio de locomoção para a execução de serviços externos de fiscalização e auditoria inerentes ao cargo.</w:t>
      </w:r>
    </w:p>
    <w:p>
      <w:pPr>
        <w:keepNext/>
        <w:spacing w:before="200" w:after="80"/>
      </w:pPr>
      <w:r>
        <w:rPr>
          <w:rFonts w:ascii="Arial" w:hAnsi="Arial"/>
          <w:b/>
          <w:i w:val="0"/>
          <w:color w:val="2B6CB0"/>
          <w:sz w:val="24"/>
        </w:rPr>
        <w:t>5.2 Regime de Férias</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O servidor público estadual adquire direito a </w:t>
      </w:r>
      <w:r>
        <w:rPr>
          <w:rFonts w:ascii="Arial" w:hAnsi="Arial"/>
          <w:b/>
          <w:i w:val="0"/>
          <w:color w:val="111827"/>
          <w:sz w:val="22"/>
        </w:rPr>
        <w:t>30 (trinta) dias consecutivos de férias</w:t>
      </w:r>
      <w:r>
        <w:rPr>
          <w:rFonts w:ascii="Arial" w:hAnsi="Arial"/>
          <w:b w:val="0"/>
          <w:i w:val="0"/>
          <w:color w:val="111827"/>
          <w:sz w:val="22"/>
        </w:rPr>
        <w:t xml:space="preserve"> a cada período de 12 (doze) meses de efetivo exercício funcional (período aquisitivo).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Por ocasião das férias, é assegurado o pagamento do </w:t>
      </w:r>
      <w:r>
        <w:rPr>
          <w:rFonts w:ascii="Arial" w:hAnsi="Arial"/>
          <w:b/>
          <w:i w:val="0"/>
          <w:color w:val="111827"/>
          <w:sz w:val="22"/>
        </w:rPr>
        <w:t>adicional de um terço (1/3)</w:t>
      </w:r>
      <w:r>
        <w:rPr>
          <w:rFonts w:ascii="Arial" w:hAnsi="Arial"/>
          <w:b w:val="0"/>
          <w:i w:val="0"/>
          <w:color w:val="111827"/>
          <w:sz w:val="22"/>
        </w:rPr>
        <w:t xml:space="preserve"> constitucional, calculado sobre a remuneração ordinária do período de fruição.</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 xml:space="preserve">É permitida a fragmentação das férias anuais em até </w:t>
      </w:r>
      <w:r>
        <w:rPr>
          <w:rFonts w:ascii="Arial" w:hAnsi="Arial"/>
          <w:b/>
          <w:i w:val="0"/>
          <w:color w:val="111827"/>
          <w:sz w:val="22"/>
        </w:rPr>
        <w:t>3 (três) períodos</w:t>
      </w:r>
      <w:r>
        <w:rPr>
          <w:rFonts w:ascii="Arial" w:hAnsi="Arial"/>
          <w:b w:val="0"/>
          <w:i w:val="0"/>
          <w:color w:val="111827"/>
          <w:sz w:val="22"/>
        </w:rPr>
        <w:t>, sendo que nenhum deles poderá ser inferior a 10 (dez) dias, no interesse da administração pública.</w:t>
      </w:r>
    </w:p>
    <w:p>
      <w:pPr>
        <w:spacing w:line="276" w:lineRule="auto" w:before="20" w:after="40"/>
        <w:ind w:left="425"/>
      </w:pPr>
      <w:r>
        <w:rPr>
          <w:rFonts w:ascii="Arial" w:hAnsi="Arial"/>
          <w:b/>
          <w:color w:val="2B6CB0"/>
          <w:sz w:val="22"/>
        </w:rPr>
        <w:t xml:space="preserve">• </w:t>
      </w:r>
      <w:r>
        <w:rPr>
          <w:rFonts w:ascii="Arial" w:hAnsi="Arial"/>
          <w:b w:val="0"/>
          <w:i w:val="0"/>
          <w:color w:val="111827"/>
          <w:sz w:val="22"/>
        </w:rPr>
        <w:t>É vedada a conversão de férias em dinheiro (indenização), exceto nos casos de exoneração ou aposentadoria relativamente aos períodos adquiridos e não usufruídos por necessidade indeferida do serviço.</w:t>
      </w:r>
    </w:p>
    <w:p>
      <w:pPr>
        <w:keepNext/>
        <w:spacing w:before="200" w:after="80"/>
      </w:pPr>
      <w:r>
        <w:rPr>
          <w:rFonts w:ascii="Arial" w:hAnsi="Arial"/>
          <w:b/>
          <w:i w:val="0"/>
          <w:color w:val="2B6CB0"/>
          <w:sz w:val="24"/>
        </w:rPr>
        <w:t>5.3 Licenças Estatutárias: Capacitação vs. Interesses Particulares</w:t>
      </w:r>
    </w:p>
    <w:p>
      <w:pPr>
        <w:spacing w:line="360" w:lineRule="auto" w:before="0" w:after="80"/>
        <w:jc w:val="both"/>
      </w:pPr>
      <w:r>
        <w:rPr>
          <w:rFonts w:ascii="Arial" w:hAnsi="Arial"/>
          <w:b w:val="0"/>
          <w:i w:val="0"/>
          <w:color w:val="111827"/>
          <w:sz w:val="24"/>
        </w:rPr>
        <w:t>Dentre o rol de licenças disciplinadas no Estatuto de Goiás, duas merecem destaque primordial para as provas da FCC por suas regras restritivas e peculiaridades temporais:</w:t>
      </w:r>
    </w:p>
    <w:tbl>
      <w:tblPr>
        <w:tblW w:type="auto" w:w="0"/>
        <w:jc w:val="center"/>
        <w:tblLayout w:type="fixed"/>
        <w:tblLook w:firstColumn="1" w:firstRow="1" w:lastColumn="0" w:lastRow="0" w:noHBand="0" w:noVBand="1" w:val="04A0"/>
      </w:tblPr>
      <w:tblGrid>
        <w:gridCol w:w="3024"/>
        <w:gridCol w:w="3024"/>
        <w:gridCol w:w="3024"/>
      </w:tblGrid>
      <w:tr>
        <w:trPr>
          <w:cantSplit/>
        </w:trPr>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Critério de Comparação</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Licença para Capacitação Profissional</w:t>
            </w:r>
          </w:p>
        </w:tc>
        <w:tc>
          <w:tcPr>
            <w:tcW w:type="dxa" w:w="3024"/>
            <w:shd w:fill="1B365D"/>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FFFFFF"/>
                <w:sz w:val="20"/>
              </w:rPr>
              <w:t>Licença para Tratar de Interesses Particulares</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Requisito Temporal Prévio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Cumprimento de </w:t>
            </w:r>
            <w:r>
              <w:rPr>
                <w:rFonts w:ascii="Arial" w:hAnsi="Arial"/>
                <w:b/>
                <w:i w:val="0"/>
                <w:color w:val="111827"/>
                <w:sz w:val="19"/>
              </w:rPr>
              <w:t>quinquênio de efetivo exercício</w:t>
            </w:r>
            <w:r>
              <w:rPr>
                <w:rFonts w:ascii="Arial" w:hAnsi="Arial"/>
                <w:b w:val="0"/>
                <w:i w:val="0"/>
                <w:color w:val="111827"/>
                <w:sz w:val="19"/>
              </w:rPr>
              <w:t xml:space="preserve"> ininterrupto no cargo.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 xml:space="preserve">Aquisição prévia de </w:t>
            </w:r>
            <w:r>
              <w:rPr>
                <w:rFonts w:ascii="Arial" w:hAnsi="Arial"/>
                <w:b/>
                <w:i w:val="0"/>
                <w:color w:val="111827"/>
                <w:sz w:val="19"/>
              </w:rPr>
              <w:t>estabilidade funcional</w:t>
            </w:r>
            <w:r>
              <w:rPr>
                <w:rFonts w:ascii="Arial" w:hAnsi="Arial"/>
                <w:b w:val="0"/>
                <w:i w:val="0"/>
                <w:color w:val="111827"/>
                <w:sz w:val="19"/>
              </w:rPr>
              <w:t xml:space="preserve"> (3 anos de exercício e aprovação em probatório).</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Duração Máxima</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Até 3 (três) meses</w:t>
            </w:r>
            <w:r>
              <w:rPr>
                <w:rFonts w:ascii="Arial" w:hAnsi="Arial"/>
                <w:b w:val="0"/>
                <w:i w:val="0"/>
                <w:color w:val="111827"/>
                <w:sz w:val="19"/>
              </w:rPr>
              <w:t xml:space="preserve"> a cada período aquisitivo de 5 anos.</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Até 3 (três) anos consecutivos</w:t>
            </w:r>
            <w:r>
              <w:rPr>
                <w:rFonts w:ascii="Arial" w:hAnsi="Arial"/>
                <w:b w:val="0"/>
                <w:i w:val="0"/>
                <w:color w:val="111827"/>
                <w:sz w:val="19"/>
              </w:rPr>
              <w:t>.</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Remuneração</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Remunerada integralmente</w:t>
            </w:r>
            <w:r>
              <w:rPr>
                <w:rFonts w:ascii="Arial" w:hAnsi="Arial"/>
                <w:b w:val="0"/>
                <w:i w:val="0"/>
                <w:color w:val="111827"/>
                <w:sz w:val="19"/>
              </w:rPr>
              <w:t xml:space="preserve"> (mantém vencimentos e vantagens permanentes).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Totalmente SEM remuneração</w:t>
            </w:r>
            <w:r>
              <w:rPr>
                <w:rFonts w:ascii="Arial" w:hAnsi="Arial"/>
                <w:b w:val="0"/>
                <w:i w:val="0"/>
                <w:color w:val="111827"/>
                <w:sz w:val="19"/>
              </w:rPr>
              <w:t>.</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Natureza do Ato</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Ato discricionário, condicionado à compatibilidade do curso com os interesses do órgão estadual.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Ato discricionário, condicionado ao juízo de conveniência e oportunidade da administração.</w:t>
            </w:r>
          </w:p>
        </w:tc>
      </w:tr>
      <w:tr>
        <w:trPr>
          <w:cantSplit/>
        </w:trPr>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Acúmulo de Períodos</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VEDADO o acúmulo</w:t>
            </w:r>
            <w:r>
              <w:rPr>
                <w:rFonts w:ascii="Arial" w:hAnsi="Arial"/>
                <w:b w:val="0"/>
                <w:i w:val="0"/>
                <w:color w:val="111827"/>
                <w:sz w:val="19"/>
              </w:rPr>
              <w:t>: o período não usufruído não pode ser acumulado para o quinquênio seguinte.</w:t>
            </w:r>
          </w:p>
        </w:tc>
        <w:tc>
          <w:tcPr>
            <w:tcW w:type="dxa" w:w="3024"/>
            <w:shd w:fill="FFFFFF"/>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Pode ser prorrogada ou solicitada novamente após regular retorno, observado o teto legal.</w:t>
            </w:r>
          </w:p>
        </w:tc>
      </w:tr>
      <w:tr>
        <w:trPr>
          <w:cantSplit/>
        </w:trPr>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Concessão a Não Estável</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val="0"/>
                <w:i w:val="0"/>
                <w:color w:val="111827"/>
                <w:sz w:val="19"/>
              </w:rPr>
              <w:t>Permitida (desde que complete os 5 anos de exercício exigidos por lei).</w:t>
            </w:r>
          </w:p>
        </w:tc>
        <w:tc>
          <w:tcPr>
            <w:tcW w:type="dxa" w:w="3024"/>
            <w:shd w:fill="F8FAFC"/>
            <w:tcBorders>
              <w:top w:val="single" w:sz="4" w:space="0" w:color="CBD5E1"/>
              <w:bottom w:val="single" w:sz="6" w:space="0" w:color="CBD5E1"/>
              <w:left w:val="none"/>
              <w:right w:val="none"/>
            </w:tcBorders>
            <w:tcMar>
              <w:top w:w="100" w:type="dxa"/>
              <w:bottom w:w="100" w:type="dxa"/>
              <w:left w:w="120" w:type="dxa"/>
              <w:right w:w="120" w:type="dxa"/>
            </w:tcMar>
          </w:tcPr>
          <w:p>
            <w:pPr>
              <w:spacing w:line="276" w:lineRule="auto" w:before="20" w:after="20"/>
            </w:pPr>
            <w:r>
              <w:rPr>
                <w:rFonts w:ascii="Arial" w:hAnsi="Arial"/>
                <w:b/>
                <w:i w:val="0"/>
                <w:color w:val="111827"/>
                <w:sz w:val="19"/>
              </w:rPr>
              <w:t>TERMINANTEMENTE PROIBIDA</w:t>
            </w:r>
            <w:r>
              <w:rPr>
                <w:rFonts w:ascii="Arial" w:hAnsi="Arial"/>
                <w:b w:val="0"/>
                <w:i w:val="0"/>
                <w:color w:val="111827"/>
                <w:sz w:val="19"/>
              </w:rPr>
              <w:t xml:space="preserve"> a servidores não estáveis (em cumprimento de probatório).</w:t>
            </w:r>
          </w:p>
        </w:tc>
      </w:tr>
    </w:tbl>
    <w:p>
      <w:pPr>
        <w:spacing w:after="120"/>
      </w:pPr>
    </w:p>
    <w:p>
      <w:pPr>
        <w:spacing w:after="120"/>
      </w:pPr>
    </w:p>
    <w:p>
      <w:pPr>
        <w:keepNext/>
        <w:spacing w:before="280" w:after="120"/>
      </w:pPr>
      <w:r>
        <w:rPr>
          <w:rFonts w:ascii="Arial" w:hAnsi="Arial"/>
          <w:b/>
          <w:i w:val="0"/>
          <w:color w:val="2C5282"/>
          <w:sz w:val="28"/>
        </w:rPr>
        <w:t>6. Regime Disciplinar e Processo Sancionador</w:t>
      </w:r>
    </w:p>
    <w:p>
      <w:pPr>
        <w:keepNext/>
        <w:spacing w:before="200" w:after="80"/>
      </w:pPr>
      <w:r>
        <w:rPr>
          <w:rFonts w:ascii="Arial" w:hAnsi="Arial"/>
          <w:b/>
          <w:i w:val="0"/>
          <w:color w:val="2B6CB0"/>
          <w:sz w:val="24"/>
        </w:rPr>
        <w:t>6.1 Responsabilidade Funcional e Independência Relativa das Instâncias</w:t>
      </w:r>
    </w:p>
    <w:p>
      <w:pPr>
        <w:spacing w:line="360" w:lineRule="auto" w:before="0" w:after="80"/>
        <w:jc w:val="both"/>
      </w:pPr>
      <w:r>
        <w:rPr>
          <w:rFonts w:ascii="Arial" w:hAnsi="Arial"/>
          <w:b w:val="0"/>
          <w:i w:val="0"/>
          <w:color w:val="111827"/>
          <w:sz w:val="24"/>
        </w:rPr>
        <w:t xml:space="preserve">O servidor público estadual responde </w:t>
      </w:r>
      <w:r>
        <w:rPr>
          <w:rFonts w:ascii="Arial" w:hAnsi="Arial"/>
          <w:b/>
          <w:i w:val="0"/>
          <w:color w:val="111827"/>
          <w:sz w:val="24"/>
        </w:rPr>
        <w:t>civil, penal e administrativamente</w:t>
      </w:r>
      <w:r>
        <w:rPr>
          <w:rFonts w:ascii="Arial" w:hAnsi="Arial"/>
          <w:b w:val="0"/>
          <w:i w:val="0"/>
          <w:color w:val="111827"/>
          <w:sz w:val="24"/>
        </w:rPr>
        <w:t xml:space="preserve"> pelo exercício irregular de suas atribuições:</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Responsabilidade Civil:</w:t>
      </w:r>
      <w:r>
        <w:rPr>
          <w:rFonts w:ascii="Arial" w:hAnsi="Arial"/>
          <w:b w:val="0"/>
          <w:i w:val="0"/>
          <w:color w:val="111827"/>
          <w:sz w:val="22"/>
        </w:rPr>
        <w:t xml:space="preserve"> decorre de conduta comissiva ou omissiva, dolosa ou culposa, que importe em prejuízo ao erário ou a terceiros. Tratando-se de dano causado a particular, o Estado responde objetivamente e move ação de regresso contra o servidor caso este tenha agido com dolo ou culpa (CF/88, art. 37, § 6º);</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Responsabilidade Penal:</w:t>
      </w:r>
      <w:r>
        <w:rPr>
          <w:rFonts w:ascii="Arial" w:hAnsi="Arial"/>
          <w:b w:val="0"/>
          <w:i w:val="0"/>
          <w:color w:val="111827"/>
          <w:sz w:val="22"/>
        </w:rPr>
        <w:t xml:space="preserve"> decorre do cometimento de crimes funcionais tipificados no Código Penal e legislação extravagante;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Responsabilidade Administrativa:</w:t>
      </w:r>
      <w:r>
        <w:rPr>
          <w:rFonts w:ascii="Arial" w:hAnsi="Arial"/>
          <w:b w:val="0"/>
          <w:i w:val="0"/>
          <w:color w:val="111827"/>
          <w:sz w:val="22"/>
        </w:rPr>
        <w:t xml:space="preserve"> resulta da violação de deveres ou proibições estatutárias capituladas na Lei nº 20.756/2020.</w:t>
      </w:r>
    </w:p>
    <w:p>
      <w:pPr>
        <w:spacing w:after="120"/>
      </w:pP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ATENÇÃO — INDEPENDÊNCIA DAS INSTÂNCIAS E REFLEXO DA ABSOLVIÇÃO PENAL:</w:t>
            </w:r>
          </w:p>
          <w:p>
            <w:pPr>
              <w:spacing w:line="288" w:lineRule="auto" w:before="40" w:after="40"/>
            </w:pPr>
            <w:r>
              <w:rPr>
                <w:rFonts w:ascii="Arial" w:hAnsi="Arial"/>
                <w:b w:val="0"/>
                <w:i w:val="0"/>
                <w:color w:val="111827"/>
                <w:sz w:val="21"/>
              </w:rPr>
              <w:t xml:space="preserve">A regra é a independência e comunicabilidade mitigada das esferas sancionatórias. No entanto, há duas exceções constitucionais e estatutárias em que a </w:t>
            </w:r>
            <w:r>
              <w:rPr>
                <w:rFonts w:ascii="Arial" w:hAnsi="Arial"/>
                <w:b/>
                <w:i w:val="0"/>
                <w:color w:val="111827"/>
                <w:sz w:val="21"/>
              </w:rPr>
              <w:t>decisão penal vincula obrigatoriamente a esfera administrativa</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1. Quando o juízo criminal absolver o servidor por </w:t>
            </w:r>
            <w:r>
              <w:rPr>
                <w:rFonts w:ascii="Arial" w:hAnsi="Arial"/>
                <w:b/>
                <w:i w:val="0"/>
                <w:color w:val="111827"/>
                <w:sz w:val="21"/>
              </w:rPr>
              <w:t>inexistência categórica do fato</w:t>
            </w:r>
            <w:r>
              <w:rPr>
                <w:rFonts w:ascii="Arial" w:hAnsi="Arial"/>
                <w:b w:val="0"/>
                <w:i w:val="0"/>
                <w:color w:val="111827"/>
                <w:sz w:val="21"/>
              </w:rPr>
              <w:t xml:space="preserve"> material;</w:t>
            </w:r>
          </w:p>
          <w:p>
            <w:pPr>
              <w:spacing w:line="288" w:lineRule="auto" w:before="40" w:after="40"/>
            </w:pPr>
            <w:r>
              <w:rPr>
                <w:rFonts w:ascii="Arial" w:hAnsi="Arial"/>
                <w:b w:val="0"/>
                <w:i w:val="0"/>
                <w:color w:val="111827"/>
                <w:sz w:val="21"/>
              </w:rPr>
              <w:t xml:space="preserve">2. Quando o juízo criminal declarar expressamente a </w:t>
            </w:r>
            <w:r>
              <w:rPr>
                <w:rFonts w:ascii="Arial" w:hAnsi="Arial"/>
                <w:b/>
                <w:i w:val="0"/>
                <w:color w:val="111827"/>
                <w:sz w:val="21"/>
              </w:rPr>
              <w:t>negativa de autoria</w:t>
            </w:r>
            <w:r>
              <w:rPr>
                <w:rFonts w:ascii="Arial" w:hAnsi="Arial"/>
                <w:b w:val="0"/>
                <w:i w:val="0"/>
                <w:color w:val="111827"/>
                <w:sz w:val="21"/>
              </w:rPr>
              <w:t xml:space="preserve"> (o fato existiu, mas o réu não foi o seu autor).</w:t>
            </w:r>
          </w:p>
          <w:p>
            <w:pPr>
              <w:spacing w:line="288" w:lineRule="auto" w:before="40" w:after="40"/>
            </w:pPr>
            <w:r>
              <w:rPr>
                <w:rFonts w:ascii="Arial" w:hAnsi="Arial"/>
                <w:b w:val="0"/>
                <w:i w:val="0"/>
                <w:color w:val="111827"/>
                <w:sz w:val="21"/>
              </w:rPr>
              <w:t>Nessas duas hipóteses, a absolvição penal anula sumariamente qualquer punição administrativa disciplinar pelo mesmo fato!</w:t>
            </w:r>
          </w:p>
          <w:p>
            <w:pPr>
              <w:spacing w:line="288" w:lineRule="auto" w:before="40" w:after="40"/>
            </w:pPr>
            <w:r>
              <w:rPr>
                <w:rFonts w:ascii="Arial" w:hAnsi="Arial"/>
                <w:b/>
                <w:i w:val="0"/>
                <w:color w:val="111827"/>
                <w:sz w:val="21"/>
              </w:rPr>
              <w:t>Cuidado com a pegadinha FCC:</w:t>
            </w:r>
            <w:r>
              <w:rPr>
                <w:rFonts w:ascii="Arial" w:hAnsi="Arial"/>
                <w:b w:val="0"/>
                <w:i w:val="0"/>
                <w:color w:val="111827"/>
                <w:sz w:val="21"/>
              </w:rPr>
              <w:t xml:space="preserve"> A absolvição criminal por </w:t>
            </w:r>
            <w:r>
              <w:rPr>
                <w:rFonts w:ascii="Arial" w:hAnsi="Arial"/>
                <w:b w:val="0"/>
                <w:i/>
                <w:color w:val="111827"/>
                <w:sz w:val="21"/>
              </w:rPr>
              <w:t>ausência de provas suficientes para a condenação</w:t>
            </w:r>
            <w:r>
              <w:rPr>
                <w:rFonts w:ascii="Arial" w:hAnsi="Arial"/>
                <w:b w:val="0"/>
                <w:i w:val="0"/>
                <w:color w:val="111827"/>
                <w:sz w:val="21"/>
              </w:rPr>
              <w:t xml:space="preserve"> ou por </w:t>
            </w:r>
            <w:r>
              <w:rPr>
                <w:rFonts w:ascii="Arial" w:hAnsi="Arial"/>
                <w:b w:val="0"/>
                <w:i/>
                <w:color w:val="111827"/>
                <w:sz w:val="21"/>
              </w:rPr>
              <w:t>atipicidade penal da conduta</w:t>
            </w:r>
            <w:r>
              <w:rPr>
                <w:rFonts w:ascii="Arial" w:hAnsi="Arial"/>
                <w:b w:val="0"/>
                <w:i w:val="0"/>
                <w:color w:val="111827"/>
                <w:sz w:val="21"/>
              </w:rPr>
              <w:t xml:space="preserve"> </w:t>
            </w:r>
            <w:r>
              <w:rPr>
                <w:rFonts w:ascii="Arial" w:hAnsi="Arial"/>
                <w:b/>
                <w:i w:val="0"/>
                <w:color w:val="111827"/>
                <w:sz w:val="21"/>
              </w:rPr>
              <w:t>NÃO vincula</w:t>
            </w:r>
            <w:r>
              <w:rPr>
                <w:rFonts w:ascii="Arial" w:hAnsi="Arial"/>
                <w:b w:val="0"/>
                <w:i w:val="0"/>
                <w:color w:val="111827"/>
                <w:sz w:val="21"/>
              </w:rPr>
              <w:t xml:space="preserve"> a administração, podendo o servidor ser regularmente demitido ou suspenso administrativamente com base nas provas do PAD.</w:t>
            </w:r>
          </w:p>
        </w:tc>
      </w:tr>
    </w:tbl>
    <w:p>
      <w:pPr>
        <w:spacing w:before="0" w:after="120"/>
      </w:pPr>
    </w:p>
    <w:p>
      <w:pPr>
        <w:keepNext/>
        <w:spacing w:before="200" w:after="80"/>
      </w:pPr>
      <w:r>
        <w:rPr>
          <w:rFonts w:ascii="Arial" w:hAnsi="Arial"/>
          <w:b/>
          <w:i w:val="0"/>
          <w:color w:val="2B6CB0"/>
          <w:sz w:val="24"/>
        </w:rPr>
        <w:t>6.2 As Penalidades Disciplinares e Hipóteses de Demissão</w:t>
      </w:r>
    </w:p>
    <w:p>
      <w:pPr>
        <w:spacing w:line="360" w:lineRule="auto" w:before="0" w:after="80"/>
        <w:jc w:val="both"/>
      </w:pPr>
      <w:r>
        <w:rPr>
          <w:rFonts w:ascii="Arial" w:hAnsi="Arial"/>
          <w:b w:val="0"/>
          <w:i w:val="0"/>
          <w:color w:val="111827"/>
          <w:sz w:val="24"/>
        </w:rPr>
        <w:t>A Lei Estadual de Goiás nº 20.756/2020 prevê as seguintes sanções disciplinares, aplicadas em ordem de gravidade:</w:t>
      </w:r>
    </w:p>
    <w:p>
      <w:pPr>
        <w:spacing w:after="120"/>
      </w:pPr>
    </w:p>
    <w:p>
      <w:pPr>
        <w:spacing w:line="276" w:lineRule="auto" w:before="20" w:after="40"/>
        <w:ind w:left="425"/>
      </w:pPr>
      <w:r>
        <w:rPr>
          <w:rFonts w:ascii="Arial" w:hAnsi="Arial"/>
          <w:b/>
          <w:color w:val="1B365D"/>
          <w:sz w:val="22"/>
        </w:rPr>
        <w:t xml:space="preserve">1. </w:t>
      </w:r>
      <w:r>
        <w:rPr>
          <w:rFonts w:ascii="Arial" w:hAnsi="Arial"/>
          <w:b/>
          <w:i w:val="0"/>
          <w:color w:val="111827"/>
          <w:sz w:val="22"/>
        </w:rPr>
        <w:t>Advertência: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Aplicada formalmente </w:t>
      </w:r>
      <w:r>
        <w:rPr>
          <w:rFonts w:ascii="Arial" w:hAnsi="Arial"/>
          <w:b/>
          <w:i w:val="0"/>
          <w:color w:val="111827"/>
          <w:sz w:val="22"/>
        </w:rPr>
        <w:t>por escrito</w:t>
      </w:r>
      <w:r>
        <w:rPr>
          <w:rFonts w:ascii="Arial" w:hAnsi="Arial"/>
          <w:b w:val="0"/>
          <w:i w:val="0"/>
          <w:color w:val="111827"/>
          <w:sz w:val="22"/>
        </w:rPr>
        <w:t xml:space="preserve"> (não existe sanção verbal no Estatuto Goiano);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Cabível em casos de inobservância de dever funcional previsto em lei, regulamento ou norma interna, bem como em proibições leves que não justifiquem imposição de suspensão.</w:t>
      </w:r>
    </w:p>
    <w:p>
      <w:pPr>
        <w:spacing w:line="276" w:lineRule="auto" w:before="20" w:after="40"/>
        <w:ind w:left="425"/>
      </w:pPr>
      <w:r>
        <w:rPr>
          <w:rFonts w:ascii="Arial" w:hAnsi="Arial"/>
          <w:b/>
          <w:color w:val="1B365D"/>
          <w:sz w:val="22"/>
        </w:rPr>
        <w:t xml:space="preserve">2. </w:t>
      </w:r>
      <w:r>
        <w:rPr>
          <w:rFonts w:ascii="Arial" w:hAnsi="Arial"/>
          <w:b/>
          <w:i w:val="0"/>
          <w:color w:val="111827"/>
          <w:sz w:val="22"/>
        </w:rPr>
        <w:t>Suspensão: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Aplicada em caso de reincidência nas faltas punidas com advertência ou por violação de deveres funcionais graves que não cominem demissão;</w:t>
      </w:r>
    </w:p>
    <w:p>
      <w:pPr>
        <w:spacing w:line="276" w:lineRule="auto" w:before="20" w:after="40"/>
        <w:ind w:left="992"/>
      </w:pPr>
      <w:r>
        <w:rPr>
          <w:rFonts w:ascii="Arial" w:hAnsi="Arial"/>
          <w:b/>
          <w:color w:val="2B6CB0"/>
          <w:sz w:val="22"/>
        </w:rPr>
        <w:t xml:space="preserve">• </w:t>
      </w:r>
      <w:r>
        <w:rPr>
          <w:rFonts w:ascii="Arial" w:hAnsi="Arial"/>
          <w:b/>
          <w:i w:val="0"/>
          <w:color w:val="111827"/>
          <w:sz w:val="22"/>
        </w:rPr>
        <w:t>Prazo Máximo:</w:t>
      </w:r>
      <w:r>
        <w:rPr>
          <w:rFonts w:ascii="Arial" w:hAnsi="Arial"/>
          <w:b w:val="0"/>
          <w:i w:val="0"/>
          <w:color w:val="111827"/>
          <w:sz w:val="22"/>
        </w:rPr>
        <w:t xml:space="preserve"> não poderá exceder a </w:t>
      </w:r>
      <w:r>
        <w:rPr>
          <w:rFonts w:ascii="Arial" w:hAnsi="Arial"/>
          <w:b/>
          <w:i w:val="0"/>
          <w:color w:val="111827"/>
          <w:sz w:val="22"/>
        </w:rPr>
        <w:t>90 (noventa) dias</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Conversão Pecuniária em Multa:</w:t>
      </w:r>
      <w:r>
        <w:rPr>
          <w:rFonts w:ascii="Arial" w:hAnsi="Arial"/>
          <w:b w:val="0"/>
          <w:i w:val="0"/>
          <w:color w:val="111827"/>
          <w:sz w:val="22"/>
        </w:rPr>
        <w:t xml:space="preserve"> quando houver comprovada conveniência para a continuidade do serviço público, a penalidade de suspensão poderá ser convertida em multa pecuniária à razão de </w:t>
      </w:r>
      <w:r>
        <w:rPr>
          <w:rFonts w:ascii="Arial" w:hAnsi="Arial"/>
          <w:b/>
          <w:i w:val="0"/>
          <w:color w:val="111827"/>
          <w:sz w:val="22"/>
        </w:rPr>
        <w:t>50% (cinquenta por cento) por dia de remuneração</w:t>
      </w:r>
      <w:r>
        <w:rPr>
          <w:rFonts w:ascii="Arial" w:hAnsi="Arial"/>
          <w:b w:val="0"/>
          <w:i w:val="0"/>
          <w:color w:val="111827"/>
          <w:sz w:val="22"/>
        </w:rPr>
        <w:t>, permanecendo o servidor no exercício obrigatório de suas atividades funcionais normais.</w:t>
      </w:r>
    </w:p>
    <w:p>
      <w:pPr>
        <w:spacing w:line="276" w:lineRule="auto" w:before="20" w:after="40"/>
        <w:ind w:left="425"/>
      </w:pPr>
      <w:r>
        <w:rPr>
          <w:rFonts w:ascii="Arial" w:hAnsi="Arial"/>
          <w:b/>
          <w:color w:val="1B365D"/>
          <w:sz w:val="22"/>
        </w:rPr>
        <w:t xml:space="preserve">3. </w:t>
      </w:r>
      <w:r>
        <w:rPr>
          <w:rFonts w:ascii="Arial" w:hAnsi="Arial"/>
          <w:b/>
          <w:i w:val="0"/>
          <w:color w:val="111827"/>
          <w:sz w:val="22"/>
        </w:rPr>
        <w:t>Demissão: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Sanção disciplinar máxima e expulsória, obrigatoriamente precedida de regular Processo Administrativo Disciplinar (PAD);</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Hipóteses taxativas de demissão na Lei nº 20.756/2020:</w:t>
      </w:r>
    </w:p>
    <w:p>
      <w:pPr>
        <w:spacing w:line="276" w:lineRule="auto" w:before="20" w:after="40"/>
        <w:ind w:left="992"/>
      </w:pPr>
      <w:r>
        <w:rPr>
          <w:rFonts w:ascii="Arial" w:hAnsi="Arial"/>
          <w:b/>
          <w:color w:val="1B365D"/>
          <w:sz w:val="22"/>
        </w:rPr>
        <w:t xml:space="preserve">1. </w:t>
      </w:r>
      <w:r>
        <w:rPr>
          <w:rFonts w:ascii="Arial" w:hAnsi="Arial"/>
          <w:b w:val="0"/>
          <w:i w:val="0"/>
          <w:color w:val="111827"/>
          <w:sz w:val="22"/>
        </w:rPr>
        <w:t>Prática de crime contra a administração pública;</w:t>
      </w:r>
    </w:p>
    <w:p>
      <w:pPr>
        <w:spacing w:line="276" w:lineRule="auto" w:before="20" w:after="40"/>
        <w:ind w:left="992"/>
      </w:pPr>
      <w:r>
        <w:rPr>
          <w:rFonts w:ascii="Arial" w:hAnsi="Arial"/>
          <w:b/>
          <w:color w:val="1B365D"/>
          <w:sz w:val="22"/>
        </w:rPr>
        <w:t xml:space="preserve">2. </w:t>
      </w:r>
      <w:r>
        <w:rPr>
          <w:rFonts w:ascii="Arial" w:hAnsi="Arial"/>
          <w:b w:val="0"/>
          <w:i w:val="0"/>
          <w:color w:val="111827"/>
          <w:sz w:val="22"/>
        </w:rPr>
        <w:t>Prática dolosa de ato de improbidade administrativa;</w:t>
      </w:r>
    </w:p>
    <w:p>
      <w:pPr>
        <w:spacing w:line="276" w:lineRule="auto" w:before="20" w:after="40"/>
        <w:ind w:left="992"/>
      </w:pPr>
      <w:r>
        <w:rPr>
          <w:rFonts w:ascii="Arial" w:hAnsi="Arial"/>
          <w:b/>
          <w:color w:val="1B365D"/>
          <w:sz w:val="22"/>
        </w:rPr>
        <w:t xml:space="preserve">3. </w:t>
      </w:r>
      <w:r>
        <w:rPr>
          <w:rFonts w:ascii="Arial" w:hAnsi="Arial"/>
          <w:b/>
          <w:i w:val="0"/>
          <w:color w:val="111827"/>
          <w:sz w:val="22"/>
        </w:rPr>
        <w:t>Abandono de Cargo:</w:t>
      </w:r>
      <w:r>
        <w:rPr>
          <w:rFonts w:ascii="Arial" w:hAnsi="Arial"/>
          <w:b w:val="0"/>
          <w:i w:val="0"/>
          <w:color w:val="111827"/>
          <w:sz w:val="22"/>
        </w:rPr>
        <w:t xml:space="preserve"> caracterizado pela ausência intencional e injustificada do servidor ao serviço por </w:t>
      </w:r>
      <w:r>
        <w:rPr>
          <w:rFonts w:ascii="Arial" w:hAnsi="Arial"/>
          <w:b/>
          <w:i w:val="0"/>
          <w:color w:val="111827"/>
          <w:sz w:val="22"/>
        </w:rPr>
        <w:t>mais de 30 (trinta) dias consecutivos</w:t>
      </w:r>
      <w:r>
        <w:rPr>
          <w:rFonts w:ascii="Arial" w:hAnsi="Arial"/>
          <w:b w:val="0"/>
          <w:i w:val="0"/>
          <w:color w:val="111827"/>
          <w:sz w:val="22"/>
        </w:rPr>
        <w:t>;</w:t>
      </w:r>
    </w:p>
    <w:p>
      <w:pPr>
        <w:spacing w:line="276" w:lineRule="auto" w:before="20" w:after="40"/>
        <w:ind w:left="992"/>
      </w:pPr>
      <w:r>
        <w:rPr>
          <w:rFonts w:ascii="Arial" w:hAnsi="Arial"/>
          <w:b/>
          <w:color w:val="1B365D"/>
          <w:sz w:val="22"/>
        </w:rPr>
        <w:t xml:space="preserve">4. </w:t>
      </w:r>
      <w:r>
        <w:rPr>
          <w:rFonts w:ascii="Arial" w:hAnsi="Arial"/>
          <w:b/>
          <w:i w:val="0"/>
          <w:color w:val="111827"/>
          <w:sz w:val="22"/>
        </w:rPr>
        <w:t>Inassiduidade Habitual:</w:t>
      </w:r>
      <w:r>
        <w:rPr>
          <w:rFonts w:ascii="Arial" w:hAnsi="Arial"/>
          <w:b w:val="0"/>
          <w:i w:val="0"/>
          <w:color w:val="111827"/>
          <w:sz w:val="22"/>
        </w:rPr>
        <w:t xml:space="preserve"> configurada pela falta injustificada ao serviço por </w:t>
      </w:r>
      <w:r>
        <w:rPr>
          <w:rFonts w:ascii="Arial" w:hAnsi="Arial"/>
          <w:b/>
          <w:i w:val="0"/>
          <w:color w:val="111827"/>
          <w:sz w:val="22"/>
        </w:rPr>
        <w:t>60 (sessenta) dias interpolados</w:t>
      </w:r>
      <w:r>
        <w:rPr>
          <w:rFonts w:ascii="Arial" w:hAnsi="Arial"/>
          <w:b w:val="0"/>
          <w:i w:val="0"/>
          <w:color w:val="111827"/>
          <w:sz w:val="22"/>
        </w:rPr>
        <w:t xml:space="preserve"> no interregno temporal de 12 (doze) meses;</w:t>
      </w:r>
    </w:p>
    <w:p>
      <w:pPr>
        <w:spacing w:line="276" w:lineRule="auto" w:before="20" w:after="40"/>
        <w:ind w:left="992"/>
      </w:pPr>
      <w:r>
        <w:rPr>
          <w:rFonts w:ascii="Arial" w:hAnsi="Arial"/>
          <w:b/>
          <w:color w:val="1B365D"/>
          <w:sz w:val="22"/>
        </w:rPr>
        <w:t xml:space="preserve">5. </w:t>
      </w:r>
      <w:r>
        <w:rPr>
          <w:rFonts w:ascii="Arial" w:hAnsi="Arial"/>
          <w:b w:val="0"/>
          <w:i w:val="0"/>
          <w:color w:val="111827"/>
          <w:sz w:val="22"/>
        </w:rPr>
        <w:t>Recebimento de propina, comissão ou vantagem indevida em razão das atribuições do cargo (corrupção funcional);</w:t>
      </w:r>
    </w:p>
    <w:p>
      <w:pPr>
        <w:spacing w:line="276" w:lineRule="auto" w:before="20" w:after="40"/>
        <w:ind w:left="992"/>
      </w:pPr>
      <w:r>
        <w:rPr>
          <w:rFonts w:ascii="Arial" w:hAnsi="Arial"/>
          <w:b/>
          <w:color w:val="1B365D"/>
          <w:sz w:val="22"/>
        </w:rPr>
        <w:t xml:space="preserve">6. </w:t>
      </w:r>
      <w:r>
        <w:rPr>
          <w:rFonts w:ascii="Arial" w:hAnsi="Arial"/>
          <w:b w:val="0"/>
          <w:i w:val="0"/>
          <w:color w:val="111827"/>
          <w:sz w:val="22"/>
        </w:rPr>
        <w:t>Aplicação irregular de recursos públicos com lesão ao erário;</w:t>
      </w:r>
    </w:p>
    <w:p>
      <w:pPr>
        <w:spacing w:line="276" w:lineRule="auto" w:before="20" w:after="40"/>
        <w:ind w:left="992"/>
      </w:pPr>
      <w:r>
        <w:rPr>
          <w:rFonts w:ascii="Arial" w:hAnsi="Arial"/>
          <w:b/>
          <w:color w:val="1B365D"/>
          <w:sz w:val="22"/>
        </w:rPr>
        <w:t xml:space="preserve">7. </w:t>
      </w:r>
      <w:r>
        <w:rPr>
          <w:rFonts w:ascii="Arial" w:hAnsi="Arial"/>
          <w:b w:val="0"/>
          <w:i w:val="0"/>
          <w:color w:val="111827"/>
          <w:sz w:val="22"/>
        </w:rPr>
        <w:t>Insubordinação grave em serviço ou ofensa física comissiva em serviço contra outrem (salvo em legítima defesa);</w:t>
      </w:r>
    </w:p>
    <w:p>
      <w:pPr>
        <w:spacing w:line="276" w:lineRule="auto" w:before="20" w:after="40"/>
        <w:ind w:left="992"/>
      </w:pPr>
      <w:r>
        <w:rPr>
          <w:rFonts w:ascii="Arial" w:hAnsi="Arial"/>
          <w:b/>
          <w:color w:val="1B365D"/>
          <w:sz w:val="22"/>
        </w:rPr>
        <w:t xml:space="preserve">8. </w:t>
      </w:r>
      <w:r>
        <w:rPr>
          <w:rFonts w:ascii="Arial" w:hAnsi="Arial"/>
          <w:b w:val="0"/>
          <w:i w:val="0"/>
          <w:color w:val="111827"/>
          <w:sz w:val="22"/>
        </w:rPr>
        <w:t>Revelação dolosa de segredo funcional da repartição.</w:t>
      </w:r>
    </w:p>
    <w:p>
      <w:pPr>
        <w:spacing w:line="276" w:lineRule="auto" w:before="20" w:after="40"/>
        <w:ind w:left="425"/>
      </w:pPr>
      <w:r>
        <w:rPr>
          <w:rFonts w:ascii="Arial" w:hAnsi="Arial"/>
          <w:b/>
          <w:color w:val="1B365D"/>
          <w:sz w:val="22"/>
        </w:rPr>
        <w:t xml:space="preserve">4. </w:t>
      </w:r>
      <w:r>
        <w:rPr>
          <w:rFonts w:ascii="Arial" w:hAnsi="Arial"/>
          <w:b/>
          <w:i w:val="0"/>
          <w:color w:val="111827"/>
          <w:sz w:val="22"/>
        </w:rPr>
        <w:t>Cassação de Aposentadoria ou de Disponibilidade:</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Aplicada ao servidor aposentado ou posto em disponibilidade remunerada que houver praticado, enquanto ainda em atividade funcional, falta gravíssima punível originariamente com demissão.</w:t>
      </w:r>
    </w:p>
    <w:p>
      <w:pPr>
        <w:spacing w:line="276" w:lineRule="auto" w:before="20" w:after="40"/>
        <w:ind w:left="425"/>
      </w:pPr>
      <w:r>
        <w:rPr>
          <w:rFonts w:ascii="Arial" w:hAnsi="Arial"/>
          <w:b/>
          <w:color w:val="1B365D"/>
          <w:sz w:val="22"/>
        </w:rPr>
        <w:t xml:space="preserve">5. </w:t>
      </w:r>
      <w:r>
        <w:rPr>
          <w:rFonts w:ascii="Arial" w:hAnsi="Arial"/>
          <w:b/>
          <w:i w:val="0"/>
          <w:color w:val="111827"/>
          <w:sz w:val="22"/>
        </w:rPr>
        <w:t>Destituição de Cargo em Comissão: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Aplicada a ocupante de cargo comissionado sem vínculo efetivo que praticar infração punível com suspensão ou demissão.</w:t>
      </w:r>
    </w:p>
    <w:tbl>
      <w:tblPr>
        <w:tblW w:type="auto" w:w="0"/>
        <w:jc w:val="center"/>
        <w:tblLook w:firstColumn="1" w:firstRow="1" w:lastColumn="0" w:lastRow="0" w:noHBand="0" w:noVBand="1" w:val="04A0"/>
      </w:tblPr>
      <w:tblGrid>
        <w:gridCol w:w="9071"/>
      </w:tblGrid>
      <w:tr>
        <w:tc>
          <w:tcPr>
            <w:tcW w:type="dxa" w:w="9071"/>
            <w:shd w:fill="FFFBEB"/>
            <w:tcBorders>
              <w:left w:val="single" w:sz="32" w:space="0" w:color="D97706"/>
              <w:top w:val="none"/>
              <w:right w:val="none"/>
              <w:bottom w:val="none"/>
            </w:tcBorders>
            <w:tcMar>
              <w:top w:w="140" w:type="dxa"/>
              <w:bottom w:w="140" w:type="dxa"/>
              <w:left w:w="220" w:type="dxa"/>
              <w:right w:w="220" w:type="dxa"/>
            </w:tcMar>
          </w:tcPr>
          <w:p>
            <w:pPr>
              <w:spacing w:line="288" w:lineRule="auto" w:before="40" w:after="40"/>
            </w:pPr>
            <w:r>
              <w:rPr>
                <w:rFonts w:ascii="Arial" w:hAnsi="Arial"/>
                <w:b w:val="0"/>
                <w:i w:val="0"/>
                <w:color w:val="111827"/>
                <w:sz w:val="21"/>
              </w:rPr>
              <w:t xml:space="preserve">🚨 </w:t>
            </w:r>
            <w:r>
              <w:rPr>
                <w:rFonts w:ascii="Arial" w:hAnsi="Arial"/>
                <w:b/>
                <w:i w:val="0"/>
                <w:color w:val="111827"/>
                <w:sz w:val="21"/>
              </w:rPr>
              <w:t>ALERTA DE PROVA / PEGADINHA FCC:</w:t>
            </w:r>
          </w:p>
          <w:p>
            <w:pPr>
              <w:spacing w:line="288" w:lineRule="auto" w:before="40" w:after="40"/>
            </w:pPr>
            <w:r>
              <w:rPr>
                <w:rFonts w:ascii="Arial" w:hAnsi="Arial"/>
                <w:b w:val="0"/>
                <w:i w:val="0"/>
                <w:color w:val="111827"/>
                <w:sz w:val="21"/>
              </w:rPr>
              <w:t xml:space="preserve">A caracterização de </w:t>
            </w:r>
            <w:r>
              <w:rPr>
                <w:rFonts w:ascii="Arial" w:hAnsi="Arial"/>
                <w:b/>
                <w:i w:val="0"/>
                <w:color w:val="111827"/>
                <w:sz w:val="21"/>
              </w:rPr>
              <w:t>abandono de cargo</w:t>
            </w:r>
            <w:r>
              <w:rPr>
                <w:rFonts w:ascii="Arial" w:hAnsi="Arial"/>
                <w:b w:val="0"/>
                <w:i w:val="0"/>
                <w:color w:val="111827"/>
                <w:sz w:val="21"/>
              </w:rPr>
              <w:t xml:space="preserve"> e de </w:t>
            </w:r>
            <w:r>
              <w:rPr>
                <w:rFonts w:ascii="Arial" w:hAnsi="Arial"/>
                <w:b/>
                <w:i w:val="0"/>
                <w:color w:val="111827"/>
                <w:sz w:val="21"/>
              </w:rPr>
              <w:t>inassiduidade habitual</w:t>
            </w:r>
            <w:r>
              <w:rPr>
                <w:rFonts w:ascii="Arial" w:hAnsi="Arial"/>
                <w:b w:val="0"/>
                <w:i w:val="0"/>
                <w:color w:val="111827"/>
                <w:sz w:val="21"/>
              </w:rPr>
              <w:t xml:space="preserve"> na Lei nº 20.756/2020 é cobrada ao pé da letra pela banca: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Abandono de cargo:</w:t>
            </w:r>
            <w:r>
              <w:rPr>
                <w:rFonts w:ascii="Arial" w:hAnsi="Arial"/>
                <w:b w:val="0"/>
                <w:i w:val="0"/>
                <w:color w:val="111827"/>
                <w:sz w:val="21"/>
              </w:rPr>
              <w:t xml:space="preserve"> ausência intencional por </w:t>
            </w:r>
            <w:r>
              <w:rPr>
                <w:rFonts w:ascii="Arial" w:hAnsi="Arial"/>
                <w:b/>
                <w:i w:val="0"/>
                <w:color w:val="111827"/>
                <w:sz w:val="21"/>
              </w:rPr>
              <w:t>mais de 30 (trinta) dias consecutivos</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Inassiduidade habitual:</w:t>
            </w:r>
            <w:r>
              <w:rPr>
                <w:rFonts w:ascii="Arial" w:hAnsi="Arial"/>
                <w:b w:val="0"/>
                <w:i w:val="0"/>
                <w:color w:val="111827"/>
                <w:sz w:val="21"/>
              </w:rPr>
              <w:t xml:space="preserve"> ausência injustificada por </w:t>
            </w:r>
            <w:r>
              <w:rPr>
                <w:rFonts w:ascii="Arial" w:hAnsi="Arial"/>
                <w:b/>
                <w:i w:val="0"/>
                <w:color w:val="111827"/>
                <w:sz w:val="21"/>
              </w:rPr>
              <w:t>60 (sessenta) dias interpolados</w:t>
            </w:r>
            <w:r>
              <w:rPr>
                <w:rFonts w:ascii="Arial" w:hAnsi="Arial"/>
                <w:b w:val="0"/>
                <w:i w:val="0"/>
                <w:color w:val="111827"/>
                <w:sz w:val="21"/>
              </w:rPr>
              <w:t xml:space="preserve"> no período de </w:t>
            </w:r>
            <w:r>
              <w:rPr>
                <w:rFonts w:ascii="Arial" w:hAnsi="Arial"/>
                <w:b/>
                <w:i w:val="0"/>
                <w:color w:val="111827"/>
                <w:sz w:val="21"/>
              </w:rPr>
              <w:t>12 meses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Cuidado com cascas de banana da FCC: 30 dias exatos consecutivos NÃO é abandono (a lei exige expressamente </w:t>
            </w:r>
            <w:r>
              <w:rPr>
                <w:rFonts w:ascii="Arial" w:hAnsi="Arial"/>
                <w:b w:val="0"/>
                <w:i/>
                <w:color w:val="111827"/>
                <w:sz w:val="21"/>
              </w:rPr>
              <w:t>mais de 30 dias</w:t>
            </w:r>
            <w:r>
              <w:rPr>
                <w:rFonts w:ascii="Arial" w:hAnsi="Arial"/>
                <w:b w:val="0"/>
                <w:i w:val="0"/>
                <w:color w:val="111827"/>
                <w:sz w:val="21"/>
              </w:rPr>
              <w:t>, ou seja, a partir do 31º dia consecutivo)!</w:t>
            </w:r>
          </w:p>
        </w:tc>
      </w:tr>
    </w:tbl>
    <w:p>
      <w:pPr>
        <w:spacing w:before="0" w:after="120"/>
      </w:pPr>
    </w:p>
    <w:p>
      <w:pPr>
        <w:keepNext/>
        <w:spacing w:before="200" w:after="80"/>
      </w:pPr>
      <w:r>
        <w:rPr>
          <w:rFonts w:ascii="Arial" w:hAnsi="Arial"/>
          <w:b/>
          <w:i w:val="0"/>
          <w:color w:val="2B6CB0"/>
          <w:sz w:val="24"/>
        </w:rPr>
        <w:t>6.3 Prazos de Prescrição da Pretensão Punitiva</w:t>
      </w:r>
    </w:p>
    <w:p>
      <w:pPr>
        <w:spacing w:line="360" w:lineRule="auto" w:before="0" w:after="80"/>
        <w:jc w:val="both"/>
      </w:pPr>
      <w:r>
        <w:rPr>
          <w:rFonts w:ascii="Arial" w:hAnsi="Arial"/>
          <w:b w:val="0"/>
          <w:i w:val="0"/>
          <w:color w:val="111827"/>
          <w:sz w:val="24"/>
        </w:rPr>
        <w:t>A pretensão disciplinar punitiva da administração estadual prescreve nos seguintes prazos legais, contados da data em que a autoridade competente para instaurar o processo toma formalmente conhecimento da infração:</w:t>
      </w:r>
    </w:p>
    <w:p>
      <w:pPr>
        <w:spacing w:after="120"/>
      </w:pPr>
    </w:p>
    <w:p>
      <w:pPr>
        <w:spacing w:line="276" w:lineRule="auto" w:before="20" w:after="40"/>
        <w:ind w:left="425"/>
      </w:pPr>
      <w:r>
        <w:rPr>
          <w:rFonts w:ascii="Arial" w:hAnsi="Arial"/>
          <w:b/>
          <w:color w:val="2B6CB0"/>
          <w:sz w:val="22"/>
        </w:rPr>
        <w:t xml:space="preserve">• </w:t>
      </w:r>
      <w:r>
        <w:rPr>
          <w:rFonts w:ascii="Arial" w:hAnsi="Arial"/>
          <w:b/>
          <w:i w:val="0"/>
          <w:color w:val="111827"/>
          <w:sz w:val="22"/>
        </w:rPr>
        <w:t>5 (cinco) anos:</w:t>
      </w:r>
      <w:r>
        <w:rPr>
          <w:rFonts w:ascii="Arial" w:hAnsi="Arial"/>
          <w:b w:val="0"/>
          <w:i w:val="0"/>
          <w:color w:val="111827"/>
          <w:sz w:val="22"/>
        </w:rPr>
        <w:t xml:space="preserve"> para infrações capituladas com sanção de </w:t>
      </w:r>
      <w:r>
        <w:rPr>
          <w:rFonts w:ascii="Arial" w:hAnsi="Arial"/>
          <w:b/>
          <w:i w:val="0"/>
          <w:color w:val="111827"/>
          <w:sz w:val="22"/>
        </w:rPr>
        <w:t>demissão</w:t>
      </w:r>
      <w:r>
        <w:rPr>
          <w:rFonts w:ascii="Arial" w:hAnsi="Arial"/>
          <w:b w:val="0"/>
          <w:i w:val="0"/>
          <w:color w:val="111827"/>
          <w:sz w:val="22"/>
        </w:rPr>
        <w:t xml:space="preserve">, </w:t>
      </w:r>
      <w:r>
        <w:rPr>
          <w:rFonts w:ascii="Arial" w:hAnsi="Arial"/>
          <w:b/>
          <w:i w:val="0"/>
          <w:color w:val="111827"/>
          <w:sz w:val="22"/>
        </w:rPr>
        <w:t>cassação de aposentadoria ou de disponibilidade</w:t>
      </w:r>
      <w:r>
        <w:rPr>
          <w:rFonts w:ascii="Arial" w:hAnsi="Arial"/>
          <w:b w:val="0"/>
          <w:i w:val="0"/>
          <w:color w:val="111827"/>
          <w:sz w:val="22"/>
        </w:rPr>
        <w:t xml:space="preserve"> e destituição de cargo em comissão;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2 (dois) anos:</w:t>
      </w:r>
      <w:r>
        <w:rPr>
          <w:rFonts w:ascii="Arial" w:hAnsi="Arial"/>
          <w:b w:val="0"/>
          <w:i w:val="0"/>
          <w:color w:val="111827"/>
          <w:sz w:val="22"/>
        </w:rPr>
        <w:t xml:space="preserve"> para infrações puníveis com </w:t>
      </w:r>
      <w:r>
        <w:rPr>
          <w:rFonts w:ascii="Arial" w:hAnsi="Arial"/>
          <w:b/>
          <w:i w:val="0"/>
          <w:color w:val="111827"/>
          <w:sz w:val="22"/>
        </w:rPr>
        <w:t>suspensão</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i w:val="0"/>
          <w:color w:val="111827"/>
          <w:sz w:val="22"/>
        </w:rPr>
        <w:t>180 (cento e oitenta) dias:</w:t>
      </w:r>
      <w:r>
        <w:rPr>
          <w:rFonts w:ascii="Arial" w:hAnsi="Arial"/>
          <w:b w:val="0"/>
          <w:i w:val="0"/>
          <w:color w:val="111827"/>
          <w:sz w:val="22"/>
        </w:rPr>
        <w:t xml:space="preserve"> para faltas leves puníveis com </w:t>
      </w:r>
      <w:r>
        <w:rPr>
          <w:rFonts w:ascii="Arial" w:hAnsi="Arial"/>
          <w:b/>
          <w:i w:val="0"/>
          <w:color w:val="111827"/>
          <w:sz w:val="22"/>
        </w:rPr>
        <w:t>advertência</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b w:val="0"/>
          <w:i/>
          <w:color w:val="111827"/>
          <w:sz w:val="22"/>
        </w:rPr>
        <w:t>Falta funcional tipificada simultaneamente como crime:</w:t>
      </w:r>
      <w:r>
        <w:rPr>
          <w:rFonts w:ascii="Arial" w:hAnsi="Arial"/>
          <w:b w:val="0"/>
          <w:i w:val="0"/>
          <w:color w:val="111827"/>
          <w:sz w:val="22"/>
        </w:rPr>
        <w:t xml:space="preserve"> o prazo prescricional da ação disciplinar regula-se pelo mesmo prazo prescricional estipulado na lei penal ordinária para o respectivo delito (CP, art. 109).</w:t>
      </w:r>
    </w:p>
    <w:p>
      <w:pPr>
        <w:spacing w:line="276" w:lineRule="auto" w:before="20" w:after="40"/>
        <w:ind w:left="425"/>
      </w:pPr>
      <w:r>
        <w:rPr>
          <w:rFonts w:ascii="Arial" w:hAnsi="Arial"/>
          <w:b/>
          <w:color w:val="2B6CB0"/>
          <w:sz w:val="22"/>
        </w:rPr>
        <w:t xml:space="preserve">• </w:t>
      </w:r>
      <w:r>
        <w:rPr>
          <w:rFonts w:ascii="Arial" w:hAnsi="Arial"/>
          <w:b w:val="0"/>
          <w:i/>
          <w:color w:val="111827"/>
          <w:sz w:val="22"/>
        </w:rPr>
        <w:t>Interrupção da Prescrição:</w:t>
      </w:r>
      <w:r>
        <w:rPr>
          <w:rFonts w:ascii="Arial" w:hAnsi="Arial"/>
          <w:b w:val="0"/>
          <w:i w:val="0"/>
          <w:color w:val="111827"/>
          <w:sz w:val="22"/>
        </w:rPr>
        <w:t xml:space="preserve"> a portaria de instauração da sindicância punitiva ou do processo administrativo disciplinar (PAD) </w:t>
      </w:r>
      <w:r>
        <w:rPr>
          <w:rFonts w:ascii="Arial" w:hAnsi="Arial"/>
          <w:b/>
          <w:i w:val="0"/>
          <w:color w:val="111827"/>
          <w:sz w:val="22"/>
        </w:rPr>
        <w:t>interrompe o curso do prazo de prescrição</w:t>
      </w:r>
      <w:r>
        <w:rPr>
          <w:rFonts w:ascii="Arial" w:hAnsi="Arial"/>
          <w:b w:val="0"/>
          <w:i w:val="0"/>
          <w:color w:val="111827"/>
          <w:sz w:val="22"/>
        </w:rPr>
        <w:t xml:space="preserve"> até a decisão final proferida pela autoridade competente.</w:t>
      </w:r>
    </w:p>
    <w:p>
      <w:pPr>
        <w:keepNext/>
        <w:spacing w:before="200" w:after="80"/>
      </w:pPr>
      <w:r>
        <w:rPr>
          <w:rFonts w:ascii="Arial" w:hAnsi="Arial"/>
          <w:b/>
          <w:i w:val="0"/>
          <w:color w:val="2B6CB0"/>
          <w:sz w:val="24"/>
        </w:rPr>
        <w:t>6.4 Sindicância e Processo Administrativo Disciplinar (PAD)</w:t>
      </w:r>
    </w:p>
    <w:p>
      <w:pPr>
        <w:spacing w:line="276" w:lineRule="auto" w:before="20" w:after="40"/>
        <w:ind w:left="425"/>
      </w:pPr>
      <w:r>
        <w:rPr>
          <w:rFonts w:ascii="Arial" w:hAnsi="Arial"/>
          <w:b/>
          <w:color w:val="2B6CB0"/>
          <w:sz w:val="22"/>
        </w:rPr>
        <w:t xml:space="preserve">• </w:t>
      </w:r>
      <w:r>
        <w:rPr>
          <w:rFonts w:ascii="Arial" w:hAnsi="Arial"/>
          <w:b/>
          <w:i w:val="0"/>
          <w:color w:val="111827"/>
          <w:sz w:val="22"/>
        </w:rPr>
        <w:t>Sindicância Administrativa:</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Procedimento sumário de apuração instaurado quando não houver indícios suficientes de autoria ou materialidade da infração;</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Pode resultar em: arquivamento sumário dos autos, aplicação de penalidade de advertência ou suspensão de até 30 dias, ou recomendação de instauração obrigatória de PAD.</w:t>
      </w:r>
    </w:p>
    <w:p>
      <w:pPr>
        <w:spacing w:line="276" w:lineRule="auto" w:before="20" w:after="40"/>
        <w:ind w:left="425"/>
      </w:pPr>
      <w:r>
        <w:rPr>
          <w:rFonts w:ascii="Arial" w:hAnsi="Arial"/>
          <w:b/>
          <w:color w:val="2B6CB0"/>
          <w:sz w:val="22"/>
        </w:rPr>
        <w:t xml:space="preserve">• </w:t>
      </w:r>
      <w:r>
        <w:rPr>
          <w:rFonts w:ascii="Arial" w:hAnsi="Arial"/>
          <w:b/>
          <w:i w:val="0"/>
          <w:color w:val="111827"/>
          <w:sz w:val="22"/>
        </w:rPr>
        <w:t>Processo Administrativo Disciplinar (PAD):</w:t>
      </w:r>
    </w:p>
    <w:p>
      <w:pPr>
        <w:spacing w:line="276" w:lineRule="auto" w:before="20" w:after="40"/>
        <w:ind w:left="992"/>
      </w:pPr>
      <w:r>
        <w:rPr>
          <w:rFonts w:ascii="Arial" w:hAnsi="Arial"/>
          <w:b/>
          <w:color w:val="2B6CB0"/>
          <w:sz w:val="22"/>
        </w:rPr>
        <w:t xml:space="preserve">• </w:t>
      </w:r>
      <w:r>
        <w:rPr>
          <w:rFonts w:ascii="Arial" w:hAnsi="Arial"/>
          <w:b w:val="0"/>
          <w:i w:val="0"/>
          <w:color w:val="111827"/>
          <w:sz w:val="22"/>
        </w:rPr>
        <w:t xml:space="preserve">Rito obrigatório para aplicação de penalidade de </w:t>
      </w:r>
      <w:r>
        <w:rPr>
          <w:rFonts w:ascii="Arial" w:hAnsi="Arial"/>
          <w:b/>
          <w:i w:val="0"/>
          <w:color w:val="111827"/>
          <w:sz w:val="22"/>
        </w:rPr>
        <w:t>suspensão superior a 30 dias</w:t>
      </w:r>
      <w:r>
        <w:rPr>
          <w:rFonts w:ascii="Arial" w:hAnsi="Arial"/>
          <w:b w:val="0"/>
          <w:i w:val="0"/>
          <w:color w:val="111827"/>
          <w:sz w:val="22"/>
        </w:rPr>
        <w:t xml:space="preserve">, </w:t>
      </w:r>
      <w:r>
        <w:rPr>
          <w:rFonts w:ascii="Arial" w:hAnsi="Arial"/>
          <w:b/>
          <w:i w:val="0"/>
          <w:color w:val="111827"/>
          <w:sz w:val="22"/>
        </w:rPr>
        <w:t>demissão</w:t>
      </w:r>
      <w:r>
        <w:rPr>
          <w:rFonts w:ascii="Arial" w:hAnsi="Arial"/>
          <w:b w:val="0"/>
          <w:i w:val="0"/>
          <w:color w:val="111827"/>
          <w:sz w:val="22"/>
        </w:rPr>
        <w:t xml:space="preserve">, </w:t>
      </w:r>
      <w:r>
        <w:rPr>
          <w:rFonts w:ascii="Arial" w:hAnsi="Arial"/>
          <w:b/>
          <w:i w:val="0"/>
          <w:color w:val="111827"/>
          <w:sz w:val="22"/>
        </w:rPr>
        <w:t>cassação de aposentadoria/disponibilidade</w:t>
      </w:r>
      <w:r>
        <w:rPr>
          <w:rFonts w:ascii="Arial" w:hAnsi="Arial"/>
          <w:b w:val="0"/>
          <w:i w:val="0"/>
          <w:color w:val="111827"/>
          <w:sz w:val="22"/>
        </w:rPr>
        <w:t xml:space="preserve"> e </w:t>
      </w:r>
      <w:r>
        <w:rPr>
          <w:rFonts w:ascii="Arial" w:hAnsi="Arial"/>
          <w:b/>
          <w:i w:val="0"/>
          <w:color w:val="111827"/>
          <w:sz w:val="22"/>
        </w:rPr>
        <w:t>destituição de cargo comissionado</w:t>
      </w:r>
      <w:r>
        <w:rPr>
          <w:rFonts w:ascii="Arial" w:hAnsi="Arial"/>
          <w:b w:val="0"/>
          <w:i w:val="0"/>
          <w:color w:val="111827"/>
          <w:sz w:val="22"/>
        </w:rPr>
        <w:t>;</w:t>
      </w:r>
    </w:p>
    <w:p>
      <w:pPr>
        <w:spacing w:line="276" w:lineRule="auto" w:before="20" w:after="40"/>
        <w:ind w:left="992"/>
      </w:pPr>
      <w:r>
        <w:rPr>
          <w:rFonts w:ascii="Arial" w:hAnsi="Arial"/>
          <w:b/>
          <w:color w:val="2B6CB0"/>
          <w:sz w:val="22"/>
        </w:rPr>
        <w:t xml:space="preserve">• </w:t>
      </w:r>
      <w:r>
        <w:rPr>
          <w:rFonts w:ascii="Arial" w:hAnsi="Arial"/>
          <w:b/>
          <w:i w:val="0"/>
          <w:color w:val="111827"/>
          <w:sz w:val="22"/>
        </w:rPr>
        <w:t>Comissão Processante:</w:t>
      </w:r>
      <w:r>
        <w:rPr>
          <w:rFonts w:ascii="Arial" w:hAnsi="Arial"/>
          <w:b w:val="0"/>
          <w:i w:val="0"/>
          <w:color w:val="111827"/>
          <w:sz w:val="22"/>
        </w:rPr>
        <w:t xml:space="preserve"> composta obrigatoriamente por </w:t>
      </w:r>
      <w:r>
        <w:rPr>
          <w:rFonts w:ascii="Arial" w:hAnsi="Arial"/>
          <w:b/>
          <w:i w:val="0"/>
          <w:color w:val="111827"/>
          <w:sz w:val="22"/>
        </w:rPr>
        <w:t>3 (três) servidores públicos estáveis</w:t>
      </w:r>
      <w:r>
        <w:rPr>
          <w:rFonts w:ascii="Arial" w:hAnsi="Arial"/>
          <w:b w:val="0"/>
          <w:i w:val="0"/>
          <w:color w:val="111827"/>
          <w:sz w:val="22"/>
        </w:rPr>
        <w:t>, designados pela autoridade instauradora, que indicará dentre eles o Presidente (que deve ocupar cargo efetivo de nível igual ou superior ao do indiciado);</w:t>
      </w:r>
    </w:p>
    <w:p>
      <w:pPr>
        <w:spacing w:line="276" w:lineRule="auto" w:before="20" w:after="40"/>
        <w:ind w:left="992"/>
      </w:pPr>
      <w:r>
        <w:rPr>
          <w:rFonts w:ascii="Arial" w:hAnsi="Arial"/>
          <w:b/>
          <w:color w:val="2B6CB0"/>
          <w:sz w:val="22"/>
        </w:rPr>
        <w:t xml:space="preserve">• </w:t>
      </w:r>
      <w:r>
        <w:rPr>
          <w:rFonts w:ascii="Arial" w:hAnsi="Arial"/>
          <w:b/>
          <w:i w:val="0"/>
          <w:color w:val="111827"/>
          <w:sz w:val="22"/>
        </w:rPr>
        <w:t>Fases Procedimentais Básicas:</w:t>
      </w:r>
    </w:p>
    <w:p>
      <w:pPr>
        <w:spacing w:line="276" w:lineRule="auto" w:before="20" w:after="40"/>
        <w:ind w:left="992"/>
      </w:pPr>
      <w:r>
        <w:rPr>
          <w:rFonts w:ascii="Arial" w:hAnsi="Arial"/>
          <w:b/>
          <w:color w:val="1B365D"/>
          <w:sz w:val="22"/>
        </w:rPr>
        <w:t xml:space="preserve">1. </w:t>
      </w:r>
      <w:r>
        <w:rPr>
          <w:rFonts w:ascii="Arial" w:hAnsi="Arial"/>
          <w:b w:val="0"/>
          <w:i/>
          <w:color w:val="111827"/>
          <w:sz w:val="22"/>
        </w:rPr>
        <w:t>Instauração:</w:t>
      </w:r>
      <w:r>
        <w:rPr>
          <w:rFonts w:ascii="Arial" w:hAnsi="Arial"/>
          <w:b w:val="0"/>
          <w:i w:val="0"/>
          <w:color w:val="111827"/>
          <w:sz w:val="22"/>
        </w:rPr>
        <w:t xml:space="preserve"> publicação da portaria que designa os membros da comissão;</w:t>
      </w:r>
    </w:p>
    <w:p>
      <w:pPr>
        <w:spacing w:line="276" w:lineRule="auto" w:before="20" w:after="40"/>
        <w:ind w:left="992"/>
      </w:pPr>
      <w:r>
        <w:rPr>
          <w:rFonts w:ascii="Arial" w:hAnsi="Arial"/>
          <w:b/>
          <w:color w:val="1B365D"/>
          <w:sz w:val="22"/>
        </w:rPr>
        <w:t xml:space="preserve">2. </w:t>
      </w:r>
      <w:r>
        <w:rPr>
          <w:rFonts w:ascii="Arial" w:hAnsi="Arial"/>
          <w:b w:val="0"/>
          <w:i/>
          <w:color w:val="111827"/>
          <w:sz w:val="22"/>
        </w:rPr>
        <w:t>Inquérito Administrativo:</w:t>
      </w:r>
      <w:r>
        <w:rPr>
          <w:rFonts w:ascii="Arial" w:hAnsi="Arial"/>
          <w:b w:val="0"/>
          <w:i w:val="0"/>
          <w:color w:val="111827"/>
          <w:sz w:val="22"/>
        </w:rPr>
        <w:t xml:space="preserve"> instrução probatória ampla (oitiva de testemunhas, perícias, vistorias e interrogatório do acusado), indiciação formal com descrição detalhada dos fatos imputados, e apresentação de defesa escrita pelo servidor indiciado;</w:t>
      </w:r>
    </w:p>
    <w:p>
      <w:pPr>
        <w:spacing w:line="276" w:lineRule="auto" w:before="20" w:after="40"/>
        <w:ind w:left="992"/>
      </w:pPr>
      <w:r>
        <w:rPr>
          <w:rFonts w:ascii="Arial" w:hAnsi="Arial"/>
          <w:b/>
          <w:color w:val="1B365D"/>
          <w:sz w:val="22"/>
        </w:rPr>
        <w:t xml:space="preserve">3. </w:t>
      </w:r>
      <w:r>
        <w:rPr>
          <w:rFonts w:ascii="Arial" w:hAnsi="Arial"/>
          <w:b w:val="0"/>
          <w:i/>
          <w:color w:val="111827"/>
          <w:sz w:val="22"/>
        </w:rPr>
        <w:t>Relatório Conclusivo:</w:t>
      </w:r>
      <w:r>
        <w:rPr>
          <w:rFonts w:ascii="Arial" w:hAnsi="Arial"/>
          <w:b w:val="0"/>
          <w:i w:val="0"/>
          <w:color w:val="111827"/>
          <w:sz w:val="22"/>
        </w:rPr>
        <w:t xml:space="preserve"> elaboração do relatório final pela comissão, apreciando as provas e opinando pela absolvição ou condenação do indiciado;</w:t>
      </w:r>
    </w:p>
    <w:p>
      <w:pPr>
        <w:spacing w:line="276" w:lineRule="auto" w:before="20" w:after="40"/>
        <w:ind w:left="992"/>
      </w:pPr>
      <w:r>
        <w:rPr>
          <w:rFonts w:ascii="Arial" w:hAnsi="Arial"/>
          <w:b/>
          <w:color w:val="1B365D"/>
          <w:sz w:val="22"/>
        </w:rPr>
        <w:t xml:space="preserve">4. </w:t>
      </w:r>
      <w:r>
        <w:rPr>
          <w:rFonts w:ascii="Arial" w:hAnsi="Arial"/>
          <w:b w:val="0"/>
          <w:i/>
          <w:color w:val="111827"/>
          <w:sz w:val="22"/>
        </w:rPr>
        <w:t>Julgamento:</w:t>
      </w:r>
      <w:r>
        <w:rPr>
          <w:rFonts w:ascii="Arial" w:hAnsi="Arial"/>
          <w:b w:val="0"/>
          <w:i w:val="0"/>
          <w:color w:val="111827"/>
          <w:sz w:val="22"/>
        </w:rPr>
        <w:t xml:space="preserve"> decisão proferida pela autoridade competente.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Garantias Constitucionais:</w:t>
      </w:r>
      <w:r>
        <w:rPr>
          <w:rFonts w:ascii="Arial" w:hAnsi="Arial"/>
          <w:b w:val="0"/>
          <w:i w:val="0"/>
          <w:color w:val="111827"/>
          <w:sz w:val="22"/>
        </w:rPr>
        <w:t xml:space="preserve"> asseguram-se ao servidor indiciado o contraditório, ampla defesa, acompanhamento por advogado constituído ou defensor dativo, vista aos autos e o direito de requerer novas provas relevantes e pertinentes.</w:t>
      </w:r>
    </w:p>
    <w:p>
      <w:pPr>
        <w:keepNext/>
        <w:spacing w:before="280" w:after="120"/>
      </w:pPr>
      <w:r>
        <w:rPr>
          <w:rFonts w:ascii="Arial" w:hAnsi="Arial"/>
          <w:b/>
          <w:i w:val="0"/>
          <w:color w:val="2C5282"/>
          <w:sz w:val="28"/>
        </w:rPr>
        <w:t>7. Fontes Oficiais e Referências Bibliográficas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Lei Estadual de Goiás nº 20.756/2020</w:t>
      </w:r>
      <w:r>
        <w:rPr>
          <w:rFonts w:ascii="Arial" w:hAnsi="Arial"/>
          <w:b w:val="0"/>
          <w:i w:val="0"/>
          <w:color w:val="111827"/>
          <w:sz w:val="22"/>
        </w:rPr>
        <w:t xml:space="preserve"> - Dispõe sobre o regime jurídico dos servidores públicos civis do Estado de Goiás.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da República Federativa do Brasil de 1988</w:t>
      </w:r>
      <w:r>
        <w:rPr>
          <w:rFonts w:ascii="Arial" w:hAnsi="Arial"/>
          <w:b w:val="0"/>
          <w:i w:val="0"/>
          <w:color w:val="111827"/>
          <w:sz w:val="22"/>
        </w:rPr>
        <w:t xml:space="preserve"> - Arts. 37 a 41 (Da Administração Pública e Servidores Públicos).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Constituição do Estado de Goiás</w:t>
      </w:r>
      <w:r>
        <w:rPr>
          <w:rFonts w:ascii="Arial" w:hAnsi="Arial"/>
          <w:b w:val="0"/>
          <w:i w:val="0"/>
          <w:color w:val="111827"/>
          <w:sz w:val="22"/>
        </w:rPr>
        <w:t xml:space="preserve"> - Capítulo VII (Dos Servidores Públicos Civis).</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CARVALHO FILHO, José dos Santos. Manual de Direito Administrativo. 36ª Edição. Atlas, 2022</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MELLO, Celso Antônio Bandeira de. Curso de Direito Administrativo. Malheiros</w:t>
      </w:r>
      <w:r>
        <w:rPr>
          <w:rFonts w:ascii="Arial" w:hAnsi="Arial"/>
          <w:b w:val="0"/>
          <w:i w:val="0"/>
          <w:color w:val="111827"/>
          <w:sz w:val="22"/>
        </w:rPr>
        <w:t>.</w:t>
      </w:r>
    </w:p>
    <w:p>
      <w:pPr>
        <w:spacing w:line="276" w:lineRule="auto" w:before="20" w:after="40"/>
        <w:ind w:left="425"/>
      </w:pPr>
      <w:r>
        <w:rPr>
          <w:rFonts w:ascii="Arial" w:hAnsi="Arial"/>
          <w:b/>
          <w:color w:val="2B6CB0"/>
          <w:sz w:val="22"/>
        </w:rPr>
        <w:t xml:space="preserve">• </w:t>
      </w:r>
      <w:r>
        <w:rPr>
          <w:rFonts w:ascii="Arial" w:hAnsi="Arial"/>
          <w:color w:val="2B6CB0"/>
          <w:sz w:val="22"/>
          <w:u w:val="single"/>
        </w:rPr>
        <w:t>DI PIETRO, Maria Sylvia Zanella. Direito Administrativo. Forense, 2023</w:t>
      </w:r>
      <w:r>
        <w:rPr>
          <w:rFonts w:ascii="Arial" w:hAnsi="Arial"/>
          <w:b w:val="0"/>
          <w:i w:val="0"/>
          <w:color w:val="111827"/>
          <w:sz w:val="22"/>
        </w:rPr>
        <w:t>.</w:t>
      </w:r>
    </w:p>
    <w:p>
      <w:pPr>
        <w:keepNext/>
        <w:spacing w:before="280" w:after="120"/>
      </w:pPr>
      <w:r>
        <w:rPr>
          <w:rFonts w:ascii="Arial" w:hAnsi="Arial"/>
          <w:b/>
          <w:i w:val="0"/>
          <w:color w:val="2C5282"/>
          <w:sz w:val="28"/>
        </w:rPr>
        <w:t>8. Questões de Concurso FCC Comentadas</w:t>
      </w:r>
    </w:p>
    <w:p>
      <w:pPr>
        <w:keepNext/>
        <w:spacing w:before="200" w:after="80"/>
      </w:pPr>
      <w:r>
        <w:rPr>
          <w:rFonts w:ascii="Arial" w:hAnsi="Arial"/>
          <w:b/>
          <w:i w:val="0"/>
          <w:color w:val="2B6CB0"/>
          <w:sz w:val="24"/>
        </w:rPr>
        <w:t>Questão 01</w:t>
      </w:r>
    </w:p>
    <w:p>
      <w:pPr>
        <w:spacing w:line="360" w:lineRule="auto" w:before="0" w:after="80"/>
        <w:jc w:val="both"/>
      </w:pPr>
      <w:r>
        <w:rPr>
          <w:rFonts w:ascii="Arial" w:hAnsi="Arial"/>
          <w:b/>
          <w:i w:val="0"/>
          <w:color w:val="111827"/>
          <w:sz w:val="24"/>
        </w:rPr>
        <w:t>(FCC – Analista de Controle Externo – TCE-GO)</w:t>
      </w:r>
    </w:p>
    <w:p>
      <w:pPr>
        <w:spacing w:line="360" w:lineRule="auto" w:before="0" w:after="80"/>
        <w:jc w:val="both"/>
      </w:pPr>
      <w:r>
        <w:rPr>
          <w:rFonts w:ascii="Arial" w:hAnsi="Arial"/>
          <w:b w:val="0"/>
          <w:i w:val="0"/>
          <w:color w:val="111827"/>
          <w:sz w:val="24"/>
        </w:rPr>
        <w:t>Um cidadão regularmente aprovado em concurso público para o cargo de Técnico de Controle Externo do Tribunal de Contas do Estado de Goiás teve sua nomeação publicada no Diário Oficial do Estado no dia 1º de março. Ele compareceu à Diretoria de Gestão de Pessoas e tomou posse formal no dia 20 de março. De acordo com as disposições expressas da Lei Estadual de Goiás nº 20.756/2020, o prazo legal máximo para que esse servidor entre em efetivo exercício e a consequência administrativa caso ele não o faça dentro do prazo são,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30 dias contados da posse; e a sua demissão administrativa por abandono de cargo.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15 dias contados da posse; e a anulação preliminar do concurso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15 dias contados da data da posse; e a sua exoneração de ofício do cargo público.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30 dias contados da posse; e o cancelamento do termo de homologação final.</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10 dias contados da nomeação; e a transformação do ato em disponibilidade remunerada proporcional.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prazo legal para entrada em efetivo exercício após a posse é de 15 dias (e não 30 dias). Além disso, a demissão é sanção disciplinar punitiva gravíssima que pressupõe infração funcional apurada em PAD para servidor em atividade funcional.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A inércia de um indivíduo empossado repercute unicamente em sua própria esfera jurídica individual de investidura, não afetando a validade ou a homologação do certame público.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Conforme preceitua a Lei Estadual nº 20.756/2020:</w:t>
            </w:r>
          </w:p>
          <w:p>
            <w:pPr>
              <w:spacing w:line="288" w:lineRule="auto" w:before="40" w:after="40"/>
            </w:pPr>
            <w:r>
              <w:rPr>
                <w:rFonts w:ascii="Arial" w:hAnsi="Arial"/>
                <w:b w:val="0"/>
                <w:i w:val="0"/>
                <w:color w:val="111827"/>
                <w:sz w:val="21"/>
              </w:rPr>
              <w:t xml:space="preserve">- O exercício é o início do desempenho efetivo das atribuições do cargo e dar-se-á no prazo improrrogável de </w:t>
            </w:r>
            <w:r>
              <w:rPr>
                <w:rFonts w:ascii="Arial" w:hAnsi="Arial"/>
                <w:b/>
                <w:i w:val="0"/>
                <w:color w:val="111827"/>
                <w:sz w:val="21"/>
              </w:rPr>
              <w:t>15 (quinze) dias</w:t>
            </w:r>
            <w:r>
              <w:rPr>
                <w:rFonts w:ascii="Arial" w:hAnsi="Arial"/>
                <w:b w:val="0"/>
                <w:i w:val="0"/>
                <w:color w:val="111827"/>
                <w:sz w:val="21"/>
              </w:rPr>
              <w:t>, contados da assinatura do termo de posse;</w:t>
            </w:r>
          </w:p>
          <w:p>
            <w:pPr>
              <w:spacing w:line="288" w:lineRule="auto" w:before="40" w:after="40"/>
            </w:pPr>
            <w:r>
              <w:rPr>
                <w:rFonts w:ascii="Arial" w:hAnsi="Arial"/>
                <w:b w:val="0"/>
                <w:i w:val="0"/>
                <w:color w:val="111827"/>
                <w:sz w:val="21"/>
              </w:rPr>
              <w:t xml:space="preserve">- Como a posse já consumou a investidura formal no cargo público, se o servidor empossado não entrar em exercício dentro do prazo legal, a administração expedirá ato de </w:t>
            </w:r>
            <w:r>
              <w:rPr>
                <w:rFonts w:ascii="Arial" w:hAnsi="Arial"/>
                <w:b/>
                <w:i w:val="0"/>
                <w:color w:val="111827"/>
                <w:sz w:val="21"/>
              </w:rPr>
              <w:t>exoneração de ofício</w:t>
            </w:r>
            <w:r>
              <w:rPr>
                <w:rFonts w:ascii="Arial" w:hAnsi="Arial"/>
                <w:b w:val="0"/>
                <w:i w:val="0"/>
                <w:color w:val="111827"/>
                <w:sz w:val="21"/>
              </w:rPr>
              <w:t xml:space="preserve"> (desprovimento formal sem caráter punitivo).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prazo de 30 dias aplica-se à posse (contado da nomeação), e a inobservância não enseja cancelamento de termo homologatório.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disponibilidade remunerada é instituto garantido a servidores estáveis quando da extinção de cargo ou declaração de sua desnecessidade.</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02</w:t>
      </w:r>
    </w:p>
    <w:p>
      <w:pPr>
        <w:spacing w:line="360" w:lineRule="auto" w:before="0" w:after="80"/>
        <w:jc w:val="both"/>
      </w:pPr>
      <w:r>
        <w:rPr>
          <w:rFonts w:ascii="Arial" w:hAnsi="Arial"/>
          <w:b/>
          <w:i w:val="0"/>
          <w:color w:val="111827"/>
          <w:sz w:val="24"/>
        </w:rPr>
        <w:t>(FCC – Auditor de Controle Externo – TCE-RO)</w:t>
      </w:r>
    </w:p>
    <w:p>
      <w:pPr>
        <w:spacing w:line="360" w:lineRule="auto" w:before="0" w:after="80"/>
        <w:jc w:val="both"/>
      </w:pPr>
      <w:r>
        <w:rPr>
          <w:rFonts w:ascii="Arial" w:hAnsi="Arial"/>
          <w:b w:val="0"/>
          <w:i w:val="0"/>
          <w:color w:val="111827"/>
          <w:sz w:val="24"/>
        </w:rPr>
        <w:t>Rodrigo, servidor público estável do Estado de Goiás, foi demitido da repartição após processo disciplinar sumário. Inconformado, Rodrigo ajuizou ação ordinária e obteve sentença judicial transitada em julgado que declarou a manifesta nulidade do ato demissório por cerceamento do direito de ampla defesa. No momento em que Rodrigo retornou ao órgão público, constatou-se que seu cargo original estava regularmente ocupado por Marcos, outro servidor público estável que havia sido promovido legitimamente. Consoante a disciplina da Lei Estadual nº 20.756/2020, o retorno de Rodrigo ao serviço ativo e a situação jurídica de Marcos configuram, respectivamente: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Recondução de Rodrigo com ressarcimento integral; e exoneração compulsória de Marcos sem direito a indenização.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Reversão de Rodrigo com vencimentos proporcionais; e transferência de Marcos para a administração indireta.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Reintegração de Rodrigo com ressarcimento de todos os direitos e vantagens pecuniárias retroativas; e recondução de Marcos ao cargo anterior, sem direito a indenização, ou seu aproveitamento em outro cargo.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Readaptação de Rodrigo com redução de jornada; e colocação imediata de Marcos em demissão administrativa.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Aproveitamento de Rodrigo em cargo em comissão; e manutenção definitiva de Marcos no cargo efetivo em disputa.</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O retorno de servidor demitido ilegalmente denomina-se reintegração (e não recondução); ademais, servidor estável que ocupava a vaga em disputa não pode sofrer exoneração compulsória sumária.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Reversão é a modalidade de retorno do servidor aposentado à ativa funcional.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Consoante o art. 41, § 2º, da Constituição Federal e as normas da Lei Estadual nº 20.756/2020:</w:t>
            </w:r>
          </w:p>
          <w:p>
            <w:pPr>
              <w:spacing w:line="288" w:lineRule="auto" w:before="40" w:after="40"/>
            </w:pPr>
            <w:r>
              <w:rPr>
                <w:rFonts w:ascii="Arial" w:hAnsi="Arial"/>
                <w:b w:val="0"/>
                <w:i w:val="0"/>
                <w:color w:val="111827"/>
                <w:sz w:val="21"/>
              </w:rPr>
              <w:t xml:space="preserve">- O retorno do servidor estável em decorrência de decisão judicial ou administrativa que anula sua demissão ilegal denomina-se </w:t>
            </w:r>
            <w:r>
              <w:rPr>
                <w:rFonts w:ascii="Arial" w:hAnsi="Arial"/>
                <w:b/>
                <w:i w:val="0"/>
                <w:color w:val="111827"/>
                <w:sz w:val="21"/>
              </w:rPr>
              <w:t>Reintegração</w:t>
            </w:r>
            <w:r>
              <w:rPr>
                <w:rFonts w:ascii="Arial" w:hAnsi="Arial"/>
                <w:b w:val="0"/>
                <w:i w:val="0"/>
                <w:color w:val="111827"/>
                <w:sz w:val="21"/>
              </w:rPr>
              <w:t>, com recomposição patrimonial retroativa e ressarcimento de todos os direitos e vantagens que deixou de auferir;</w:t>
            </w:r>
          </w:p>
          <w:p>
            <w:pPr>
              <w:spacing w:line="288" w:lineRule="auto" w:before="40" w:after="40"/>
            </w:pPr>
            <w:r>
              <w:rPr>
                <w:rFonts w:ascii="Arial" w:hAnsi="Arial"/>
                <w:b w:val="0"/>
                <w:i w:val="0"/>
                <w:color w:val="111827"/>
                <w:sz w:val="21"/>
              </w:rPr>
              <w:t xml:space="preserve">- O eventual ocupante da vaga (Marcos), sendo estável, será </w:t>
            </w:r>
            <w:r>
              <w:rPr>
                <w:rFonts w:ascii="Arial" w:hAnsi="Arial"/>
                <w:b/>
                <w:i w:val="0"/>
                <w:color w:val="111827"/>
                <w:sz w:val="21"/>
              </w:rPr>
              <w:t>reconduzido ao cargo de origem, sem direito a indenização</w:t>
            </w:r>
            <w:r>
              <w:rPr>
                <w:rFonts w:ascii="Arial" w:hAnsi="Arial"/>
                <w:b w:val="0"/>
                <w:i w:val="0"/>
                <w:color w:val="111827"/>
                <w:sz w:val="21"/>
              </w:rPr>
              <w:t xml:space="preserve">, ou </w:t>
            </w:r>
            <w:r>
              <w:rPr>
                <w:rFonts w:ascii="Arial" w:hAnsi="Arial"/>
                <w:b/>
                <w:i w:val="0"/>
                <w:color w:val="111827"/>
                <w:sz w:val="21"/>
              </w:rPr>
              <w:t>aproveitado em outro cargo</w:t>
            </w:r>
            <w:r>
              <w:rPr>
                <w:rFonts w:ascii="Arial" w:hAnsi="Arial"/>
                <w:b w:val="0"/>
                <w:i w:val="0"/>
                <w:color w:val="111827"/>
                <w:sz w:val="21"/>
              </w:rPr>
              <w:t xml:space="preserve"> de atribuições e vencimentos equivalentes, ou posto em disponibilidade remunerada proporcional ao tempo de contribuição.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Readaptação refere-se exclusivamente a limitações de ordem física ou psíquica atestadas em perícia médica oficial, e Marcos não cometeu ilícito apto a demissão.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reintegração dá-se compulsoriamente no cargo efetivo de origem titularizado pelo servidor reintegrado.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03</w:t>
      </w:r>
    </w:p>
    <w:p>
      <w:pPr>
        <w:spacing w:line="360" w:lineRule="auto" w:before="0" w:after="80"/>
        <w:jc w:val="both"/>
      </w:pPr>
      <w:r>
        <w:rPr>
          <w:rFonts w:ascii="Arial" w:hAnsi="Arial"/>
          <w:b/>
          <w:i w:val="0"/>
          <w:color w:val="111827"/>
          <w:sz w:val="24"/>
        </w:rPr>
        <w:t>(FCC – Analista Jurídico – PGE-GO)</w:t>
      </w:r>
    </w:p>
    <w:p>
      <w:pPr>
        <w:spacing w:line="360" w:lineRule="auto" w:before="0" w:after="80"/>
        <w:jc w:val="both"/>
      </w:pPr>
      <w:r>
        <w:rPr>
          <w:rFonts w:ascii="Arial" w:hAnsi="Arial"/>
          <w:b w:val="0"/>
          <w:i w:val="0"/>
          <w:color w:val="111827"/>
          <w:sz w:val="24"/>
        </w:rPr>
        <w:t>Um servidor público titular de cargo efetivo da administração direta do Estado de Goiás ausentou-se deliberadamente e sem qualquer justificativa legal de seu posto de trabalho por 35 (trinta e cinco) dias consecutivos durante o mês de janeiro. Ciente do fato, a chefia imediata oficiou à autoridade competente. Conforme o Estatuto dos Servidores Públicos Civis de Goiás (Lei nº 20.756/2020), a conduta do servidor caracteriza: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Inassiduidade habitual, cominada com penalidade de suspensão pelo prazo improrrogável de trinta dias.</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Abandono de cargo público, passível de punição disciplinar com a penalidade de demissão, apurada mediante processo administrativo disciplinar.</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Falta justificada ficta, sujeita exclusivamente à conversão dos dias em banco de horas compensatório.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Desobediência hierárquica atenuada, sancionada unicamente com repreensão oral lavrada em ata interna.</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Inaptidão probatória superveniente, ensejando a aposentadoria compulsória do agente com proventos integrais.</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Inassiduidade habitual caracteriza-se pela falta injustificada ao trabalho por 60 dias interpolados no período de 12 meses, conduta igualmente apenada com demissão.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A Lei Estadual nº 20.756/2020 define expressamente o </w:t>
            </w:r>
            <w:r>
              <w:rPr>
                <w:rFonts w:ascii="Arial" w:hAnsi="Arial"/>
                <w:b/>
                <w:i w:val="0"/>
                <w:color w:val="111827"/>
                <w:sz w:val="21"/>
              </w:rPr>
              <w:t>Abandono de Cargo</w:t>
            </w:r>
            <w:r>
              <w:rPr>
                <w:rFonts w:ascii="Arial" w:hAnsi="Arial"/>
                <w:b w:val="0"/>
                <w:i w:val="0"/>
                <w:color w:val="111827"/>
                <w:sz w:val="21"/>
              </w:rPr>
              <w:t xml:space="preserve"> como a ausência voluntária e injustificada do servidor ao serviço por </w:t>
            </w:r>
            <w:r>
              <w:rPr>
                <w:rFonts w:ascii="Arial" w:hAnsi="Arial"/>
                <w:b/>
                <w:i w:val="0"/>
                <w:color w:val="111827"/>
                <w:sz w:val="21"/>
              </w:rPr>
              <w:t>mais de 30 (trinta) dias consecutivos</w:t>
            </w:r>
            <w:r>
              <w:rPr>
                <w:rFonts w:ascii="Arial" w:hAnsi="Arial"/>
                <w:b w:val="0"/>
                <w:i w:val="0"/>
                <w:color w:val="111827"/>
                <w:sz w:val="21"/>
              </w:rPr>
              <w:t xml:space="preserve">. Como o servidor permaneceu 35 dias consecutivos ausente, tipificou-se o abandono funcional, conduta gravíssima sancionada obrigatoriamente com a pena de </w:t>
            </w:r>
            <w:r>
              <w:rPr>
                <w:rFonts w:ascii="Arial" w:hAnsi="Arial"/>
                <w:b/>
                <w:i w:val="0"/>
                <w:color w:val="111827"/>
                <w:sz w:val="21"/>
              </w:rPr>
              <w:t>demissão</w:t>
            </w:r>
            <w:r>
              <w:rPr>
                <w:rFonts w:ascii="Arial" w:hAnsi="Arial"/>
                <w:b w:val="0"/>
                <w:i w:val="0"/>
                <w:color w:val="111827"/>
                <w:sz w:val="21"/>
              </w:rPr>
              <w:t>, cuja imposição exige prévio Processo Administrativo Disciplinar (PAD) com observância do contraditório e da ampla defesa.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Ausência imotivada contínua superior a 30 dias constitui ilícito funcional expulsório de extrema gravidade, inadmitindo qualquer compensação em banco de horas.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regime estatutário goiano não admite advertência ou repreensão oral, aplicando-se apenas sanções escritas após rito procedimental.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A aposentadoria compulsória decorre da idade limite constitucional (75 anos) e não de infração funcional dolosa.</w:t>
            </w:r>
          </w:p>
          <w:p>
            <w:pPr>
              <w:spacing w:line="288" w:lineRule="auto" w:before="120" w:after="80"/>
            </w:pPr>
            <w:r>
              <w:rPr>
                <w:rFonts w:ascii="Arial" w:hAnsi="Arial"/>
                <w:b/>
                <w:i w:val="0"/>
                <w:color w:val="047857"/>
                <w:sz w:val="22"/>
              </w:rPr>
              <w:t>Gabarito: B</w:t>
            </w:r>
          </w:p>
        </w:tc>
      </w:tr>
    </w:tbl>
    <w:p>
      <w:pPr>
        <w:spacing w:before="0" w:after="120"/>
      </w:pPr>
    </w:p>
    <w:p>
      <w:pPr>
        <w:keepNext/>
        <w:spacing w:before="200" w:after="80"/>
      </w:pPr>
      <w:r>
        <w:rPr>
          <w:rFonts w:ascii="Arial" w:hAnsi="Arial"/>
          <w:b/>
          <w:i w:val="0"/>
          <w:color w:val="2B6CB0"/>
          <w:sz w:val="24"/>
        </w:rPr>
        <w:t>Questão 04</w:t>
      </w:r>
    </w:p>
    <w:p>
      <w:pPr>
        <w:spacing w:line="360" w:lineRule="auto" w:before="0" w:after="80"/>
        <w:jc w:val="both"/>
      </w:pPr>
      <w:r>
        <w:rPr>
          <w:rFonts w:ascii="Arial" w:hAnsi="Arial"/>
          <w:b/>
          <w:i w:val="0"/>
          <w:color w:val="111827"/>
          <w:sz w:val="24"/>
        </w:rPr>
        <w:t>(FCC – Técnico de Controle Externo – Área Administrativa – TCE-GO)</w:t>
      </w:r>
    </w:p>
    <w:p>
      <w:pPr>
        <w:spacing w:line="360" w:lineRule="auto" w:before="0" w:after="80"/>
        <w:jc w:val="both"/>
      </w:pPr>
      <w:r>
        <w:rPr>
          <w:rFonts w:ascii="Arial" w:hAnsi="Arial"/>
          <w:b w:val="0"/>
          <w:i w:val="0"/>
          <w:color w:val="111827"/>
          <w:sz w:val="24"/>
        </w:rPr>
        <w:t>Nos moldes da Lei Estadual nº 20.756/2020, o servidor público estável poderá obter autorização administrativa para afastar-se de suas funções a fim de tratar de interesses particulares. A respeito dessa licença estatutária, assinale a afirmativa correta: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A licença poderá ser concedida pelo prazo de até cinco anos consecutivos, mantido o pagamento integral de seu vencimento básico.</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A concessão da licença é direito público subjetivo incondicionado do servidor, não podendo a autoridade administrativa negá-la, ainda que haja manifesto prejuízo ao serviço.</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A licença para o trato de interesses particulares dar-se-á sem remuneração e vigorará pelo prazo de até 3 (três) anos consecutivos, permanecendo condicionada à prévia aquisição de estabilidade funcional e ao juízo de conveniência e oportunidade da administração.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O servidor em cumprimento de estágio probatório faz jus à referida licença após completar doze meses de efetivo exercício no cargo.</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Durante o período de fruição da licença sem vencimentos, o servidor continuará computando o tempo integralmente para efeitos de promoção por merecimento funcional.</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Incorreta. A licença é concedida </w:t>
            </w:r>
            <w:r>
              <w:rPr>
                <w:rFonts w:ascii="Arial" w:hAnsi="Arial"/>
                <w:b/>
                <w:i w:val="0"/>
                <w:color w:val="111827"/>
                <w:sz w:val="21"/>
              </w:rPr>
              <w:t>sem remuneração</w:t>
            </w:r>
            <w:r>
              <w:rPr>
                <w:rFonts w:ascii="Arial" w:hAnsi="Arial"/>
                <w:b w:val="0"/>
                <w:i w:val="0"/>
                <w:color w:val="111827"/>
                <w:sz w:val="21"/>
              </w:rPr>
              <w:t xml:space="preserve"> e pelo período de </w:t>
            </w:r>
            <w:r>
              <w:rPr>
                <w:rFonts w:ascii="Arial" w:hAnsi="Arial"/>
                <w:b/>
                <w:i w:val="0"/>
                <w:color w:val="111827"/>
                <w:sz w:val="21"/>
              </w:rPr>
              <w:t>até 3 (três) anos consecutivos</w:t>
            </w:r>
            <w:r>
              <w:rPr>
                <w:rFonts w:ascii="Arial" w:hAnsi="Arial"/>
                <w:b w:val="0"/>
                <w:i w:val="0"/>
                <w:color w:val="111827"/>
                <w:sz w:val="21"/>
              </w:rPr>
              <w:t xml:space="preserve"> (e não cinco anos com remuneração).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Trata-se de ato eminentemente discricionário, cabendo à autoridade competente avaliar a conveniência e oportunidade do afastamento frente às necessidades de serviço do órgão.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De acordo com as disposições literais da Lei Estadual nº 20.756/2020, a </w:t>
            </w:r>
            <w:r>
              <w:rPr>
                <w:rFonts w:ascii="Arial" w:hAnsi="Arial"/>
                <w:b/>
                <w:i w:val="0"/>
                <w:color w:val="111827"/>
                <w:sz w:val="21"/>
              </w:rPr>
              <w:t>licença para tratar de interesses particulares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É usufruída </w:t>
            </w:r>
            <w:r>
              <w:rPr>
                <w:rFonts w:ascii="Arial" w:hAnsi="Arial"/>
                <w:b/>
                <w:i w:val="0"/>
                <w:color w:val="111827"/>
                <w:sz w:val="21"/>
              </w:rPr>
              <w:t>sem qualquer remuneração</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Tem prazo de </w:t>
            </w:r>
            <w:r>
              <w:rPr>
                <w:rFonts w:ascii="Arial" w:hAnsi="Arial"/>
                <w:b/>
                <w:i w:val="0"/>
                <w:color w:val="111827"/>
                <w:sz w:val="21"/>
              </w:rPr>
              <w:t>até 3 (três) anos consecutivos</w:t>
            </w:r>
            <w:r>
              <w:rPr>
                <w:rFonts w:ascii="Arial" w:hAnsi="Arial"/>
                <w:b w:val="0"/>
                <w:i w:val="0"/>
                <w:color w:val="111827"/>
                <w:sz w:val="21"/>
              </w:rPr>
              <w:t>;</w:t>
            </w:r>
          </w:p>
          <w:p>
            <w:pPr>
              <w:spacing w:line="288" w:lineRule="auto" w:before="40" w:after="40"/>
            </w:pPr>
            <w:r>
              <w:rPr>
                <w:rFonts w:ascii="Arial" w:hAnsi="Arial"/>
                <w:b w:val="0"/>
                <w:i w:val="0"/>
                <w:color w:val="111827"/>
                <w:sz w:val="21"/>
              </w:rPr>
              <w:t xml:space="preserve">- Exige que o servidor já seja titular de </w:t>
            </w:r>
            <w:r>
              <w:rPr>
                <w:rFonts w:ascii="Arial" w:hAnsi="Arial"/>
                <w:b/>
                <w:i w:val="0"/>
                <w:color w:val="111827"/>
                <w:sz w:val="21"/>
              </w:rPr>
              <w:t>estabilidade funcional</w:t>
            </w:r>
            <w:r>
              <w:rPr>
                <w:rFonts w:ascii="Arial" w:hAnsi="Arial"/>
                <w:b w:val="0"/>
                <w:i w:val="0"/>
                <w:color w:val="111827"/>
                <w:sz w:val="21"/>
              </w:rPr>
              <w:t>;</w:t>
            </w:r>
          </w:p>
          <w:p>
            <w:pPr>
              <w:spacing w:line="288" w:lineRule="auto" w:before="40" w:after="40"/>
            </w:pPr>
            <w:r>
              <w:rPr>
                <w:rFonts w:ascii="Arial" w:hAnsi="Arial"/>
                <w:b w:val="0"/>
                <w:i w:val="0"/>
                <w:color w:val="111827"/>
                <w:sz w:val="21"/>
              </w:rPr>
              <w:t>- Submete-se ao juízo discricionário de conveniência e oportunidade da administração estadual.</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O estatuto veda terminantemente a outorga da referida licença a servidor que ainda esteja cumprindo período de estágio probatório.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Durante o afastamento não remunerado para fins particulares, suspende-se o cômputo de tempo para efeitos de evolução funcional, progressão e promoção por merecimento.</w:t>
            </w:r>
          </w:p>
          <w:p>
            <w:pPr>
              <w:spacing w:line="288" w:lineRule="auto" w:before="120" w:after="80"/>
            </w:pPr>
            <w:r>
              <w:rPr>
                <w:rFonts w:ascii="Arial" w:hAnsi="Arial"/>
                <w:b/>
                <w:i w:val="0"/>
                <w:color w:val="047857"/>
                <w:sz w:val="22"/>
              </w:rPr>
              <w:t>Gabarito: C</w:t>
            </w:r>
          </w:p>
        </w:tc>
      </w:tr>
    </w:tbl>
    <w:p>
      <w:pPr>
        <w:spacing w:before="0" w:after="120"/>
      </w:pPr>
    </w:p>
    <w:p>
      <w:pPr>
        <w:keepNext/>
        <w:spacing w:before="200" w:after="80"/>
      </w:pPr>
      <w:r>
        <w:rPr>
          <w:rFonts w:ascii="Arial" w:hAnsi="Arial"/>
          <w:b/>
          <w:i w:val="0"/>
          <w:color w:val="2B6CB0"/>
          <w:sz w:val="24"/>
        </w:rPr>
        <w:t>Questão 05</w:t>
      </w:r>
    </w:p>
    <w:p>
      <w:pPr>
        <w:spacing w:line="360" w:lineRule="auto" w:before="0" w:after="80"/>
        <w:jc w:val="both"/>
      </w:pPr>
      <w:r>
        <w:rPr>
          <w:rFonts w:ascii="Arial" w:hAnsi="Arial"/>
          <w:b/>
          <w:i w:val="0"/>
          <w:color w:val="111827"/>
          <w:sz w:val="24"/>
        </w:rPr>
        <w:t>(FCC – Analista de Controle Externo – Gestão Governamental – TCE-AP)</w:t>
      </w:r>
    </w:p>
    <w:p>
      <w:pPr>
        <w:spacing w:line="360" w:lineRule="auto" w:before="0" w:after="80"/>
        <w:jc w:val="both"/>
      </w:pPr>
      <w:r>
        <w:rPr>
          <w:rFonts w:ascii="Arial" w:hAnsi="Arial"/>
          <w:b w:val="0"/>
          <w:i w:val="0"/>
          <w:color w:val="111827"/>
          <w:sz w:val="24"/>
        </w:rPr>
        <w:t>Em matéria de poder disciplinar sancionador preconizado na Lei Estadual de Goiás nº 20.756/2020, a pretensão disciplinar da administração pública estadual para punir o servidor prescreve, respectivamente, nos seguintes prazos, a contar da data em que o fato se tornou conhecido pela autoridade competente:</w:t>
      </w:r>
    </w:p>
    <w:p>
      <w:pPr>
        <w:spacing w:line="276" w:lineRule="auto" w:before="20" w:after="40"/>
        <w:ind w:left="425"/>
      </w:pPr>
      <w:r>
        <w:rPr>
          <w:rFonts w:ascii="Arial" w:hAnsi="Arial"/>
          <w:b/>
          <w:color w:val="2B6CB0"/>
          <w:sz w:val="22"/>
        </w:rPr>
        <w:t xml:space="preserve">• </w:t>
      </w:r>
      <w:r>
        <w:rPr>
          <w:rFonts w:ascii="Arial" w:hAnsi="Arial"/>
          <w:b/>
          <w:i w:val="0"/>
          <w:color w:val="111827"/>
          <w:sz w:val="22"/>
        </w:rPr>
        <w:t>A)</w:t>
      </w:r>
      <w:r>
        <w:rPr>
          <w:rFonts w:ascii="Arial" w:hAnsi="Arial"/>
          <w:b w:val="0"/>
          <w:i w:val="0"/>
          <w:color w:val="111827"/>
          <w:sz w:val="22"/>
        </w:rPr>
        <w:t xml:space="preserve"> Em 5 anos, para faltas puníveis com demissão; em 2 anos, para a penalidade de suspensão; e em 180 dias, para a penalidade de advertência.</w:t>
      </w:r>
    </w:p>
    <w:p>
      <w:pPr>
        <w:spacing w:line="276" w:lineRule="auto" w:before="20" w:after="40"/>
        <w:ind w:left="425"/>
      </w:pPr>
      <w:r>
        <w:rPr>
          <w:rFonts w:ascii="Arial" w:hAnsi="Arial"/>
          <w:b/>
          <w:color w:val="2B6CB0"/>
          <w:sz w:val="22"/>
        </w:rPr>
        <w:t xml:space="preserve">• </w:t>
      </w:r>
      <w:r>
        <w:rPr>
          <w:rFonts w:ascii="Arial" w:hAnsi="Arial"/>
          <w:b/>
          <w:i w:val="0"/>
          <w:color w:val="111827"/>
          <w:sz w:val="22"/>
        </w:rPr>
        <w:t>B)</w:t>
      </w:r>
      <w:r>
        <w:rPr>
          <w:rFonts w:ascii="Arial" w:hAnsi="Arial"/>
          <w:b w:val="0"/>
          <w:i w:val="0"/>
          <w:color w:val="111827"/>
          <w:sz w:val="22"/>
        </w:rPr>
        <w:t xml:space="preserve"> Em 10 anos, para a demissão; em 5 anos, para a suspensão; e em 1 ano, para a advertência escrita.</w:t>
      </w:r>
    </w:p>
    <w:p>
      <w:pPr>
        <w:spacing w:line="276" w:lineRule="auto" w:before="20" w:after="40"/>
        <w:ind w:left="425"/>
      </w:pPr>
      <w:r>
        <w:rPr>
          <w:rFonts w:ascii="Arial" w:hAnsi="Arial"/>
          <w:b/>
          <w:color w:val="2B6CB0"/>
          <w:sz w:val="22"/>
        </w:rPr>
        <w:t xml:space="preserve">• </w:t>
      </w:r>
      <w:r>
        <w:rPr>
          <w:rFonts w:ascii="Arial" w:hAnsi="Arial"/>
          <w:b/>
          <w:i w:val="0"/>
          <w:color w:val="111827"/>
          <w:sz w:val="22"/>
        </w:rPr>
        <w:t>C)</w:t>
      </w:r>
      <w:r>
        <w:rPr>
          <w:rFonts w:ascii="Arial" w:hAnsi="Arial"/>
          <w:b w:val="0"/>
          <w:i w:val="0"/>
          <w:color w:val="111827"/>
          <w:sz w:val="22"/>
        </w:rPr>
        <w:t xml:space="preserve"> Em 4 anos para quaisquer penalidades disciplinares, tendo em vista o princípio da uniformidade processual do Estado federado.</w:t>
      </w:r>
    </w:p>
    <w:p>
      <w:pPr>
        <w:spacing w:line="276" w:lineRule="auto" w:before="20" w:after="40"/>
        <w:ind w:left="425"/>
      </w:pPr>
      <w:r>
        <w:rPr>
          <w:rFonts w:ascii="Arial" w:hAnsi="Arial"/>
          <w:b/>
          <w:color w:val="2B6CB0"/>
          <w:sz w:val="22"/>
        </w:rPr>
        <w:t xml:space="preserve">• </w:t>
      </w:r>
      <w:r>
        <w:rPr>
          <w:rFonts w:ascii="Arial" w:hAnsi="Arial"/>
          <w:b/>
          <w:i w:val="0"/>
          <w:color w:val="111827"/>
          <w:sz w:val="22"/>
        </w:rPr>
        <w:t>D)</w:t>
      </w:r>
      <w:r>
        <w:rPr>
          <w:rFonts w:ascii="Arial" w:hAnsi="Arial"/>
          <w:b w:val="0"/>
          <w:i w:val="0"/>
          <w:color w:val="111827"/>
          <w:sz w:val="22"/>
        </w:rPr>
        <w:t xml:space="preserve"> Em 5 anos, para as infrações puníveis com advertência; e imprescritível para as infrações que cominem demissão e improbidade.</w:t>
      </w:r>
    </w:p>
    <w:p>
      <w:pPr>
        <w:spacing w:line="276" w:lineRule="auto" w:before="20" w:after="40"/>
        <w:ind w:left="425"/>
      </w:pPr>
      <w:r>
        <w:rPr>
          <w:rFonts w:ascii="Arial" w:hAnsi="Arial"/>
          <w:b/>
          <w:color w:val="2B6CB0"/>
          <w:sz w:val="22"/>
        </w:rPr>
        <w:t xml:space="preserve">• </w:t>
      </w:r>
      <w:r>
        <w:rPr>
          <w:rFonts w:ascii="Arial" w:hAnsi="Arial"/>
          <w:b/>
          <w:i w:val="0"/>
          <w:color w:val="111827"/>
          <w:sz w:val="22"/>
        </w:rPr>
        <w:t>E)</w:t>
      </w:r>
      <w:r>
        <w:rPr>
          <w:rFonts w:ascii="Arial" w:hAnsi="Arial"/>
          <w:b w:val="0"/>
          <w:i w:val="0"/>
          <w:color w:val="111827"/>
          <w:sz w:val="22"/>
        </w:rPr>
        <w:t xml:space="preserve"> Em 180 dias para a demissão; e em 30 dias para a suspensão funcional de servidores de controle.</w:t>
      </w:r>
    </w:p>
    <w:tbl>
      <w:tblPr>
        <w:tblW w:type="auto" w:w="0"/>
        <w:jc w:val="center"/>
        <w:tblLook w:firstColumn="1" w:firstRow="1" w:lastColumn="0" w:lastRow="0" w:noHBand="0" w:noVBand="1" w:val="04A0"/>
      </w:tblPr>
      <w:tblGrid>
        <w:gridCol w:w="9071"/>
      </w:tblGrid>
      <w:tr>
        <w:tc>
          <w:tcPr>
            <w:tcW w:type="dxa" w:w="9071"/>
            <w:shd w:fill="F8FAFC"/>
            <w:tcBorders>
              <w:left w:val="single" w:sz="32" w:space="0" w:color="475569"/>
              <w:top w:val="none"/>
              <w:right w:val="none"/>
              <w:bottom w:val="none"/>
            </w:tcBorders>
            <w:tcMar>
              <w:top w:w="140" w:type="dxa"/>
              <w:bottom w:w="140" w:type="dxa"/>
              <w:left w:w="220" w:type="dxa"/>
              <w:right w:w="220" w:type="dxa"/>
            </w:tcMar>
          </w:tcPr>
          <w:p>
            <w:pPr>
              <w:spacing w:line="288" w:lineRule="auto" w:before="40" w:after="40"/>
            </w:pPr>
            <w:r>
              <w:rPr>
                <w:rFonts w:ascii="Arial" w:hAnsi="Arial"/>
                <w:b/>
                <w:i w:val="0"/>
                <w:color w:val="111827"/>
                <w:sz w:val="21"/>
              </w:rPr>
              <w:t>Comentário Detalhado: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A)</w:t>
            </w:r>
            <w:r>
              <w:rPr>
                <w:rFonts w:ascii="Arial" w:hAnsi="Arial"/>
                <w:b w:val="0"/>
                <w:i w:val="0"/>
                <w:color w:val="111827"/>
                <w:sz w:val="21"/>
              </w:rPr>
              <w:t xml:space="preserve"> </w:t>
            </w:r>
            <w:r>
              <w:rPr>
                <w:rFonts w:ascii="Arial" w:hAnsi="Arial"/>
                <w:b/>
                <w:i w:val="0"/>
                <w:color w:val="111827"/>
                <w:sz w:val="21"/>
              </w:rPr>
              <w:t>CORRETA.</w:t>
            </w:r>
            <w:r>
              <w:rPr>
                <w:rFonts w:ascii="Arial" w:hAnsi="Arial"/>
                <w:b w:val="0"/>
                <w:i w:val="0"/>
                <w:color w:val="111827"/>
                <w:sz w:val="21"/>
              </w:rPr>
              <w:t xml:space="preserve"> Os prazos de prescrição da pretensão punitiva disciplinar na Lei Estadual nº 20.756/2020 são estipulados taxativamente conforme a gravidade da sanção: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5 (cinco) anos:</w:t>
            </w:r>
            <w:r>
              <w:rPr>
                <w:rFonts w:ascii="Arial" w:hAnsi="Arial"/>
                <w:b w:val="0"/>
                <w:i w:val="0"/>
                <w:color w:val="111827"/>
                <w:sz w:val="21"/>
              </w:rPr>
              <w:t xml:space="preserve"> para as infrações cominadas com </w:t>
            </w:r>
            <w:r>
              <w:rPr>
                <w:rFonts w:ascii="Arial" w:hAnsi="Arial"/>
                <w:b/>
                <w:i w:val="0"/>
                <w:color w:val="111827"/>
                <w:sz w:val="21"/>
              </w:rPr>
              <w:t>demissão</w:t>
            </w:r>
            <w:r>
              <w:rPr>
                <w:rFonts w:ascii="Arial" w:hAnsi="Arial"/>
                <w:b w:val="0"/>
                <w:i w:val="0"/>
                <w:color w:val="111827"/>
                <w:sz w:val="21"/>
              </w:rPr>
              <w:t xml:space="preserve">, </w:t>
            </w:r>
            <w:r>
              <w:rPr>
                <w:rFonts w:ascii="Arial" w:hAnsi="Arial"/>
                <w:b/>
                <w:i w:val="0"/>
                <w:color w:val="111827"/>
                <w:sz w:val="21"/>
              </w:rPr>
              <w:t>cassação de aposentadoria ou de disponibilidade</w:t>
            </w:r>
            <w:r>
              <w:rPr>
                <w:rFonts w:ascii="Arial" w:hAnsi="Arial"/>
                <w:b w:val="0"/>
                <w:i w:val="0"/>
                <w:color w:val="111827"/>
                <w:sz w:val="21"/>
              </w:rPr>
              <w:t xml:space="preserve"> e destituição de cargo em comissão;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2 (dois) anos:</w:t>
            </w:r>
            <w:r>
              <w:rPr>
                <w:rFonts w:ascii="Arial" w:hAnsi="Arial"/>
                <w:b w:val="0"/>
                <w:i w:val="0"/>
                <w:color w:val="111827"/>
                <w:sz w:val="21"/>
              </w:rPr>
              <w:t xml:space="preserve"> para as infrações puníveis com </w:t>
            </w:r>
            <w:r>
              <w:rPr>
                <w:rFonts w:ascii="Arial" w:hAnsi="Arial"/>
                <w:b/>
                <w:i w:val="0"/>
                <w:color w:val="111827"/>
                <w:sz w:val="21"/>
              </w:rPr>
              <w:t>suspensão</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180 (cento e oitenta) dias:</w:t>
            </w:r>
            <w:r>
              <w:rPr>
                <w:rFonts w:ascii="Arial" w:hAnsi="Arial"/>
                <w:b w:val="0"/>
                <w:i w:val="0"/>
                <w:color w:val="111827"/>
                <w:sz w:val="21"/>
              </w:rPr>
              <w:t xml:space="preserve"> para as faltas leves sancionadas com </w:t>
            </w:r>
            <w:r>
              <w:rPr>
                <w:rFonts w:ascii="Arial" w:hAnsi="Arial"/>
                <w:b/>
                <w:i w:val="0"/>
                <w:color w:val="111827"/>
                <w:sz w:val="21"/>
              </w:rPr>
              <w:t>advertência</w:t>
            </w:r>
            <w:r>
              <w:rPr>
                <w:rFonts w:ascii="Arial" w:hAnsi="Arial"/>
                <w:b w:val="0"/>
                <w:i w:val="0"/>
                <w:color w:val="111827"/>
                <w:sz w:val="21"/>
              </w:rPr>
              <w:t>.</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B)</w:t>
            </w:r>
            <w:r>
              <w:rPr>
                <w:rFonts w:ascii="Arial" w:hAnsi="Arial"/>
                <w:b w:val="0"/>
                <w:i w:val="0"/>
                <w:color w:val="111827"/>
                <w:sz w:val="21"/>
              </w:rPr>
              <w:t xml:space="preserve"> Incorreta. Prazos incompatíveis com a sistemática legal goiana.</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C)</w:t>
            </w:r>
            <w:r>
              <w:rPr>
                <w:rFonts w:ascii="Arial" w:hAnsi="Arial"/>
                <w:b w:val="0"/>
                <w:i w:val="0"/>
                <w:color w:val="111827"/>
                <w:sz w:val="21"/>
              </w:rPr>
              <w:t xml:space="preserve"> Incorreta. A lei estabelece prazos graduados de acordo com a gravidade da pena e não um prazo genérico e uniforme de 4 anos.</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D)</w:t>
            </w:r>
            <w:r>
              <w:rPr>
                <w:rFonts w:ascii="Arial" w:hAnsi="Arial"/>
                <w:b w:val="0"/>
                <w:i w:val="0"/>
                <w:color w:val="111827"/>
                <w:sz w:val="21"/>
              </w:rPr>
              <w:t xml:space="preserve"> Incorreta. A ação disciplinar prescreve em prazos certos, sendo 180 dias para advertência e 5 anos para demissão.</w:t>
            </w:r>
          </w:p>
          <w:p>
            <w:pPr>
              <w:spacing w:line="288" w:lineRule="auto" w:before="40" w:after="40"/>
              <w:ind w:left="227"/>
            </w:pPr>
            <w:r>
              <w:rPr>
                <w:rFonts w:ascii="Arial" w:hAnsi="Arial"/>
                <w:b w:val="0"/>
                <w:i w:val="0"/>
                <w:color w:val="111827"/>
                <w:sz w:val="21"/>
              </w:rPr>
              <w:t xml:space="preserve">- </w:t>
            </w:r>
            <w:r>
              <w:rPr>
                <w:rFonts w:ascii="Arial" w:hAnsi="Arial"/>
                <w:b/>
                <w:i w:val="0"/>
                <w:color w:val="111827"/>
                <w:sz w:val="21"/>
              </w:rPr>
              <w:t>E)</w:t>
            </w:r>
            <w:r>
              <w:rPr>
                <w:rFonts w:ascii="Arial" w:hAnsi="Arial"/>
                <w:b w:val="0"/>
                <w:i w:val="0"/>
                <w:color w:val="111827"/>
                <w:sz w:val="21"/>
              </w:rPr>
              <w:t xml:space="preserve"> Incorreta. Inversão e encurtamento aberrante dos prazos estatutários.</w:t>
            </w:r>
          </w:p>
          <w:p>
            <w:pPr>
              <w:spacing w:line="288" w:lineRule="auto" w:before="120" w:after="80"/>
            </w:pPr>
            <w:r>
              <w:rPr>
                <w:rFonts w:ascii="Arial" w:hAnsi="Arial"/>
                <w:b/>
                <w:i w:val="0"/>
                <w:color w:val="047857"/>
                <w:sz w:val="22"/>
              </w:rPr>
              <w:t>Gabarito: A</w:t>
            </w:r>
          </w:p>
        </w:tc>
      </w:tr>
    </w:tbl>
    <w:p>
      <w:pPr>
        <w:spacing w:before="0" w:after="120"/>
      </w:pPr>
    </w:p>
    <w:p>
      <w:r>
        <w:br w:type="page"/>
      </w:r>
    </w:p>
    <w:sectPr w:rsidR="00FC693F" w:rsidRPr="0006063C" w:rsidSect="00034616">
      <w:pgSz w:w="11906" w:h="16838"/>
      <w:pgMar w:top="1701" w:right="1134" w:bottom="1134" w:left="1701" w:header="720" w:footer="720" w:gutter="0"/>
      <w:cols w:space="720"/>
      <w:docGrid w:linePitch="360"/>
    </w:sectPr>
    <w:altChunk r:id="rId9"/>
    <w:altChunk r:id="rId10"/>
    <w:altChunk r:id="rId11"/>
    <w:altChunk r:id="rId12"/>
    <w:altChunk r:id="rId13"/>
    <w:altChunk r:id="rId14"/>
    <w:altChunk r:id="rId15"/>
    <w:altChunk r:id="rId16"/>
    <w:altChunk r:id="rId17"/>
    <w:altChunk r:id="rId18"/>
    <w:altChunk r:id="rId19"/>
    <w:altChunk r:id="rId20"/>
    <w:altChunk r:id="rId21"/>
    <w:altChunk r:id="rId22"/>
    <w:altChunk r:id="rId23"/>
    <w:altChunk r:id="rId24"/>
    <w:altChunk r:id="rId25"/>
    <w:altChunk r:id="rId26"/>
    <w:altChunk r:id="rId27"/>
    <w:altChunk r:id="rId28"/>
    <w:altChunk r:id="rId29"/>
    <w:altChunk r:id="rId30"/>
    <w:altChunk r:id="rId31"/>
    <w:altChunk r:id="rId32"/>
    <w:altChunk r:id="rId33"/>
    <w:altChunk r:id="rId34"/>
    <w:altChunk r:id="rId35"/>
    <w:altChunk r:id="rId36"/>
    <w:altChunk r:id="rId37"/>
    <w:altChunk r:id="rId38"/>
    <w:altChunk r:id="rId39"/>
    <w:altChunk r:id="rId40"/>
    <w:altChunk r:id="rId41"/>
    <w:altChunk r:id="rId42"/>
    <w:altChunk r:id="rId43"/>
    <w:altChunk r:id="rId44"/>
    <w:altChunk r:id="rId45"/>
    <w:altChunk r:id="rId46"/>
    <w:altChunk r:id="rId47"/>
    <w:altChunk r:id="rId48"/>
    <w:altChunk r:id="rId49"/>
    <w:altChunk r:id="rId50"/>
    <w:altChunk r:id="rId51"/>
    <w:altChunk r:id="rId52"/>
    <w:altChunk r:id="rId53"/>
    <w:altChunk r:id="rId54"/>
    <w:altChunk r:id="rId55"/>
    <w:altChunk r:id="rId56"/>
    <w:altChunk r:id="rId57"/>
    <w:altChunk r:id="rId58"/>
    <w:altChunk r:id="rId59"/>
    <w:altChunk r:id="rId60"/>
    <w:altChunk r:id="rId61"/>
    <w:altChunk r:id="rId62"/>
    <w:altChunk r:id="rId63"/>
    <w:altChunk r:id="rId64"/>
    <w:altChunk r:id="rId65"/>
    <w:altChunk r:id="rId66"/>
    <w:altChunk r:id="rId67"/>
    <w:altChunk r:id="rId68"/>
    <w:altChunk r:id="rId69"/>
    <w:altChunk r:id="rId70"/>
    <w:altChunk r:id="rId71"/>
    <w:altChunk r:id="rId72"/>
    <w:altChunk r:id="rId73"/>
    <w:altChunk r:id="rId74"/>
    <w:altChunk r:id="rId75"/>
    <w:altChunk r:id="rId76"/>
    <w:altChunk r:id="rId77"/>
    <w:altChunk r:id="rId78"/>
    <w:altChunk r:id="rId79"/>
    <w:altChunk r:id="rId80"/>
    <w:altChunk r:id="rId81"/>
    <w:altChunk r:id="rId82"/>
    <w:altChunk r:id="rId83"/>
    <w:altChunk r:id="rId84"/>
    <w:altChunk r:id="rId85"/>
    <w:altChunk r:id="rId86"/>
    <w:altChunk r:id="rId87"/>
    <w:altChunk r:id="rId88"/>
    <w:altChunk r:id="rId89"/>
    <w:altChunk r:id="rId90"/>
    <w:altChunk r:id="rId91"/>
    <w:altChunk r:id="rId92"/>
    <w:altChunk r:id="rId93"/>
    <w:altChunk r:id="rId94"/>
    <w:altChunk r:id="rId95"/>
    <w:altChunk r:id="rId96"/>
    <w:altChunk r:id="rId97"/>
    <w:altChunk r:id="rId98"/>
    <w:altChunk r:id="rId99"/>
    <w:altChunk r:id="rId100"/>
    <w:altChunk r:id="rId101"/>
    <w:altChunk r:id="rId102"/>
    <w:altChunk r:id="rId103"/>
    <w:altChunk r:id="rId104"/>
    <w:altChunk r:id="rId105"/>
    <w:altChunk r:id="rId106"/>
    <w:altChunk r:id="rId107"/>
    <w:altChunk r:id="rId108"/>
    <w:altChunk r:id="rId109"/>
    <w:altChunk r:id="rId110"/>
    <w:altChunk r:id="rId111"/>
    <w:altChunk r:id="rId112"/>
    <w:altChunk r:id="rId113"/>
    <w:altChunk r:id="rId114"/>
    <w:altChunk r:id="rId115"/>
    <w:altChunk r:id="rId116"/>
    <w:altChunk r:id="rId117"/>
    <w:altChunk r:id="rId118"/>
    <w:altChunk r:id="rId119"/>
    <w:altChunk r:id="rId120"/>
    <w:altChunk r:id="rId121"/>
    <w:altChunk r:id="rId122"/>
    <w:altChunk r:id="rId123"/>
    <w:altChunk r:id="rId124"/>
    <w:altChunk r:id="rId125"/>
    <w:altChunk r:id="rId126"/>
    <w:altChunk r:id="rId127"/>
    <w:altChunk r:id="rId128"/>
    <w:altChunk r:id="rId129"/>
    <w:altChunk r:id="rId130"/>
    <w:altChunk r:id="rId131"/>
    <w:altChunk r:id="rId132"/>
    <w:altChunk r:id="rId133"/>
    <w:altChunk r:id="rId134"/>
    <w:altChunk r:id="rId135"/>
    <w:altChunk r:id="rId136"/>
    <w:altChunk r:id="rId137"/>
    <w:altChunk r:id="rId138"/>
    <w:altChunk r:id="rId139"/>
    <w:altChunk r:id="rId140"/>
    <w:altChunk r:id="rId141"/>
    <w:altChunk r:id="rId142"/>
    <w:altChunk r:id="rId143"/>
    <w:altChunk r:id="rId144"/>
    <w:altChunk r:id="rId145"/>
    <w:altChunk r:id="rId146"/>
    <w:altChunk r:id="rId147"/>
    <w:altChunk r:id="rId148"/>
    <w:altChunk r:id="rId149"/>
    <w:altChunk r:id="rId150"/>
    <w:altChunk r:id="rId151"/>
    <w:altChunk r:id="rId152"/>
    <w:altChunk r:id="rId153"/>
    <w:altChunk r:id="rId154"/>
    <w:altChunk r:id="rId155"/>
    <w:altChunk r:id="rId156"/>
    <w:altChunk r:id="rId157"/>
    <w:altChunk r:id="rId158"/>
    <w:altChunk r:id="rId159"/>
    <w:altChunk r:id="rId160"/>
    <w:altChunk r:id="rId161"/>
    <w:altChunk r:id="rId162"/>
    <w:altChunk r:id="rId163"/>
    <w:altChunk r:id="rId164"/>
    <w:altChunk r:id="rId165"/>
    <w:altChunk r:id="rId166"/>
    <w:altChunk r:id="rId167"/>
    <w:altChunk r:id="rId168"/>
    <w:altChunk r:id="rId169"/>
    <w:altChunk r:id="rId170"/>
    <w:altChunk r:id="rId171"/>
    <w:altChunk r:id="rId172"/>
    <w:altChunk r:id="rId173"/>
    <w:altChunk r:id="rId174"/>
    <w:altChunk r:id="rId175"/>
    <w:altChunk r:id="rId176"/>
    <w:altChunk r:id="rId177"/>
    <w:altChunk r:id="rId178"/>
    <w:altChunk r:id="rId179"/>
    <w:altChunk r:id="rId180"/>
    <w:altChunk r:id="rId181"/>
    <w:altChunk r:id="rId182"/>
    <w:altChunk r:id="rId183"/>
    <w:altChunk r:id="rId184"/>
    <w:altChunk r:id="rId185"/>
    <w:altChunk r:id="rId186"/>
    <w:altChunk r:id="rId187"/>
    <w:altChunk r:id="rId188"/>
    <w:altChunk r:id="rId189"/>
    <w:altChunk r:id="rId190"/>
    <w:altChunk r:id="rId191"/>
    <w:altChunk r:id="rId192"/>
    <w:altChunk r:id="rId193"/>
    <w:altChunk r:id="rId194"/>
    <w:altChunk r:id="rId195"/>
    <w:altChunk r:id="rId196"/>
    <w:altChunk r:id="rId197"/>
    <w:altChunk r:id="rId198"/>
    <w:altChunk r:id="rId199"/>
    <w:altChunk r:id="rId200"/>
    <w:altChunk r:id="rId201"/>
    <w:altChunk r:id="rId202"/>
    <w:altChunk r:id="rId203"/>
    <w:altChunk r:id="rId204"/>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jc w:val="both"/>
    </w:pPr>
    <w:rPr>
      <w:rFonts w:ascii="Arial" w:hAnsi="Arial"/>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aFChunk" Target="altChunk5bd94561.html"/><Relationship Id="rId10" Type="http://schemas.openxmlformats.org/officeDocument/2006/relationships/aFChunk" Target="altChunk273350ad.html"/><Relationship Id="rId11" Type="http://schemas.openxmlformats.org/officeDocument/2006/relationships/aFChunk" Target="altChunk903cb4a4.html"/><Relationship Id="rId12" Type="http://schemas.openxmlformats.org/officeDocument/2006/relationships/aFChunk" Target="altChunk3fc9844c.html"/><Relationship Id="rId13" Type="http://schemas.openxmlformats.org/officeDocument/2006/relationships/aFChunk" Target="altChunk0cdbb15e.html"/><Relationship Id="rId14" Type="http://schemas.openxmlformats.org/officeDocument/2006/relationships/aFChunk" Target="altChunkd79c4e15.html"/><Relationship Id="rId15" Type="http://schemas.openxmlformats.org/officeDocument/2006/relationships/aFChunk" Target="altChunk71df87b0.html"/><Relationship Id="rId16" Type="http://schemas.openxmlformats.org/officeDocument/2006/relationships/aFChunk" Target="altChunk953ab8ae.html"/><Relationship Id="rId17" Type="http://schemas.openxmlformats.org/officeDocument/2006/relationships/aFChunk" Target="altChunk824a4932.html"/><Relationship Id="rId18" Type="http://schemas.openxmlformats.org/officeDocument/2006/relationships/aFChunk" Target="altChunk887dc163.html"/><Relationship Id="rId19" Type="http://schemas.openxmlformats.org/officeDocument/2006/relationships/aFChunk" Target="altChunkca539c51.html"/><Relationship Id="rId20" Type="http://schemas.openxmlformats.org/officeDocument/2006/relationships/aFChunk" Target="altChunkfd948abd.html"/><Relationship Id="rId21" Type="http://schemas.openxmlformats.org/officeDocument/2006/relationships/aFChunk" Target="altChunk3222067e.html"/><Relationship Id="rId22" Type="http://schemas.openxmlformats.org/officeDocument/2006/relationships/aFChunk" Target="altChunk0afb06a0.html"/><Relationship Id="rId23" Type="http://schemas.openxmlformats.org/officeDocument/2006/relationships/aFChunk" Target="altChunk2041b329.html"/><Relationship Id="rId24" Type="http://schemas.openxmlformats.org/officeDocument/2006/relationships/aFChunk" Target="altChunk811988b9.html"/><Relationship Id="rId25" Type="http://schemas.openxmlformats.org/officeDocument/2006/relationships/aFChunk" Target="altChunk574cd48a.html"/><Relationship Id="rId26" Type="http://schemas.openxmlformats.org/officeDocument/2006/relationships/aFChunk" Target="altChunkf55710d9.html"/><Relationship Id="rId27" Type="http://schemas.openxmlformats.org/officeDocument/2006/relationships/aFChunk" Target="altChunk1bda16d1.html"/><Relationship Id="rId28" Type="http://schemas.openxmlformats.org/officeDocument/2006/relationships/aFChunk" Target="altChunk3700b270.html"/><Relationship Id="rId29" Type="http://schemas.openxmlformats.org/officeDocument/2006/relationships/aFChunk" Target="altChunkdc0cf5b4.html"/><Relationship Id="rId30" Type="http://schemas.openxmlformats.org/officeDocument/2006/relationships/aFChunk" Target="altChunk81f27c34.html"/><Relationship Id="rId31" Type="http://schemas.openxmlformats.org/officeDocument/2006/relationships/aFChunk" Target="altChunke4d1b925.html"/><Relationship Id="rId32" Type="http://schemas.openxmlformats.org/officeDocument/2006/relationships/aFChunk" Target="altChunkcffba5e8.html"/><Relationship Id="rId33" Type="http://schemas.openxmlformats.org/officeDocument/2006/relationships/aFChunk" Target="altChunk3021084d.html"/><Relationship Id="rId34" Type="http://schemas.openxmlformats.org/officeDocument/2006/relationships/aFChunk" Target="altChunk99eb4003.html"/><Relationship Id="rId35" Type="http://schemas.openxmlformats.org/officeDocument/2006/relationships/aFChunk" Target="altChunk4a249070.html"/><Relationship Id="rId36" Type="http://schemas.openxmlformats.org/officeDocument/2006/relationships/aFChunk" Target="altChunk7179cc18.html"/><Relationship Id="rId37" Type="http://schemas.openxmlformats.org/officeDocument/2006/relationships/aFChunk" Target="altChunkd76596cc.html"/><Relationship Id="rId38" Type="http://schemas.openxmlformats.org/officeDocument/2006/relationships/aFChunk" Target="altChunk27079e59.html"/><Relationship Id="rId39" Type="http://schemas.openxmlformats.org/officeDocument/2006/relationships/aFChunk" Target="altChunkbf8278a9.html"/><Relationship Id="rId40" Type="http://schemas.openxmlformats.org/officeDocument/2006/relationships/aFChunk" Target="altChunk5716adfc.html"/><Relationship Id="rId41" Type="http://schemas.openxmlformats.org/officeDocument/2006/relationships/aFChunk" Target="altChunk2be6b4b5.html"/><Relationship Id="rId42" Type="http://schemas.openxmlformats.org/officeDocument/2006/relationships/aFChunk" Target="altChunke1db1763.html"/><Relationship Id="rId43" Type="http://schemas.openxmlformats.org/officeDocument/2006/relationships/aFChunk" Target="altChunk0e7f3736.html"/><Relationship Id="rId44" Type="http://schemas.openxmlformats.org/officeDocument/2006/relationships/aFChunk" Target="altChunkf24bdc36.html"/><Relationship Id="rId45" Type="http://schemas.openxmlformats.org/officeDocument/2006/relationships/aFChunk" Target="altChunk51cf99d2.html"/><Relationship Id="rId46" Type="http://schemas.openxmlformats.org/officeDocument/2006/relationships/aFChunk" Target="altChunk0f0096e2.html"/><Relationship Id="rId47" Type="http://schemas.openxmlformats.org/officeDocument/2006/relationships/aFChunk" Target="altChunkcf29b6d1.html"/><Relationship Id="rId48" Type="http://schemas.openxmlformats.org/officeDocument/2006/relationships/aFChunk" Target="altChunkbd7b33bb.html"/><Relationship Id="rId49" Type="http://schemas.openxmlformats.org/officeDocument/2006/relationships/aFChunk" Target="altChunk82253932.html"/><Relationship Id="rId50" Type="http://schemas.openxmlformats.org/officeDocument/2006/relationships/aFChunk" Target="altChunk250fd095.html"/><Relationship Id="rId51" Type="http://schemas.openxmlformats.org/officeDocument/2006/relationships/aFChunk" Target="altChunk0fa041f0.html"/><Relationship Id="rId52" Type="http://schemas.openxmlformats.org/officeDocument/2006/relationships/aFChunk" Target="altChunkcb7b9671.html"/><Relationship Id="rId53" Type="http://schemas.openxmlformats.org/officeDocument/2006/relationships/aFChunk" Target="altChunkc14d09b2.html"/><Relationship Id="rId54" Type="http://schemas.openxmlformats.org/officeDocument/2006/relationships/aFChunk" Target="altChunkc59a5c85.html"/><Relationship Id="rId55" Type="http://schemas.openxmlformats.org/officeDocument/2006/relationships/aFChunk" Target="altChunk81e8c74e.html"/><Relationship Id="rId56" Type="http://schemas.openxmlformats.org/officeDocument/2006/relationships/aFChunk" Target="altChunk2d88ebe8.html"/><Relationship Id="rId57" Type="http://schemas.openxmlformats.org/officeDocument/2006/relationships/aFChunk" Target="altChunk88ea448c.html"/><Relationship Id="rId58" Type="http://schemas.openxmlformats.org/officeDocument/2006/relationships/aFChunk" Target="altChunk28152517.html"/><Relationship Id="rId59" Type="http://schemas.openxmlformats.org/officeDocument/2006/relationships/aFChunk" Target="altChunk2c10af38.html"/><Relationship Id="rId60" Type="http://schemas.openxmlformats.org/officeDocument/2006/relationships/aFChunk" Target="altChunk4a6da365.html"/><Relationship Id="rId61" Type="http://schemas.openxmlformats.org/officeDocument/2006/relationships/aFChunk" Target="altChunkbc14b487.html"/><Relationship Id="rId62" Type="http://schemas.openxmlformats.org/officeDocument/2006/relationships/aFChunk" Target="altChunka7c1055d.html"/><Relationship Id="rId63" Type="http://schemas.openxmlformats.org/officeDocument/2006/relationships/aFChunk" Target="altChunk3c010c6c.html"/><Relationship Id="rId64" Type="http://schemas.openxmlformats.org/officeDocument/2006/relationships/aFChunk" Target="altChunk7705ccd4.html"/><Relationship Id="rId65" Type="http://schemas.openxmlformats.org/officeDocument/2006/relationships/aFChunk" Target="altChunk01a678a9.html"/><Relationship Id="rId66" Type="http://schemas.openxmlformats.org/officeDocument/2006/relationships/aFChunk" Target="altChunk432379a0.html"/><Relationship Id="rId67" Type="http://schemas.openxmlformats.org/officeDocument/2006/relationships/aFChunk" Target="altChunk8b056452.html"/><Relationship Id="rId68" Type="http://schemas.openxmlformats.org/officeDocument/2006/relationships/aFChunk" Target="altChunk9b0ccfda.html"/><Relationship Id="rId69" Type="http://schemas.openxmlformats.org/officeDocument/2006/relationships/aFChunk" Target="altChunk54522bee.html"/><Relationship Id="rId70" Type="http://schemas.openxmlformats.org/officeDocument/2006/relationships/aFChunk" Target="altChunk3ae343b1.html"/><Relationship Id="rId71" Type="http://schemas.openxmlformats.org/officeDocument/2006/relationships/aFChunk" Target="altChunk4184c9eb.html"/><Relationship Id="rId72" Type="http://schemas.openxmlformats.org/officeDocument/2006/relationships/aFChunk" Target="altChunk7791562f.html"/><Relationship Id="rId73" Type="http://schemas.openxmlformats.org/officeDocument/2006/relationships/aFChunk" Target="altChunka7ae9b82.html"/><Relationship Id="rId74" Type="http://schemas.openxmlformats.org/officeDocument/2006/relationships/aFChunk" Target="altChunk95715e43.html"/><Relationship Id="rId75" Type="http://schemas.openxmlformats.org/officeDocument/2006/relationships/aFChunk" Target="altChunkc1c6e3e2.html"/><Relationship Id="rId76" Type="http://schemas.openxmlformats.org/officeDocument/2006/relationships/aFChunk" Target="altChunkfd3c8185.html"/><Relationship Id="rId77" Type="http://schemas.openxmlformats.org/officeDocument/2006/relationships/aFChunk" Target="altChunk1159264b.html"/><Relationship Id="rId78" Type="http://schemas.openxmlformats.org/officeDocument/2006/relationships/aFChunk" Target="altChunk29c1f30b.html"/><Relationship Id="rId79" Type="http://schemas.openxmlformats.org/officeDocument/2006/relationships/aFChunk" Target="altChunkccf3ac61.html"/><Relationship Id="rId80" Type="http://schemas.openxmlformats.org/officeDocument/2006/relationships/aFChunk" Target="altChunk348b818f.html"/><Relationship Id="rId81" Type="http://schemas.openxmlformats.org/officeDocument/2006/relationships/aFChunk" Target="altChunkb4ff80e4.html"/><Relationship Id="rId82" Type="http://schemas.openxmlformats.org/officeDocument/2006/relationships/aFChunk" Target="altChunkea18df26.html"/><Relationship Id="rId83" Type="http://schemas.openxmlformats.org/officeDocument/2006/relationships/aFChunk" Target="altChunk819e9d16.html"/><Relationship Id="rId84" Type="http://schemas.openxmlformats.org/officeDocument/2006/relationships/aFChunk" Target="altChunk18003f7b.html"/><Relationship Id="rId85" Type="http://schemas.openxmlformats.org/officeDocument/2006/relationships/aFChunk" Target="altChunk79ea335c.html"/><Relationship Id="rId86" Type="http://schemas.openxmlformats.org/officeDocument/2006/relationships/aFChunk" Target="altChunk8ad517a6.html"/><Relationship Id="rId87" Type="http://schemas.openxmlformats.org/officeDocument/2006/relationships/aFChunk" Target="altChunk075b5f5b.html"/><Relationship Id="rId88" Type="http://schemas.openxmlformats.org/officeDocument/2006/relationships/aFChunk" Target="altChunk71c3a6c6.html"/><Relationship Id="rId89" Type="http://schemas.openxmlformats.org/officeDocument/2006/relationships/aFChunk" Target="altChunk68de5235.html"/><Relationship Id="rId90" Type="http://schemas.openxmlformats.org/officeDocument/2006/relationships/aFChunk" Target="altChunk55bbe78e.html"/><Relationship Id="rId91" Type="http://schemas.openxmlformats.org/officeDocument/2006/relationships/aFChunk" Target="altChunka20ac08c.html"/><Relationship Id="rId92" Type="http://schemas.openxmlformats.org/officeDocument/2006/relationships/aFChunk" Target="altChunk967feecf.html"/><Relationship Id="rId93" Type="http://schemas.openxmlformats.org/officeDocument/2006/relationships/aFChunk" Target="altChunk3c7c118e.html"/><Relationship Id="rId94" Type="http://schemas.openxmlformats.org/officeDocument/2006/relationships/aFChunk" Target="altChunk96882664.html"/><Relationship Id="rId95" Type="http://schemas.openxmlformats.org/officeDocument/2006/relationships/aFChunk" Target="altChunk9c46676d.html"/><Relationship Id="rId96" Type="http://schemas.openxmlformats.org/officeDocument/2006/relationships/aFChunk" Target="altChunkc360b090.html"/><Relationship Id="rId97" Type="http://schemas.openxmlformats.org/officeDocument/2006/relationships/aFChunk" Target="altChunk7cdaefaa.html"/><Relationship Id="rId98" Type="http://schemas.openxmlformats.org/officeDocument/2006/relationships/aFChunk" Target="altChunke611656c.html"/><Relationship Id="rId99" Type="http://schemas.openxmlformats.org/officeDocument/2006/relationships/aFChunk" Target="altChunkfb7aba14.html"/><Relationship Id="rId100" Type="http://schemas.openxmlformats.org/officeDocument/2006/relationships/aFChunk" Target="altChunk0f40fc8e.html"/><Relationship Id="rId101" Type="http://schemas.openxmlformats.org/officeDocument/2006/relationships/aFChunk" Target="altChunk39fa6a76.html"/><Relationship Id="rId102" Type="http://schemas.openxmlformats.org/officeDocument/2006/relationships/aFChunk" Target="altChunk4ff26893.html"/><Relationship Id="rId103" Type="http://schemas.openxmlformats.org/officeDocument/2006/relationships/aFChunk" Target="altChunk881497ab.html"/><Relationship Id="rId104" Type="http://schemas.openxmlformats.org/officeDocument/2006/relationships/aFChunk" Target="altChunkf3d4cd12.html"/><Relationship Id="rId105" Type="http://schemas.openxmlformats.org/officeDocument/2006/relationships/aFChunk" Target="altChunk7f68cbef.html"/><Relationship Id="rId106" Type="http://schemas.openxmlformats.org/officeDocument/2006/relationships/aFChunk" Target="altChunk71f46458.html"/><Relationship Id="rId107" Type="http://schemas.openxmlformats.org/officeDocument/2006/relationships/aFChunk" Target="altChunkf2fb01a5.html"/><Relationship Id="rId108" Type="http://schemas.openxmlformats.org/officeDocument/2006/relationships/aFChunk" Target="altChunk28072576.html"/><Relationship Id="rId109" Type="http://schemas.openxmlformats.org/officeDocument/2006/relationships/aFChunk" Target="altChunk01b1bdff.html"/><Relationship Id="rId110" Type="http://schemas.openxmlformats.org/officeDocument/2006/relationships/aFChunk" Target="altChunk015fc960.html"/><Relationship Id="rId111" Type="http://schemas.openxmlformats.org/officeDocument/2006/relationships/aFChunk" Target="altChunke78e6d53.html"/><Relationship Id="rId112" Type="http://schemas.openxmlformats.org/officeDocument/2006/relationships/aFChunk" Target="altChunk45a9617e.html"/><Relationship Id="rId113" Type="http://schemas.openxmlformats.org/officeDocument/2006/relationships/aFChunk" Target="altChunk6c6bcff7.html"/><Relationship Id="rId114" Type="http://schemas.openxmlformats.org/officeDocument/2006/relationships/aFChunk" Target="altChunkc61905c5.html"/><Relationship Id="rId115" Type="http://schemas.openxmlformats.org/officeDocument/2006/relationships/aFChunk" Target="altChunk3f2a05ed.html"/><Relationship Id="rId116" Type="http://schemas.openxmlformats.org/officeDocument/2006/relationships/aFChunk" Target="altChunkc76cbce3.html"/><Relationship Id="rId117" Type="http://schemas.openxmlformats.org/officeDocument/2006/relationships/aFChunk" Target="altChunk44722164.html"/><Relationship Id="rId118" Type="http://schemas.openxmlformats.org/officeDocument/2006/relationships/aFChunk" Target="altChunkc9d39dd8.html"/><Relationship Id="rId119" Type="http://schemas.openxmlformats.org/officeDocument/2006/relationships/aFChunk" Target="altChunk2b802ac2.html"/><Relationship Id="rId120" Type="http://schemas.openxmlformats.org/officeDocument/2006/relationships/aFChunk" Target="altChunka0a6d8bb.html"/><Relationship Id="rId121" Type="http://schemas.openxmlformats.org/officeDocument/2006/relationships/aFChunk" Target="altChunk39a7638d.html"/><Relationship Id="rId122" Type="http://schemas.openxmlformats.org/officeDocument/2006/relationships/aFChunk" Target="altChunkc2edf203.html"/><Relationship Id="rId123" Type="http://schemas.openxmlformats.org/officeDocument/2006/relationships/aFChunk" Target="altChunk096e0367.html"/><Relationship Id="rId124" Type="http://schemas.openxmlformats.org/officeDocument/2006/relationships/aFChunk" Target="altChunke45af876.html"/><Relationship Id="rId125" Type="http://schemas.openxmlformats.org/officeDocument/2006/relationships/aFChunk" Target="altChunk553c6d23.html"/><Relationship Id="rId126" Type="http://schemas.openxmlformats.org/officeDocument/2006/relationships/aFChunk" Target="altChunkddf056c5.html"/><Relationship Id="rId127" Type="http://schemas.openxmlformats.org/officeDocument/2006/relationships/aFChunk" Target="altChunk3d05b1d5.html"/><Relationship Id="rId128" Type="http://schemas.openxmlformats.org/officeDocument/2006/relationships/aFChunk" Target="altChunk102644e8.html"/><Relationship Id="rId129" Type="http://schemas.openxmlformats.org/officeDocument/2006/relationships/aFChunk" Target="altChunk5a81b7f8.html"/><Relationship Id="rId130" Type="http://schemas.openxmlformats.org/officeDocument/2006/relationships/aFChunk" Target="altChunkb90387f3.html"/><Relationship Id="rId131" Type="http://schemas.openxmlformats.org/officeDocument/2006/relationships/aFChunk" Target="altChunkd08ed10e.html"/><Relationship Id="rId132" Type="http://schemas.openxmlformats.org/officeDocument/2006/relationships/aFChunk" Target="altChunkbb3b74d8.html"/><Relationship Id="rId133" Type="http://schemas.openxmlformats.org/officeDocument/2006/relationships/aFChunk" Target="altChunkcb0e7d7c.html"/><Relationship Id="rId134" Type="http://schemas.openxmlformats.org/officeDocument/2006/relationships/aFChunk" Target="altChunkc4ee51f0.html"/><Relationship Id="rId135" Type="http://schemas.openxmlformats.org/officeDocument/2006/relationships/aFChunk" Target="altChunkff387ab8.html"/><Relationship Id="rId136" Type="http://schemas.openxmlformats.org/officeDocument/2006/relationships/aFChunk" Target="altChunkeaa2b035.html"/><Relationship Id="rId137" Type="http://schemas.openxmlformats.org/officeDocument/2006/relationships/aFChunk" Target="altChunkc089d063.html"/><Relationship Id="rId138" Type="http://schemas.openxmlformats.org/officeDocument/2006/relationships/aFChunk" Target="altChunkae14cb5e.html"/><Relationship Id="rId139" Type="http://schemas.openxmlformats.org/officeDocument/2006/relationships/aFChunk" Target="altChunk6e429a89.html"/><Relationship Id="rId140" Type="http://schemas.openxmlformats.org/officeDocument/2006/relationships/aFChunk" Target="altChunk5aad253c.html"/><Relationship Id="rId141" Type="http://schemas.openxmlformats.org/officeDocument/2006/relationships/aFChunk" Target="altChunk2e9ecb82.html"/><Relationship Id="rId142" Type="http://schemas.openxmlformats.org/officeDocument/2006/relationships/aFChunk" Target="altChunkd2bfd721.html"/><Relationship Id="rId143" Type="http://schemas.openxmlformats.org/officeDocument/2006/relationships/aFChunk" Target="altChunkb353a63b.html"/><Relationship Id="rId144" Type="http://schemas.openxmlformats.org/officeDocument/2006/relationships/aFChunk" Target="altChunk695f9ae1.html"/><Relationship Id="rId145" Type="http://schemas.openxmlformats.org/officeDocument/2006/relationships/aFChunk" Target="altChunk252553ad.html"/><Relationship Id="rId146" Type="http://schemas.openxmlformats.org/officeDocument/2006/relationships/aFChunk" Target="altChunk278f5b71.html"/><Relationship Id="rId147" Type="http://schemas.openxmlformats.org/officeDocument/2006/relationships/aFChunk" Target="altChunka7fd4930.html"/><Relationship Id="rId148" Type="http://schemas.openxmlformats.org/officeDocument/2006/relationships/aFChunk" Target="altChunk5d87c0e8.html"/><Relationship Id="rId149" Type="http://schemas.openxmlformats.org/officeDocument/2006/relationships/aFChunk" Target="altChunkbffa75e2.html"/><Relationship Id="rId150" Type="http://schemas.openxmlformats.org/officeDocument/2006/relationships/aFChunk" Target="altChunka5331147.html"/><Relationship Id="rId151" Type="http://schemas.openxmlformats.org/officeDocument/2006/relationships/aFChunk" Target="altChunk80e8d8ad.html"/><Relationship Id="rId152" Type="http://schemas.openxmlformats.org/officeDocument/2006/relationships/aFChunk" Target="altChunkc3415f18.html"/><Relationship Id="rId153" Type="http://schemas.openxmlformats.org/officeDocument/2006/relationships/aFChunk" Target="altChunkd8874326.html"/><Relationship Id="rId154" Type="http://schemas.openxmlformats.org/officeDocument/2006/relationships/aFChunk" Target="altChunk91471ab2.html"/><Relationship Id="rId155" Type="http://schemas.openxmlformats.org/officeDocument/2006/relationships/aFChunk" Target="altChunk649bbbda.html"/><Relationship Id="rId156" Type="http://schemas.openxmlformats.org/officeDocument/2006/relationships/aFChunk" Target="altChunkf858832c.html"/><Relationship Id="rId157" Type="http://schemas.openxmlformats.org/officeDocument/2006/relationships/aFChunk" Target="altChunke7218847.html"/><Relationship Id="rId158" Type="http://schemas.openxmlformats.org/officeDocument/2006/relationships/aFChunk" Target="altChunkebe4d2eb.html"/><Relationship Id="rId159" Type="http://schemas.openxmlformats.org/officeDocument/2006/relationships/aFChunk" Target="altChunk00cd9030.html"/><Relationship Id="rId160" Type="http://schemas.openxmlformats.org/officeDocument/2006/relationships/aFChunk" Target="altChunka672e2ff.html"/><Relationship Id="rId161" Type="http://schemas.openxmlformats.org/officeDocument/2006/relationships/aFChunk" Target="altChunk7e4a83f3.html"/><Relationship Id="rId162" Type="http://schemas.openxmlformats.org/officeDocument/2006/relationships/aFChunk" Target="altChunk48c7baa2.html"/><Relationship Id="rId163" Type="http://schemas.openxmlformats.org/officeDocument/2006/relationships/aFChunk" Target="altChunkf23cb155.html"/><Relationship Id="rId164" Type="http://schemas.openxmlformats.org/officeDocument/2006/relationships/aFChunk" Target="altChunk01760d81.html"/><Relationship Id="rId165" Type="http://schemas.openxmlformats.org/officeDocument/2006/relationships/aFChunk" Target="altChunkd101c892.html"/><Relationship Id="rId166" Type="http://schemas.openxmlformats.org/officeDocument/2006/relationships/aFChunk" Target="altChunk5fb26afa.html"/><Relationship Id="rId167" Type="http://schemas.openxmlformats.org/officeDocument/2006/relationships/aFChunk" Target="altChunke8c253bb.html"/><Relationship Id="rId168" Type="http://schemas.openxmlformats.org/officeDocument/2006/relationships/aFChunk" Target="altChunk6c472b6c.html"/><Relationship Id="rId169" Type="http://schemas.openxmlformats.org/officeDocument/2006/relationships/aFChunk" Target="altChunk8e0b7dd7.html"/><Relationship Id="rId170" Type="http://schemas.openxmlformats.org/officeDocument/2006/relationships/aFChunk" Target="altChunk1418c401.html"/><Relationship Id="rId171" Type="http://schemas.openxmlformats.org/officeDocument/2006/relationships/aFChunk" Target="altChunk14d8891c.html"/><Relationship Id="rId172" Type="http://schemas.openxmlformats.org/officeDocument/2006/relationships/aFChunk" Target="altChunk9400b61e.html"/><Relationship Id="rId173" Type="http://schemas.openxmlformats.org/officeDocument/2006/relationships/aFChunk" Target="altChunkf540ab64.html"/><Relationship Id="rId174" Type="http://schemas.openxmlformats.org/officeDocument/2006/relationships/aFChunk" Target="altChunk9296de99.html"/><Relationship Id="rId175" Type="http://schemas.openxmlformats.org/officeDocument/2006/relationships/aFChunk" Target="altChunkea66861f.html"/><Relationship Id="rId176" Type="http://schemas.openxmlformats.org/officeDocument/2006/relationships/aFChunk" Target="altChunkefa3d041.html"/><Relationship Id="rId177" Type="http://schemas.openxmlformats.org/officeDocument/2006/relationships/aFChunk" Target="altChunkc8f3fe37.html"/><Relationship Id="rId178" Type="http://schemas.openxmlformats.org/officeDocument/2006/relationships/aFChunk" Target="altChunkd3226cee.html"/><Relationship Id="rId179" Type="http://schemas.openxmlformats.org/officeDocument/2006/relationships/aFChunk" Target="altChunkdb274f53.html"/><Relationship Id="rId180" Type="http://schemas.openxmlformats.org/officeDocument/2006/relationships/aFChunk" Target="altChunk58a51151.html"/><Relationship Id="rId181" Type="http://schemas.openxmlformats.org/officeDocument/2006/relationships/aFChunk" Target="altChunk579c5098.html"/><Relationship Id="rId182" Type="http://schemas.openxmlformats.org/officeDocument/2006/relationships/aFChunk" Target="altChunk675af4da.html"/><Relationship Id="rId183" Type="http://schemas.openxmlformats.org/officeDocument/2006/relationships/aFChunk" Target="altChunkef26f205.html"/><Relationship Id="rId184" Type="http://schemas.openxmlformats.org/officeDocument/2006/relationships/aFChunk" Target="altChunkff496911.html"/><Relationship Id="rId185" Type="http://schemas.openxmlformats.org/officeDocument/2006/relationships/aFChunk" Target="altChunk065b065d.html"/><Relationship Id="rId186" Type="http://schemas.openxmlformats.org/officeDocument/2006/relationships/aFChunk" Target="altChunk9c44cc92.html"/><Relationship Id="rId187" Type="http://schemas.openxmlformats.org/officeDocument/2006/relationships/aFChunk" Target="altChunkaee669b6.html"/><Relationship Id="rId188" Type="http://schemas.openxmlformats.org/officeDocument/2006/relationships/aFChunk" Target="altChunkec0e7fcc.html"/><Relationship Id="rId189" Type="http://schemas.openxmlformats.org/officeDocument/2006/relationships/aFChunk" Target="altChunkdaae59fd.html"/><Relationship Id="rId190" Type="http://schemas.openxmlformats.org/officeDocument/2006/relationships/aFChunk" Target="altChunke03b8a8e.html"/><Relationship Id="rId191" Type="http://schemas.openxmlformats.org/officeDocument/2006/relationships/aFChunk" Target="altChunk30754d57.html"/><Relationship Id="rId192" Type="http://schemas.openxmlformats.org/officeDocument/2006/relationships/aFChunk" Target="altChunk34429659.html"/><Relationship Id="rId193" Type="http://schemas.openxmlformats.org/officeDocument/2006/relationships/aFChunk" Target="altChunk6453ff17.html"/><Relationship Id="rId194" Type="http://schemas.openxmlformats.org/officeDocument/2006/relationships/aFChunk" Target="altChunk0fd0b9a2.html"/><Relationship Id="rId195" Type="http://schemas.openxmlformats.org/officeDocument/2006/relationships/aFChunk" Target="altChunk4257b570.html"/><Relationship Id="rId196" Type="http://schemas.openxmlformats.org/officeDocument/2006/relationships/aFChunk" Target="altChunk37e8f7f5.html"/><Relationship Id="rId197" Type="http://schemas.openxmlformats.org/officeDocument/2006/relationships/aFChunk" Target="altChunk1c1b7eed.html"/><Relationship Id="rId198" Type="http://schemas.openxmlformats.org/officeDocument/2006/relationships/aFChunk" Target="altChunkfbdb7d2e.html"/><Relationship Id="rId199" Type="http://schemas.openxmlformats.org/officeDocument/2006/relationships/aFChunk" Target="altChunkb6238020.html"/><Relationship Id="rId200" Type="http://schemas.openxmlformats.org/officeDocument/2006/relationships/aFChunk" Target="altChunkc680c5ef.html"/><Relationship Id="rId201" Type="http://schemas.openxmlformats.org/officeDocument/2006/relationships/aFChunk" Target="altChunk97238ade.html"/><Relationship Id="rId202" Type="http://schemas.openxmlformats.org/officeDocument/2006/relationships/aFChunk" Target="altChunkc70eff5d.html"/><Relationship Id="rId203" Type="http://schemas.openxmlformats.org/officeDocument/2006/relationships/aFChunk" Target="altChunkb5102aae.html"/><Relationship Id="rId204" Type="http://schemas.openxmlformats.org/officeDocument/2006/relationships/aFChunk" Target="altChunkec07379a.ht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