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74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2775"/>
        <w:gridCol w:w="2925"/>
        <w:gridCol w:w="2625"/>
        <w:gridCol w:w="3240"/>
        <w:tblGridChange w:id="0">
          <w:tblGrid>
            <w:gridCol w:w="3180"/>
            <w:gridCol w:w="2775"/>
            <w:gridCol w:w="2925"/>
            <w:gridCol w:w="2625"/>
            <w:gridCol w:w="3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274e1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b w:val="1"/>
                <w:color w:val="ffffff"/>
                <w:sz w:val="34"/>
                <w:szCs w:val="34"/>
                <w:rtl w:val="0"/>
              </w:rPr>
              <w:t xml:space="preserve">Planejamento da Prova de Conceito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da PoC: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Desafio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Indicadores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Hipóteses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Equipes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Orçamento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Experimento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Macroentregas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Linha do Tempo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Solução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Resultados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Riscos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Stakeholders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 Implementação Pós PoC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