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72"/>
        <w:tblGridChange w:id="0">
          <w:tblGrid>
            <w:gridCol w:w="14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PLANO DE TRABALHO SEMANAL PARA CUMPRIR A SPRINT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executar a(s) issue(s) desta sprint, o Líder será responsável por elaborar com os membros de seu squad o plano de trabalho da sprint em curso</w:t>
      </w: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todos os envolvidos no projeto, seguindo o template [pág 2 e 3]: 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(1º) Informe as ferramentas de interação (meios, apps) que o squad utilizará para se comunicar e desenvolver as tarefas programadas durante a sprint.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(2º) Distribua as tarefas entre os membros do squad (todo residente deve estar vinculado a pelo menos uma tarefa, de modo a assegurar que todos estarão atuando diariamente). Os horários devem ser compatíveis com o período destinado para a residência - 2ª a 6ª, entre 18:50 e 22:00.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(3º) Encontros - indicar as reuniões que serão programadas para a sprint, informando data e hora de início-fim, com quem (residentes do squad; tutor; outro prof. da residência; algum especialista); motivo da reunião. 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(4º) Entregas - definir o que será entregue; a(s) data(s) da(s) entrega(s) intermediárias (resultados das tarefas) ou final (resultado das issues).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(5º) Caso o squad ou um de seus membros encontre algum impedimento (justificado) para realizar uma ou outra tarefa, afetando o plano original, este poderá ser atualizado a qualquer momento pelo líder e informado no grupo de liderança para que um dos professores dê a anuência.</w:t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670"/>
        <w:gridCol w:w="2145"/>
        <w:gridCol w:w="2940"/>
        <w:gridCol w:w="2025"/>
        <w:gridCol w:w="2055"/>
        <w:gridCol w:w="2190"/>
        <w:tblGridChange w:id="0">
          <w:tblGrid>
            <w:gridCol w:w="555"/>
            <w:gridCol w:w="2670"/>
            <w:gridCol w:w="2145"/>
            <w:gridCol w:w="2940"/>
            <w:gridCol w:w="2025"/>
            <w:gridCol w:w="2055"/>
            <w:gridCol w:w="2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01 -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17/05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23/05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</w:tr>
      <w:tr>
        <w:trPr>
          <w:cantSplit w:val="0"/>
          <w:trHeight w:val="582.6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Início dos ajustes do mapa mental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Preenchimento do template de planejamento; Ajuste do mapa mental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Venilson Gomes: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Ajuste da identificação das necessidades</w:t>
              <w:br w:type="textWrapping"/>
              <w:br w:type="textWrapping"/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Thyago Costa: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Ajuste do mapa conceitual; Agendamento com uma especialista no domínio da solução proposta para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validarmos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no 4°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Validar entre si o formulário; Validar com o orientador; Caso necessário validar com outro professor também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Acompanhamento da primeira prévia do formulário; Analise da primeira prévia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Thyago Costa: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Validação do domínio da solução com especialista na área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Thiago dos Santos: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Validação do domínio da solução com especialista na área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Todos: Consolidar o formulário; finalizar a análise;construir o produto de inteligência para disseminação;executar a disseminação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[20/05 19:00 - 21:00: Thiago Dos Santos, Jose Teixeira, Venilson Gomes, Pedro Vitor, Thyago Costa]: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Reunião para planejamento da sprint e tratamentos dos ajustes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[21/05 19:00 - 21:00: Thiago Dos Santos, Jose Teixeira, Venilson Gomes, Pedro Vitor, Thyago Costa]: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Validação do formulário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[22/05 19:00 - 20:00: Thiago Dos Santos, Thyago Costa]: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Entrevista com especialista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[22/05 19:00 - 20:30: Jose Teixeira, Venilson Gomes, Pedro Vitor]: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Início do processo de análise com os primeiros dados coletados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[23/05 19:00 - 20:00: Todos 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Discutir os resultados e criação do produto de inteligência para disseminação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Organização dos diretórios;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Ajustes iniciais no mapa mental;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Mapa mental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Identificação das necessidades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Mapa conceitual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Planejamento da Sprint 6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Versão final do formulário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Início do compartilhamento do formulário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Análise parcial dos dados coletados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Ata de reunião com especialista do assunto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Análise final do formulário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Produto de inteligência para disseminação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Execução da disseminação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30"/>
        <w:gridCol w:w="2640"/>
        <w:gridCol w:w="2085"/>
        <w:gridCol w:w="2580"/>
        <w:gridCol w:w="2355"/>
        <w:gridCol w:w="2070"/>
        <w:tblGridChange w:id="0">
          <w:tblGrid>
            <w:gridCol w:w="645"/>
            <w:gridCol w:w="2130"/>
            <w:gridCol w:w="2640"/>
            <w:gridCol w:w="2085"/>
            <w:gridCol w:w="2580"/>
            <w:gridCol w:w="2355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02 -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27/05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03/06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Apresentação da etapa de disseminação;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Avaliação do resultado obtido através da disseminação;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formulação da etapa de validação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Estudo de contrainteligência em cima dos dados obtidos; Ideação para prevenção e obstrução das possíveis ameaças; Estudo de viabilidade e ferramentas para análise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Thyago Costa, Pedro Vitor: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Documentação da contrainteligência proposta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Thiago da Silva, José Teixeira, Venilson Gomes: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Aplicação da ferramenta de análise de viabilidade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Documentação da análise de viabilidade; Identificação de possíveis refinamentos nos entregáveis; Recapitulação do que foi produzido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Todos: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Montar a apresentação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[27/05 19:00 - 20:30: Thiago Dos Santos, Jose Teixeira, Venilson Gomes, Pedro Vitor, Thyago Costa, Orientador]: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Apresentação e avaliação da disseminação junto ao orientador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[27/05 20:45 - 22:00: Thiago Dos Santos, Jose Teixeira, Venilson Gomes, Pedro Vitor, Thyago Costa]: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Avaliação interna dos pontos levantados e execução da etapa validação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[28/05 19:00 - 20:00: Jose Teixeira, Venilson Gomes, Pedro Vitor, Thyago Costa, Thiago da Silva]: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de acompanhamento diário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[29/05 19:00 - 20:00: Jose Teixeira, Venilson Gomes, Pedro Vitor, Thyago Costa, Thiago da Silva]: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de acompanhamento diário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[29/05 20:15 - 22:00: Pedro Vitor, Thyago Costa]: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para documentação da contrainteligência proposta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[29/05 20:15 - 22:00: Jose Teixeira, Venilson Gomes,Thiago da Silva]: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para aplicação da ferramenta de análise de viabilidade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[31/05 19:00 - 22:00: Jose Teixeira, Venilson Gomes, Pedro Vitor, Thyago Costa, Thiago da Silva]: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de acompanhamento diário e refinamento dos entregáveis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[03/06 19:00 - 22:00: Jose Teixeira, Venilson Gomes, Pedro Vitor, Thyago Costa, Thiago da Silva]: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Reunião de acompanhamento diário e refinamento dos entregáveis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Consolidação da disseminação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Execução da etapa de validação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Documentação das ameaças identificadas e possíveis soluções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Documentação de contrainteligência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Rascunho inicial da análise de viabilidade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Documentação da análise de viabilidade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Possíveis refinamentos nos entregáveis anteriores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Slide de apresentação referente a Sprint 6 (semanas 3 e 4 do roteiro de inovação tecnológica)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IMLw5GnzM7S/PtFl9TQN+z9iw==">CgMxLjA4AHIhMWV5c3h0MUNVeW9YdC1qUXZZZ1NFVlJZaV9KUHhkdHlr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