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Entregas desta semana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Análise - Fonte 15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Prática de inteligência de mercado que avalia e classifica os dados.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15, template - anexo 18(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Modelos gratuitos de análise competitiva | Smartsheet</w:t>
        </w:r>
      </w:hyperlink>
      <w:r w:rsidDel="00000000" w:rsidR="00000000" w:rsidRPr="00000000">
        <w:rPr>
          <w:b w:val="1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Disseminação - fonte 15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Etapa em que acontece as entregas dos produtos para os tomadores de decisão ou stakeholders.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16, template anexo 19 quebrado o link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Avaliação - fonte 15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Revisão do desenvolvimento de cada etapa anterior e seus resultados alcançados em relação às inteligências geradas.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anexo 17, template anexo 20 (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Indicadores de avaliação na função de inteligência competitiva – Ihub (intelligencehub.com.br)</w:t>
        </w:r>
      </w:hyperlink>
      <w:r w:rsidDel="00000000" w:rsidR="00000000" w:rsidRPr="00000000">
        <w:rPr>
          <w:b w:val="1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smartsheet.com/free-competitor-analysis-template" TargetMode="External"/><Relationship Id="rId7" Type="http://schemas.openxmlformats.org/officeDocument/2006/relationships/hyperlink" Target="https://www.intelligencehub.com.br/indicadores-de-avaliacao-dos-produtos-na-funcao-inteligencia-competiti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