
<file path=[Content_Types].xml><?xml version="1.0" encoding="utf-8"?>
<Types xmlns="http://schemas.openxmlformats.org/package/2006/content-types">
  <Default Extension="jpg" ContentType="image/jpeg"/>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28"/>
        </w:rPr>
        <w:t xml:space="preserve">Efectos neurobiológicos a largo plazo de la exposición a</w:t>
      </w:r>
      <w:r>
        <w:rPr>
          <w:bCs/>
          <w:b/>
          <w:sz w:val="28"/>
        </w:rPr>
        <w:t xml:space="preserve"> </w:t>
      </w:r>
      <w:r>
        <w:rPr>
          <w:iCs/>
          <w:i/>
          <w:bCs/>
          <w:b/>
          <w:sz w:val="28"/>
        </w:rPr>
        <w:t xml:space="preserve">Stevia rebaudiana</w:t>
      </w:r>
      <w:r>
        <w:rPr>
          <w:bCs/>
          <w:b/>
          <w:sz w:val="28"/>
        </w:rPr>
        <w:t xml:space="preserve"> </w:t>
      </w:r>
      <w:r>
        <w:rPr>
          <w:bCs/>
          <w:b/>
          <w:sz w:val="28"/>
        </w:rPr>
        <w:t xml:space="preserve">durante la etapa juvenil y la adultez</w:t>
      </w:r>
    </w:p>
    <w:p>
      <w:pPr>
        <w:pStyle w:val="BodyText"/>
        <w:jc w:val="center"/>
      </w:pPr>
      <w:r>
        <w:t xml:space="preserve">Resumen, Materiales y métodos, Resultados y Discusión</w:t>
      </w:r>
    </w:p>
    <w:p>
      <w:pPr>
        <w:pStyle w:val="BodyText"/>
        <w:jc w:val="center"/>
      </w:pPr>
      <w:r>
        <w:t xml:space="preserve">Thiago Sayegh — IByME-CONICET. Versión para revisión de la Dra. M. S. Kruse, 21 de octubre de 2026</w:t>
      </w:r>
    </w:p>
    <w:p>
      <w:pPr>
        <w:pStyle w:val="BodyText"/>
      </w:pPr>
      <w:r>
        <w:rPr>
          <w:bCs/>
          <w:b/>
        </w:rPr>
        <w:t xml:space="preserve">Cómo leer este documento.</w:t>
      </w:r>
      <w:r>
        <w:t xml:space="preserve"> </w:t>
      </w:r>
      <w:r>
        <w:t xml:space="preserve">Son el Resumen y las secciones 4, 5 y 6 de la tesis, seguidos de su propia lista de referencias (solo las que se citan en estas secciones, numeradas por orden de aparición, por lo que los números difieren de los de la tesis completa). Las referencias a otras secciones conservan la numeración de la tesis. Lo que falta o hay que verificar está marcado entre corchetes: [PENDIENTE: …] y [CONFIRMAR: …].</w:t>
      </w:r>
    </w:p>
    <w:bookmarkStart w:id="20" w:name="resumen"/>
    <w:p>
      <w:pPr>
        <w:pStyle w:val="Heading1"/>
      </w:pPr>
      <w:r>
        <w:t xml:space="preserve">Resumen</w:t>
      </w:r>
    </w:p>
    <w:p>
      <w:pPr>
        <w:pStyle w:val="FirstParagraph"/>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Finalmente, se aplicó un análisis multivariado con aprendizaje automático.</w:t>
      </w:r>
    </w:p>
    <w:p>
      <w:pPr>
        <w:pStyle w:val="BodyText"/>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BodyText"/>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0"/>
    <w:bookmarkStart w:id="40" w:name="materiales-y-métodos"/>
    <w:p>
      <w:pPr>
        <w:pStyle w:val="Heading1"/>
      </w:pPr>
      <w:r>
        <w:t xml:space="preserve">4. Materiales y métodos</w:t>
      </w:r>
    </w:p>
    <w:bookmarkStart w:id="22" w:name="animales-de-experimentación"/>
    <w:p>
      <w:pPr>
        <w:pStyle w:val="Heading2"/>
      </w:pPr>
      <w:r>
        <w:t xml:space="preserve">4.1 Animales de experimentación</w:t>
      </w:r>
    </w:p>
    <w:p>
      <w:pPr>
        <w:pStyle w:val="FirstParagraph"/>
      </w:pPr>
      <w:r>
        <w:t xml:space="preserve">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a 4 animales por caja y mantenidas en un ciclo de 12 h de luz y 12 h de oscuridad, con alimento balanceado (Gepsa, Grupo Pilar S.A., Argentina) y agua disponibles</w:t>
      </w:r>
      <w:r>
        <w:t xml:space="preserve"> </w:t>
      </w:r>
      <w:r>
        <w:rPr>
          <w:iCs/>
          <w:i/>
        </w:rPr>
        <w:t xml:space="preserve">ad libitum</w:t>
      </w:r>
      <w:r>
        <w:t xml:space="preserve">.</w:t>
      </w:r>
    </w:p>
    <w:p>
      <w:pPr>
        <w:pStyle w:val="BodyText"/>
      </w:pPr>
      <w:r>
        <w:t xml:space="preserve">Durante un período de 25 días, ratas de 25 días de edad (PD25; grupo juvenil) y ratas de 75 días de edad (PD75; grupo adulto) tuvieron acceso irrestricto a agua (grupos control) o la opción de beber, además de agua, una solución de sacarosa al 10 % (p/v; grupos sacarosa) o un extracto acuoso de</w:t>
      </w:r>
      <w:r>
        <w:t xml:space="preserve"> </w:t>
      </w:r>
      <w:r>
        <w:rPr>
          <w:iCs/>
          <w:i/>
        </w:rPr>
        <w:t xml:space="preserve">Stevia rebaudiana</w:t>
      </w:r>
      <w:r>
        <w:t xml:space="preserve"> </w:t>
      </w:r>
      <w:r>
        <w:t xml:space="preserve">Bertoni al 4 % (v/v; grupos stevia)</w:t>
      </w:r>
      <w:r>
        <w:t xml:space="preserve"> </w:t>
      </w:r>
      <w:r>
        <w:rPr>
          <w:iCs/>
          <w:i/>
        </w:rPr>
        <w:t xml:space="preserve">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[1, 2]. Al finalizar el protocolo, los animales fueron evaluados en las pruebas conductuales:</w:t>
      </w:r>
      <w:r>
        <w:t xml:space="preserve"> </w:t>
      </w:r>
      <w:r>
        <w:rPr>
          <w:iCs/>
          <w:i/>
        </w:rPr>
        <w:t xml:space="preserve">open field</w:t>
      </w:r>
      <w:r>
        <w:t xml:space="preserve"> </w:t>
      </w:r>
      <w:r>
        <w:t xml:space="preserve">(OF), reconocimiento de objeto novedoso (NOR) y reconocimiento espontáneo de posición (SLR). Luego de las pruebas, un subgrupo de animales de los grupos control y sacarosa fue perfundido para los estudios de inmunocitoquímica (§4.4).</w:t>
      </w:r>
    </w:p>
    <w:p>
      <w:pPr>
        <w:pStyle w:val="BodyText"/>
      </w:pPr>
      <w:r>
        <w:t xml:space="preserve">El consumo de agua, de solución endulzada (sacarosa o stevia) y de alimento se registró día por medio durante todo el período experimental, y el peso corporal, dos veces por semana. El consumo se midió por caja y se normalizó al peso corporal total de los animales alojados en ella (mL o g por g de peso corporal por día); por lo tanto, la caja se consideró la unidad experimental en todos los análisis de consumo.</w:t>
      </w:r>
    </w:p>
    <w:p>
      <w:pPr>
        <w:pStyle w:val="BodyText"/>
        <w:keepNext/>
        <w:jc w:val="center"/>
      </w:pPr>
      <w:r>
        <w:drawing>
          <wp:inline>
            <wp:extent cx="5011199" cy="2125712"/>
            <wp:effectExtent b="0" l="0" r="0" t="0"/>
            <wp:docPr descr="image" title="" id="1" name="Picture"/>
            <a:graphic>
              <a:graphicData uri="http://schemas.openxmlformats.org/drawingml/2006/picture">
                <pic:pic>
                  <pic:nvPicPr>
                    <pic:cNvPr descr="img/tikz_fig_linea-temporal.png" id="0" name="Picture"/>
                    <pic:cNvPicPr>
                      <a:picLocks noChangeArrowheads="1" noChangeAspect="1"/>
                    </pic:cNvPicPr>
                  </pic:nvPicPr>
                  <pic:blipFill>
                    <a:blip r:embed="rId21"/>
                    <a:stretch>
                      <a:fillRect/>
                    </a:stretch>
                  </pic:blipFill>
                  <pic:spPr bwMode="auto">
                    <a:xfrm>
                      <a:off x="0" y="0"/>
                      <a:ext cx="5011199" cy="2125712"/>
                    </a:xfrm>
                    <a:prstGeom prst="rect">
                      <a:avLst/>
                    </a:prstGeom>
                    <a:noFill/>
                    <a:ln w="9525">
                      <a:noFill/>
                      <a:headEnd/>
                      <a:tailEnd/>
                    </a:ln>
                  </pic:spPr>
                </pic:pic>
              </a:graphicData>
            </a:graphic>
          </wp:inline>
        </w:drawing>
      </w:r>
    </w:p>
    <w:p>
      <w:pPr>
        <w:pStyle w:val="BodyText"/>
        <w:spacing w:after="240"/>
      </w:pPr>
      <w:r>
        <w:rPr>
          <w:bCs/>
          <w:b/>
          <w:sz w:val="19"/>
        </w:rPr>
        <w:t xml:space="preserve">Figura 4.1.</w:t>
      </w:r>
      <w:r>
        <w:rPr>
          <w:sz w:val="19"/>
        </w:rPr>
        <w:t xml:space="preserve"> </w:t>
      </w:r>
      <w:r>
        <w:rPr>
          <w:sz w:val="19"/>
        </w:rPr>
        <w:t xml:space="preserve">Línea temporal de los procedimientos experimentales. Durante 25 días, ratas PD25 (grupo juvenil) y PD75 (grupo adulto) tuvieron acceso irrestricto a agua (control) o la opción de beber, además de agua, una solución de sacarosa al 10 % o un extracto de stevia al 4 %. Luego, todos los animales bebieron únicamente agua durante otros 25 días, tras lo cual se realizaron las pruebas conductuales y los estudios de inmunocitoquímica.</w:t>
      </w:r>
    </w:p>
    <w:bookmarkEnd w:id="22"/>
    <w:bookmarkStart w:id="23" w:name="Xb5f353fc62361e09f2f036733619f27ae1e46bd"/>
    <w:p>
      <w:pPr>
        <w:pStyle w:val="Heading2"/>
      </w:pPr>
      <w:r>
        <w:t xml:space="preserve">4.2 Preparación y caracterización de la infusión de stevia</w:t>
      </w:r>
    </w:p>
    <w:p>
      <w:pPr>
        <w:pStyle w:val="FirstParagraph"/>
      </w:pPr>
      <w:r>
        <w:t xml:space="preserve">Las hojas de</w:t>
      </w:r>
      <w:r>
        <w:t xml:space="preserve"> </w:t>
      </w:r>
      <w:r>
        <w:rPr>
          <w:iCs/>
          <w:i/>
        </w:rPr>
        <w:t xml:space="preserve">Stevia rebaudiana</w:t>
      </w:r>
      <w:r>
        <w:t xml:space="preserve"> </w:t>
      </w:r>
      <w:r>
        <w:t xml:space="preserve">Bertoni se obtuvieron de Caña Dulce</w:t>
      </w:r>
      <w:r>
        <w:t xml:space="preserve"> </w:t>
      </w:r>
      <w:r>
        <w:t xml:space="preserve">(San Ignacio, Misiones, Argentina), con certificación de Argencert, Argentina (R.P.A.A. N.º MI000348 y R.P.E.A. N.º MI000097). El extracto de stevia se preparó según un método descrito previamente [3], adaptado de Sharma et al. [4], elegido por su alto rendimiento de glucósidos de esteviol [5] y por su similitud con los procedimientos de preparación orientados a la salud. Se hirvieron 20 g de hojas de stevia en 1 L de agua durante 10 min, se dejó reposar 20 min, se filtró y se volvió a hervir durante 45–50 min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[1–3, 6].</w:t>
      </w:r>
    </w:p>
    <w:p>
      <w:pPr>
        <w:pStyle w:val="BodyText"/>
      </w:pPr>
      <w:r>
        <w:t xml:space="preserve">La caracterización química del extracto de stevia fue realizada por el Laboratorio Central de la Facultad de Ciencias Exactas, Químicas y Naturales (FCEQyN) de la Universidad Nacional de Misiones (Argentina), siguiendo protocolos establecidos [5, 7]. El contenido de glucósidos de esteviol se determinó por cromatografía líquida de alta eficacia (HPLC). Los compuestos fenólicos totales y los taninos se cuantificaron con un espectrofotocolorímetro y la actividad antioxidante se evaluó mediante el ensayo de captación del radical 2,2-difenil-1-picrilhidrazilo (DPPH). La composición del extracto se resume en la Tabla 4.1.</w:t>
      </w:r>
    </w:p>
    <w:p>
      <w:pPr>
        <w:pStyle w:val="BodyText"/>
        <w:keepNext/>
      </w:pPr>
      <w:r>
        <w:rPr>
          <w:bCs/>
          <w:b/>
          <w:sz w:val="19"/>
        </w:rPr>
        <w:t xml:space="preserve">Tabla 4.1.</w:t>
      </w:r>
      <w:r>
        <w:rPr>
          <w:sz w:val="19"/>
        </w:rPr>
        <w:t xml:space="preserve"> </w:t>
      </w:r>
      <w:r>
        <w:rPr>
          <w:sz w:val="19"/>
        </w:rPr>
        <w:t xml:space="preserve">Composición química del extracto de stevia. Los valores se expresan como media ± SEM (</w:t>
      </w:r>
      <w:r>
        <w:rPr>
          <w:iCs/>
          <w:i/>
          <w:sz w:val="19"/>
        </w:rPr>
        <w:t xml:space="preserve">n</w:t>
      </w:r>
      <w:r>
        <w:rPr>
          <w:sz w:val="19"/>
        </w:rPr>
        <w:t xml:space="preserve"> </w:t>
      </w:r>
      <w:r>
        <w:rPr>
          <w:sz w:val="19"/>
        </w:rPr>
        <w:t xml:space="preserve">= 3). DPPH: 2,2-difenil-1-picrilhidrazilo; GAE: equivalentes de ácido gálico; QE: equivalentes de quercetina; IC</w:t>
      </w:r>
      <w:r>
        <w:rPr>
          <w:sz w:val="19"/>
          <w:vertAlign w:val="subscript"/>
        </w:rPr>
        <w:t xml:space="preserve">50</w:t>
      </w:r>
      <w:r>
        <w:rPr>
          <w:sz w:val="19"/>
        </w:rPr>
        <w:t xml:space="preserve">: concentración inhibitoria media.</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4300"/>
        <w:gridCol w:w="4770"/>
      </w:tblGrid>
      <w:tr>
        <w:trPr>
          <w:cantSplit/>
        </w:trPr>
        <w:tc>
          <w:tcPr>
            <w:tcW w:w="4300" w:type="dxa"/>
            <w:tcBorders>
              <w:bottom w:val="single" w:sz="8" w:space="0" w:color="000000"/>
            </w:tcBorders>
          </w:tcPr>
          <w:p>
            <w:pPr>
              <w:pStyle w:val="Compact"/>
              <w:keepNext/>
              <w:spacing w:before="20" w:after="20"/>
              <w:jc w:val="left"/>
            </w:pPr>
            <w:r>
              <w:rPr>
                <w:bCs/>
                <w:b/>
                <w:sz w:val="20"/>
              </w:rPr>
              <w:t xml:space="preserve">Componente</w:t>
            </w:r>
          </w:p>
        </w:tc>
        <w:tc>
          <w:tcPr>
            <w:tcW w:w="4770" w:type="dxa"/>
            <w:tcBorders>
              <w:bottom w:val="single" w:sz="8" w:space="0" w:color="000000"/>
            </w:tcBorders>
          </w:tcPr>
          <w:p>
            <w:pPr>
              <w:pStyle w:val="Compact"/>
              <w:keepNext/>
              <w:spacing w:before="20" w:after="20"/>
              <w:jc w:val="center"/>
            </w:pPr>
            <w:r>
              <w:rPr>
                <w:bCs/>
                <w:b/>
                <w:sz w:val="20"/>
              </w:rPr>
              <w:t xml:space="preserve">Valor</w:t>
            </w:r>
          </w:p>
        </w:tc>
      </w:tr>
      <w:tr>
        <w:trPr>
          <w:cantSplit/>
        </w:trPr>
        <w:tc>
          <w:tcPr>
            <w:tcW w:w="4300" w:type="dxa"/>
          </w:tcPr>
          <w:p>
            <w:pPr>
              <w:pStyle w:val="Compact"/>
              <w:keepNext/>
              <w:spacing w:before="20" w:after="20"/>
              <w:jc w:val="left"/>
            </w:pPr>
            <w:r>
              <w:rPr>
                <w:sz w:val="20"/>
              </w:rPr>
              <w:t xml:space="preserve">Esteviósido</w:t>
            </w:r>
          </w:p>
        </w:tc>
        <w:tc>
          <w:tcPr>
            <w:tcW w:w="4770" w:type="dxa"/>
          </w:tcPr>
          <w:p>
            <w:pPr>
              <w:pStyle w:val="Compact"/>
              <w:keepNext/>
              <w:spacing w:before="20" w:after="20"/>
              <w:jc w:val="center"/>
            </w:pPr>
            <w:r>
              <w:rPr>
                <w:sz w:val="20"/>
              </w:rPr>
              <w:t xml:space="preserve">3,80 ± 0,29 mg/mL</w:t>
            </w:r>
          </w:p>
        </w:tc>
      </w:tr>
      <w:tr>
        <w:trPr>
          <w:cantSplit/>
        </w:trPr>
        <w:tc>
          <w:tcPr>
            <w:tcW w:w="4300" w:type="dxa"/>
          </w:tcPr>
          <w:p>
            <w:pPr>
              <w:pStyle w:val="Compact"/>
              <w:keepNext/>
              <w:spacing w:before="20" w:after="20"/>
              <w:jc w:val="left"/>
            </w:pPr>
            <w:r>
              <w:rPr>
                <w:sz w:val="20"/>
              </w:rPr>
              <w:t xml:space="preserve">Rebaudiósido A</w:t>
            </w:r>
          </w:p>
        </w:tc>
        <w:tc>
          <w:tcPr>
            <w:tcW w:w="4770" w:type="dxa"/>
          </w:tcPr>
          <w:p>
            <w:pPr>
              <w:pStyle w:val="Compact"/>
              <w:keepNext/>
              <w:spacing w:before="20" w:after="20"/>
              <w:jc w:val="center"/>
            </w:pPr>
            <w:r>
              <w:rPr>
                <w:sz w:val="20"/>
              </w:rPr>
              <w:t xml:space="preserve">1,47 ± 0,10 mg/mL</w:t>
            </w:r>
          </w:p>
        </w:tc>
      </w:tr>
      <w:tr>
        <w:trPr>
          <w:cantSplit/>
        </w:trPr>
        <w:tc>
          <w:tcPr>
            <w:tcW w:w="4300" w:type="dxa"/>
          </w:tcPr>
          <w:p>
            <w:pPr>
              <w:pStyle w:val="Compact"/>
              <w:keepNext/>
              <w:spacing w:before="20" w:after="20"/>
              <w:jc w:val="left"/>
            </w:pPr>
            <w:r>
              <w:rPr>
                <w:sz w:val="20"/>
              </w:rPr>
              <w:t xml:space="preserve">Rebaudiósido C</w:t>
            </w:r>
          </w:p>
        </w:tc>
        <w:tc>
          <w:tcPr>
            <w:tcW w:w="4770" w:type="dxa"/>
          </w:tcPr>
          <w:p>
            <w:pPr>
              <w:pStyle w:val="Compact"/>
              <w:keepNext/>
              <w:spacing w:before="20" w:after="20"/>
              <w:jc w:val="center"/>
            </w:pPr>
            <w:r>
              <w:rPr>
                <w:sz w:val="20"/>
              </w:rPr>
              <w:t xml:space="preserve">0,25 ± 0,02 mg/mL</w:t>
            </w:r>
          </w:p>
        </w:tc>
      </w:tr>
      <w:tr>
        <w:trPr>
          <w:cantSplit/>
        </w:trPr>
        <w:tc>
          <w:tcPr>
            <w:tcW w:w="4300" w:type="dxa"/>
          </w:tcPr>
          <w:p>
            <w:pPr>
              <w:pStyle w:val="Compact"/>
              <w:keepNext/>
              <w:spacing w:before="20" w:after="20"/>
              <w:jc w:val="left"/>
            </w:pPr>
            <w:r>
              <w:rPr>
                <w:sz w:val="20"/>
              </w:rPr>
              <w:t xml:space="preserve">Glucósidos de esteviol totales</w:t>
            </w:r>
          </w:p>
        </w:tc>
        <w:tc>
          <w:tcPr>
            <w:tcW w:w="4770" w:type="dxa"/>
          </w:tcPr>
          <w:p>
            <w:pPr>
              <w:pStyle w:val="Compact"/>
              <w:keepNext/>
              <w:spacing w:before="20" w:after="20"/>
              <w:jc w:val="center"/>
            </w:pPr>
            <w:r>
              <w:rPr>
                <w:sz w:val="20"/>
              </w:rPr>
              <w:t xml:space="preserve">5,52 ± 0,42 mg/mL</w:t>
            </w:r>
          </w:p>
        </w:tc>
      </w:tr>
      <w:tr>
        <w:trPr>
          <w:cantSplit/>
        </w:trPr>
        <w:tc>
          <w:tcPr>
            <w:tcW w:w="4300" w:type="dxa"/>
          </w:tcPr>
          <w:p>
            <w:pPr>
              <w:pStyle w:val="Compact"/>
              <w:keepNext/>
              <w:spacing w:before="20" w:after="20"/>
              <w:jc w:val="left"/>
            </w:pPr>
            <w:r>
              <w:rPr>
                <w:sz w:val="20"/>
              </w:rPr>
              <w:t xml:space="preserve">Fenoles</w:t>
            </w:r>
          </w:p>
        </w:tc>
        <w:tc>
          <w:tcPr>
            <w:tcW w:w="4770" w:type="dxa"/>
          </w:tcPr>
          <w:p>
            <w:pPr>
              <w:pStyle w:val="Compact"/>
              <w:keepNext/>
              <w:spacing w:before="20" w:after="20"/>
              <w:jc w:val="center"/>
            </w:pPr>
            <w:r>
              <w:rPr>
                <w:sz w:val="20"/>
              </w:rPr>
              <w:t xml:space="preserve">2,99 ± 0,38 mg GAE/mL de extracto</w:t>
            </w:r>
          </w:p>
        </w:tc>
      </w:tr>
      <w:tr>
        <w:trPr>
          <w:cantSplit/>
        </w:trPr>
        <w:tc>
          <w:tcPr>
            <w:tcW w:w="4300" w:type="dxa"/>
          </w:tcPr>
          <w:p>
            <w:pPr>
              <w:pStyle w:val="Compact"/>
              <w:keepNext/>
              <w:spacing w:before="20" w:after="20"/>
              <w:jc w:val="left"/>
            </w:pPr>
            <w:r>
              <w:rPr>
                <w:sz w:val="20"/>
              </w:rPr>
              <w:t xml:space="preserve">Flavonoides</w:t>
            </w:r>
          </w:p>
        </w:tc>
        <w:tc>
          <w:tcPr>
            <w:tcW w:w="4770" w:type="dxa"/>
          </w:tcPr>
          <w:p>
            <w:pPr>
              <w:pStyle w:val="Compact"/>
              <w:keepNext/>
              <w:spacing w:before="20" w:after="20"/>
              <w:jc w:val="center"/>
            </w:pPr>
            <w:r>
              <w:rPr>
                <w:sz w:val="20"/>
              </w:rPr>
              <w:t xml:space="preserve">1,49 ± 0,17 mg QE/mL de extracto</w:t>
            </w:r>
          </w:p>
        </w:tc>
      </w:tr>
      <w:tr>
        <w:trPr>
          <w:cantSplit/>
        </w:trPr>
        <w:tc>
          <w:tcPr>
            <w:tcW w:w="4300" w:type="dxa"/>
          </w:tcPr>
          <w:p>
            <w:pPr>
              <w:pStyle w:val="Compact"/>
              <w:keepNext/>
              <w:spacing w:before="20" w:after="20"/>
              <w:jc w:val="left"/>
            </w:pPr>
            <w:r>
              <w:rPr>
                <w:sz w:val="20"/>
              </w:rPr>
              <w:t xml:space="preserve">Taninos</w:t>
            </w:r>
          </w:p>
        </w:tc>
        <w:tc>
          <w:tcPr>
            <w:tcW w:w="4770" w:type="dxa"/>
          </w:tcPr>
          <w:p>
            <w:pPr>
              <w:pStyle w:val="Compact"/>
              <w:keepNext/>
              <w:spacing w:before="20" w:after="20"/>
              <w:jc w:val="center"/>
            </w:pPr>
            <w:r>
              <w:rPr>
                <w:sz w:val="20"/>
              </w:rPr>
              <w:t xml:space="preserve">1,73 ± 0,11 mg GAE/mL de extracto</w:t>
            </w:r>
          </w:p>
        </w:tc>
      </w:tr>
      <w:tr>
        <w:trPr>
          <w:cantSplit/>
        </w:trPr>
        <w:tc>
          <w:tcPr>
            <w:tcW w:w="4300" w:type="dxa"/>
          </w:tcPr>
          <w:p>
            <w:pPr>
              <w:pStyle w:val="Compact"/>
              <w:spacing w:before="20" w:after="20"/>
              <w:jc w:val="left"/>
            </w:pPr>
            <w:r>
              <w:rPr>
                <w:sz w:val="20"/>
              </w:rPr>
              <w:t xml:space="preserve">Actividad antioxidante (DPPH), IC</w:t>
            </w:r>
            <w:r>
              <w:rPr>
                <w:vertAlign w:val="subscript"/>
                <w:sz w:val="20"/>
              </w:rPr>
              <w:t xml:space="preserve">50</w:t>
            </w:r>
          </w:p>
        </w:tc>
        <w:tc>
          <w:tcPr>
            <w:tcW w:w="4770" w:type="dxa"/>
          </w:tcPr>
          <w:p>
            <w:pPr>
              <w:pStyle w:val="Compact"/>
              <w:spacing w:before="20" w:after="20"/>
              <w:jc w:val="center"/>
            </w:pPr>
            <w:r>
              <w:rPr>
                <w:sz w:val="20"/>
              </w:rPr>
              <w:t xml:space="preserve">14,04 ± 0,56 µg/mL</w:t>
            </w:r>
          </w:p>
        </w:tc>
      </w:tr>
    </w:tbl>
    <w:bookmarkEnd w:id="23"/>
    <w:bookmarkStart w:id="34" w:name="procedimientos-conductuales"/>
    <w:p>
      <w:pPr>
        <w:pStyle w:val="Heading2"/>
      </w:pPr>
      <w:r>
        <w:t xml:space="preserve">4.3 Procedimientos conductuales</w:t>
      </w:r>
    </w:p>
    <w:p>
      <w:pPr>
        <w:pStyle w:val="FirstParagraph"/>
      </w:pPr>
      <w:r>
        <w:t xml:space="preserve">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bookmarkStart w:id="25" w:name="open-field-of"/>
    <w:p>
      <w:pPr>
        <w:pStyle w:val="Heading3"/>
      </w:pPr>
      <w:r>
        <w:t xml:space="preserve">4.3.1</w:t>
      </w:r>
      <w:r>
        <w:t xml:space="preserve"> </w:t>
      </w:r>
      <w:r>
        <w:rPr>
          <w:iCs/>
          <w:i/>
        </w:rPr>
        <w:t xml:space="preserve">Open field</w:t>
      </w:r>
      <w:r>
        <w:t xml:space="preserve"> </w:t>
      </w:r>
      <w:r>
        <w:t xml:space="preserve">(OF)</w:t>
      </w:r>
    </w:p>
    <w:p>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[1]. Se registró además el</w:t>
      </w:r>
      <w:r>
        <w:t xml:space="preserve"> </w:t>
      </w:r>
      <w:r>
        <w:rPr>
          <w:iCs/>
          <w:i/>
        </w:rPr>
        <w:t xml:space="preserve">rearing</w:t>
      </w:r>
      <w:r>
        <w:t xml:space="preserve">, una conducta de exploración vertical en la que el animal se incorpora sobre las patas traseras [8], como número de eventos y tiempo total.</w:t>
      </w:r>
    </w:p>
    <w:p>
      <w:pPr>
        <w:pStyle w:val="BodyText"/>
        <w:keepNext/>
        <w:jc w:val="center"/>
      </w:pPr>
      <w:r>
        <w:drawing>
          <wp:inline>
            <wp:extent cx="2073599" cy="1876965"/>
            <wp:effectExtent b="0" l="0" r="0" t="0"/>
            <wp:docPr descr="image" title="" id="1" name="Picture"/>
            <a:graphic>
              <a:graphicData uri="http://schemas.openxmlformats.org/drawingml/2006/picture">
                <pic:pic>
                  <pic:nvPicPr>
                    <pic:cNvPr descr="img/Fig4_OF_zonas.png" id="0" name="Picture"/>
                    <pic:cNvPicPr>
                      <a:picLocks noChangeArrowheads="1" noChangeAspect="1"/>
                    </pic:cNvPicPr>
                  </pic:nvPicPr>
                  <pic:blipFill>
                    <a:blip r:embed="rId24"/>
                    <a:stretch>
                      <a:fillRect/>
                    </a:stretch>
                  </pic:blipFill>
                  <pic:spPr bwMode="auto">
                    <a:xfrm>
                      <a:off x="0" y="0"/>
                      <a:ext cx="2073599" cy="1876965"/>
                    </a:xfrm>
                    <a:prstGeom prst="rect">
                      <a:avLst/>
                    </a:prstGeom>
                    <a:noFill/>
                    <a:ln w="9525">
                      <a:noFill/>
                      <a:headEnd/>
                      <a:tailEnd/>
                    </a:ln>
                  </pic:spPr>
                </pic:pic>
              </a:graphicData>
            </a:graphic>
          </wp:inline>
        </w:drawing>
      </w:r>
    </w:p>
    <w:p>
      <w:pPr>
        <w:pStyle w:val="BodyText"/>
        <w:spacing w:after="240"/>
      </w:pPr>
      <w:r>
        <w:rPr>
          <w:bCs/>
          <w:b/>
          <w:sz w:val="19"/>
        </w:rPr>
        <w:t xml:space="preserve">Figura 4.2.</w:t>
      </w:r>
      <w:r>
        <w:rPr>
          <w:sz w:val="19"/>
        </w:rPr>
        <w:t xml:space="preserve"> </w:t>
      </w:r>
      <w:r>
        <w:rPr>
          <w:sz w:val="19"/>
        </w:rPr>
        <w:t xml:space="preserve">Aparato de</w:t>
      </w:r>
      <w:r>
        <w:rPr>
          <w:sz w:val="19"/>
        </w:rPr>
        <w:t xml:space="preserve"> </w:t>
      </w:r>
      <w:r>
        <w:rPr>
          <w:iCs/>
          <w:i/>
          <w:sz w:val="19"/>
        </w:rPr>
        <w:t xml:space="preserve">open field</w:t>
      </w:r>
      <w:r>
        <w:rPr>
          <w:sz w:val="19"/>
        </w:rPr>
        <w:t xml:space="preserve"> </w:t>
      </w:r>
      <w:r>
        <w:rPr>
          <w:sz w:val="19"/>
        </w:rPr>
        <w:t xml:space="preserve">(OF) y zonas de registro: captura cenital de AnyMaze© de la arena (75 cm de lado), con la cuadrícula del piso (cuadrados de 15 cm de lado) y las tres zonas definidas digitalmente: central (1), intermedia (2) y periférica (3).</w:t>
      </w:r>
    </w:p>
    <w:bookmarkEnd w:id="25"/>
    <w:bookmarkStart w:id="29" w:name="reconocimiento-de-objeto-novedoso-nor"/>
    <w:p>
      <w:pPr>
        <w:pStyle w:val="Heading3"/>
      </w:pPr>
      <w:r>
        <w:t xml:space="preserve">4.3.2 Reconocimiento de objeto novedoso (NOR)</w:t>
      </w:r>
    </w:p>
    <w:p>
      <w:pPr>
        <w:pStyle w:val="FirstParagraph"/>
      </w:pPr>
      <w:r>
        <w:t xml:space="preserve">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[9, 10]. Brevemente, durante la semana previa a la prueba las ratas fueron manipuladas una vez al día durante 3 días consecutivos. Tres días antes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 Todas las combinaciones y ubicaciones de los objetos se contrabalancearon para reducir el posible sesgo causado por la preferencia por ubicaciones u objetos particulares. Las sesiones T1 a T4 se grabaron en video y se analizaron los cruces de línea con el software AnyMaze© (Stoelting Co., Wood Dale, IL, EE. UU.). El tiempo que las ratas dedicaron a explorar cada objeto durante T1 a T4 fue registrado manualmente por un único experimentador que desconocía la asignación de los grupos. La exploración se definió de la siguiente manera: dirigir la nariz hacia el objeto a una distancia de 2 cm o menos y/o tocar el objeto con la nariz. Dar vueltas alrededor del objeto o sentarse sobre él no se consideró comportamiento exploratorio. Los datos se informan como la tasa de exploración, que es el tiempo dedicado a explorar el objeto novedoso (</w:t>
      </w:r>
      <w:r>
        <w:rPr>
          <w:iCs/>
          <w:i/>
        </w:rPr>
        <w:t xml:space="preserve">t</w:t>
      </w:r>
      <w:r>
        <w:rPr>
          <w:vertAlign w:val="subscript"/>
        </w:rPr>
        <w:t xml:space="preserve">N</w:t>
      </w:r>
      <w:r>
        <w:t xml:space="preserve">) dividido por el tiempo dedicado a explorar ambos objetos:</w:t>
      </w:r>
    </w:p>
    <w:p>
      <w:pPr>
        <w:pStyle w:val="BodyText"/>
      </w:pPr>
      <m:oMathPara>
        <m:oMathParaPr>
          <m:jc m:val="center"/>
        </m:oMathParaPr>
        <m:oMath>
          <m:r>
            <m:rPr>
              <m:nor/>
              <m:sty m:val="p"/>
            </m:rPr>
            <m:t>tasa de exploración</m:t>
          </m:r>
          <m:r>
            <m:rPr>
              <m:sty m:val="p"/>
            </m:rPr>
            <m:t>=</m:t>
          </m:r>
          <m:f>
            <m:fPr>
              <m:type m:val="bar"/>
            </m:fPr>
            <m:num>
              <m:sSub>
                <m:e>
                  <m:r>
                    <m:t>t</m:t>
                  </m:r>
                </m:e>
                <m:sub>
                  <m:r>
                    <m:t>N</m:t>
                  </m:r>
                </m:sub>
              </m:sSub>
            </m:num>
            <m:den>
              <m:sSub>
                <m:e>
                  <m:r>
                    <m:t>t</m:t>
                  </m:r>
                </m:e>
                <m:sub>
                  <m:r>
                    <m:t>N</m:t>
                  </m:r>
                </m:sub>
              </m:sSub>
              <m:r>
                <m:rPr>
                  <m:sty m:val="p"/>
                </m:rPr>
                <m:t>+</m:t>
              </m:r>
              <m:sSub>
                <m:e>
                  <m:r>
                    <m:t>t</m:t>
                  </m:r>
                </m:e>
                <m:sub>
                  <m:r>
                    <m:t>F</m:t>
                  </m:r>
                </m:sub>
              </m:sSub>
            </m:den>
          </m:f>
          <m:r>
            <m:rPr>
              <m:sty m:val="p"/>
            </m:rPr>
            <m:t>.</m:t>
          </m:r>
        </m:oMath>
      </m:oMathPara>
    </w:p>
    <w:p>
      <w:pPr>
        <w:pStyle w:val="FirstParagraph"/>
        <w:keepNext/>
        <w:jc w:val="center"/>
      </w:pPr>
      <w:r>
        <w:drawing>
          <wp:inline>
            <wp:extent cx="5183999" cy="1430068"/>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183999" cy="1430068"/>
                    </a:xfrm>
                    <a:prstGeom prst="rect">
                      <a:avLst/>
                    </a:prstGeom>
                    <a:noFill/>
                    <a:ln w="9525">
                      <a:noFill/>
                      <a:headEnd/>
                      <a:tailEnd/>
                    </a:ln>
                  </pic:spPr>
                </pic:pic>
              </a:graphicData>
            </a:graphic>
          </wp:inline>
        </w:drawing>
      </w:r>
    </w:p>
    <w:p>
      <w:pPr>
        <w:pStyle w:val="BodyText"/>
        <w:spacing w:after="240"/>
      </w:pPr>
      <w:r>
        <w:rPr>
          <w:bCs/>
          <w:b/>
          <w:sz w:val="19"/>
        </w:rPr>
        <w:t xml:space="preserve">Figura 4.3.</w:t>
      </w:r>
      <w:r>
        <w:rPr>
          <w:sz w:val="19"/>
        </w:rPr>
        <w:t xml:space="preserve"> </w:t>
      </w:r>
      <w:r>
        <w:rPr>
          <w:sz w:val="19"/>
        </w:rPr>
        <w:t xml:space="preserve">Esquema del protocolo de la prueba NOR. En la fase de muestreo (T1) se presentan dos objetos idénticos (A); en los ensayos de elección, realizados 2 h (T2), 24 h (T3) y 7 días (T4) después de T1, uno de ellos se reemplaza por un objeto novedoso distinto en cada ensayo (B, C y D). Esquema cedido por la Dra. M. S. Kruse.</w:t>
      </w:r>
    </w:p>
    <w:p>
      <w:pPr>
        <w:pStyle w:val="BodyText"/>
        <w:keepNext/>
        <w:jc w:val="center"/>
      </w:pPr>
      <w:r>
        <w:t xml:space="preserve">(A)</w:t>
      </w:r>
      <w:r>
        <w:t xml:space="preserve"> </w:t>
      </w:r>
      <w:r>
        <w:drawing>
          <wp:inline>
            <wp:extent cx="2188799" cy="1294518"/>
            <wp:effectExtent b="0" l="0" r="0" t="0"/>
            <wp:docPr descr="image" title="" id="1" name="Picture"/>
            <a:graphic>
              <a:graphicData uri="http://schemas.openxmlformats.org/drawingml/2006/picture">
                <pic:pic>
                  <pic:nvPicPr>
                    <pic:cNvPr descr="img/Fig4_NOR_objetos_iguales_recortada.png" id="0" name="Picture"/>
                    <pic:cNvPicPr>
                      <a:picLocks noChangeArrowheads="1" noChangeAspect="1"/>
                    </pic:cNvPicPr>
                  </pic:nvPicPr>
                  <pic:blipFill>
                    <a:blip r:embed="rId27"/>
                    <a:stretch>
                      <a:fillRect/>
                    </a:stretch>
                  </pic:blipFill>
                  <pic:spPr bwMode="auto">
                    <a:xfrm>
                      <a:off x="0" y="0"/>
                      <a:ext cx="2188799" cy="1294518"/>
                    </a:xfrm>
                    <a:prstGeom prst="rect">
                      <a:avLst/>
                    </a:prstGeom>
                    <a:noFill/>
                    <a:ln w="9525">
                      <a:noFill/>
                      <a:headEnd/>
                      <a:tailEnd/>
                    </a:ln>
                  </pic:spPr>
                </pic:pic>
              </a:graphicData>
            </a:graphic>
          </wp:inline>
        </w:drawing>
      </w:r>
      <w:r>
        <w:t xml:space="preserve"> </w:t>
      </w:r>
      <w:r>
        <w:t xml:space="preserve">(B)</w:t>
      </w:r>
      <w:r>
        <w:t xml:space="preserve"> </w:t>
      </w:r>
      <w:r>
        <w:drawing>
          <wp:inline>
            <wp:extent cx="2188799" cy="1294518"/>
            <wp:effectExtent b="0" l="0" r="0" t="0"/>
            <wp:docPr descr="image" title="" id="1" name="Picture"/>
            <a:graphic>
              <a:graphicData uri="http://schemas.openxmlformats.org/drawingml/2006/picture">
                <pic:pic>
                  <pic:nvPicPr>
                    <pic:cNvPr descr="img/Fig4_NOR_objetos_diferentes_recortada.png" id="0" name="Picture"/>
                    <pic:cNvPicPr>
                      <a:picLocks noChangeArrowheads="1" noChangeAspect="1"/>
                    </pic:cNvPicPr>
                  </pic:nvPicPr>
                  <pic:blipFill>
                    <a:blip r:embed="rId28"/>
                    <a:stretch>
                      <a:fillRect/>
                    </a:stretch>
                  </pic:blipFill>
                  <pic:spPr bwMode="auto">
                    <a:xfrm>
                      <a:off x="0" y="0"/>
                      <a:ext cx="2188799" cy="1294518"/>
                    </a:xfrm>
                    <a:prstGeom prst="rect">
                      <a:avLst/>
                    </a:prstGeom>
                    <a:noFill/>
                    <a:ln w="9525">
                      <a:noFill/>
                      <a:headEnd/>
                      <a:tailEnd/>
                    </a:ln>
                  </pic:spPr>
                </pic:pic>
              </a:graphicData>
            </a:graphic>
          </wp:inline>
        </w:drawing>
      </w:r>
    </w:p>
    <w:p>
      <w:pPr>
        <w:pStyle w:val="BodyText"/>
        <w:spacing w:after="240"/>
      </w:pPr>
      <w:r>
        <w:rPr>
          <w:bCs/>
          <w:b/>
          <w:sz w:val="19"/>
        </w:rPr>
        <w:t xml:space="preserve">Figura 4.4.</w:t>
      </w:r>
      <w:r>
        <w:rPr>
          <w:sz w:val="19"/>
        </w:rPr>
        <w:t xml:space="preserve"> </w:t>
      </w:r>
      <w:r>
        <w:rPr>
          <w:sz w:val="19"/>
        </w:rPr>
        <w:t xml:space="preserve">Fases del NOR en vista cenital. (A) Fase de muestreo (T1): dos objetos idénticos. (B) Ensayos de elección (T2 a T4): una copia del objeto familiar y un objeto novedoso.</w:t>
      </w:r>
    </w:p>
    <w:bookmarkEnd w:id="29"/>
    <w:bookmarkStart w:id="32" w:name="Xe97ae87456ffade0f33435ffa16ff2d021c5913"/>
    <w:p>
      <w:pPr>
        <w:pStyle w:val="Heading3"/>
      </w:pPr>
      <w:r>
        <w:t xml:space="preserve">4.3.3 Reconocimiento espontáneo de posición (SLR)</w:t>
      </w:r>
    </w:p>
    <w:p>
      <w:pPr>
        <w:pStyle w:val="FirstParagraph"/>
      </w:pPr>
      <w:r>
        <w:t xml:space="preserve">Este procedimiento se realizó como fue descrito por Reichelt et al. [11, 12].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pPr>
        <w:pStyle w:val="BodyText"/>
      </w:pPr>
      <w:r>
        <w:t xml:space="preserve">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pPr>
        <w:pStyle w:val="BodyText"/>
      </w:pPr>
      <w:r>
        <w:t xml:space="preserve">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Cs/>
          <w:i/>
        </w:rPr>
        <w:t xml:space="preserve">n</w:t>
      </w:r>
      <w:r>
        <w:t xml:space="preserve"> </w:t>
      </w:r>
      <w:r>
        <w:t xml:space="preserve">=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dependiente de la neurogénesis, que la d-SLR [12].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pPr>
        <w:pStyle w:val="BodyText"/>
        <w:keepNext/>
        <w:jc w:val="center"/>
      </w:pPr>
      <w:r>
        <w:drawing>
          <wp:inline>
            <wp:extent cx="5183999" cy="4670428"/>
            <wp:effectExtent b="0" l="0" r="0" t="0"/>
            <wp:docPr descr="image" title="" id="1" name="Picture"/>
            <a:graphic>
              <a:graphicData uri="http://schemas.openxmlformats.org/drawingml/2006/picture">
                <pic:pic>
                  <pic:nvPicPr>
                    <pic:cNvPr descr="img/Fig4_esquema_SLR_demanda.png" id="0" name="Picture"/>
                    <pic:cNvPicPr>
                      <a:picLocks noChangeArrowheads="1" noChangeAspect="1"/>
                    </pic:cNvPicPr>
                  </pic:nvPicPr>
                  <pic:blipFill>
                    <a:blip r:embed="rId30"/>
                    <a:stretch>
                      <a:fillRect/>
                    </a:stretch>
                  </pic:blipFill>
                  <pic:spPr bwMode="auto">
                    <a:xfrm>
                      <a:off x="0" y="0"/>
                      <a:ext cx="5183999" cy="4670428"/>
                    </a:xfrm>
                    <a:prstGeom prst="rect">
                      <a:avLst/>
                    </a:prstGeom>
                    <a:noFill/>
                    <a:ln w="9525">
                      <a:noFill/>
                      <a:headEnd/>
                      <a:tailEnd/>
                    </a:ln>
                  </pic:spPr>
                </pic:pic>
              </a:graphicData>
            </a:graphic>
          </wp:inline>
        </w:drawing>
      </w:r>
    </w:p>
    <w:p>
      <w:pPr>
        <w:pStyle w:val="BodyText"/>
        <w:spacing w:after="240"/>
      </w:pPr>
      <w:r>
        <w:rPr>
          <w:bCs/>
          <w:b/>
          <w:sz w:val="19"/>
        </w:rPr>
        <w:t xml:space="preserve">Figura 4.5.</w:t>
      </w:r>
      <w:r>
        <w:rPr>
          <w:sz w:val="19"/>
        </w:rPr>
        <w:t xml:space="preserve"> </w:t>
      </w:r>
      <w:r>
        <w:rPr>
          <w:sz w:val="19"/>
        </w:rPr>
        <w:t xml:space="preserve">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las señales espaciales, y la flecha indica la mayor demanda cognitiva de la configuración s-SLR. Adaptado de [12].</w:t>
      </w:r>
    </w:p>
    <w:p>
      <w:pPr>
        <w:pStyle w:val="BodyText"/>
        <w:keepNext/>
        <w:jc w:val="center"/>
      </w:pPr>
      <w:r>
        <w:drawing>
          <wp:inline>
            <wp:extent cx="4031999" cy="3016951"/>
            <wp:effectExtent b="0" l="0" r="0" t="0"/>
            <wp:docPr descr="image" title="" id="1" name="Picture"/>
            <a:graphic>
              <a:graphicData uri="http://schemas.openxmlformats.org/drawingml/2006/picture">
                <pic:pic>
                  <pic:nvPicPr>
                    <pic:cNvPr descr="img/Fig4_objetos_SLR.png" id="0" name="Picture"/>
                    <pic:cNvPicPr>
                      <a:picLocks noChangeArrowheads="1" noChangeAspect="1"/>
                    </pic:cNvPicPr>
                  </pic:nvPicPr>
                  <pic:blipFill>
                    <a:blip r:embed="rId31"/>
                    <a:stretch>
                      <a:fillRect/>
                    </a:stretch>
                  </pic:blipFill>
                  <pic:spPr bwMode="auto">
                    <a:xfrm>
                      <a:off x="0" y="0"/>
                      <a:ext cx="4031999" cy="3016951"/>
                    </a:xfrm>
                    <a:prstGeom prst="rect">
                      <a:avLst/>
                    </a:prstGeom>
                    <a:noFill/>
                    <a:ln w="9525">
                      <a:noFill/>
                      <a:headEnd/>
                      <a:tailEnd/>
                    </a:ln>
                  </pic:spPr>
                </pic:pic>
              </a:graphicData>
            </a:graphic>
          </wp:inline>
        </w:drawing>
      </w:r>
    </w:p>
    <w:p>
      <w:pPr>
        <w:pStyle w:val="BodyText"/>
        <w:spacing w:after="240"/>
      </w:pPr>
      <w:r>
        <w:rPr>
          <w:bCs/>
          <w:b/>
          <w:sz w:val="19"/>
        </w:rPr>
        <w:t xml:space="preserve">Figura 4.6.</w:t>
      </w:r>
      <w:r>
        <w:rPr>
          <w:sz w:val="19"/>
        </w:rPr>
        <w:t xml:space="preserve"> </w:t>
      </w:r>
      <w:r>
        <w:rPr>
          <w:sz w:val="19"/>
        </w:rPr>
        <w:t xml:space="preserve">Objetos utilizados en la prueba SLR: tazas con dibujos y ranas de juguete.</w:t>
      </w:r>
    </w:p>
    <w:p>
      <w:pPr>
        <w:pStyle w:val="BodyText"/>
      </w:pPr>
      <w:r>
        <w:t xml:space="preserve">Los datos se informan como el índice de discriminación (DI), que es la diferencia entre el tiempo dedicado a explorar el objeto en la posición novedosa (</w:t>
      </w:r>
      <w:r>
        <w:rPr>
          <w:iCs/>
          <w:i/>
        </w:rPr>
        <w:t xml:space="preserve">t</w:t>
      </w:r>
      <w:r>
        <w:rPr>
          <w:vertAlign w:val="subscript"/>
        </w:rPr>
        <w:t xml:space="preserve">N</w:t>
      </w:r>
      <w:r>
        <w:t xml:space="preserve">) y el tiempo de exploración del objeto en la posición familiar (</w:t>
      </w:r>
      <w:r>
        <w:rPr>
          <w:iCs/>
          <w:i/>
        </w:rPr>
        <w:t xml:space="preserve">t</w:t>
      </w:r>
      <w:r>
        <w:rPr>
          <w:vertAlign w:val="subscript"/>
        </w:rPr>
        <w:t xml:space="preserve">F</w:t>
      </w:r>
      <w:r>
        <w:t xml:space="preserve">), dividida por el tiempo total de exploración de ambos objetos:</w:t>
      </w:r>
    </w:p>
    <w:p>
      <w:pPr>
        <w:pStyle w:val="BodyText"/>
      </w:pPr>
      <m:oMathPara>
        <m:oMathParaPr>
          <m:jc m:val="center"/>
        </m:oMathParaPr>
        <m:oMath>
          <m:r>
            <m:rPr>
              <m:sty m:val="p"/>
            </m:rPr>
            <m:t>D</m:t>
          </m:r>
          <m:r>
            <m:rPr>
              <m:sty m:val="p"/>
            </m:rPr>
            <m:t>I</m:t>
          </m:r>
          <m:r>
            <m:rPr>
              <m:sty m:val="p"/>
            </m:rPr>
            <m:t>=</m:t>
          </m:r>
          <m:f>
            <m:fPr>
              <m:type m:val="bar"/>
            </m:fPr>
            <m:num>
              <m:sSub>
                <m:e>
                  <m:r>
                    <m:t>t</m:t>
                  </m:r>
                </m:e>
                <m:sub>
                  <m:r>
                    <m:t>N</m:t>
                  </m:r>
                </m:sub>
              </m:sSub>
              <m:r>
                <m:rPr>
                  <m:sty m:val="p"/>
                </m:rPr>
                <m:t>−</m:t>
              </m:r>
              <m:sSub>
                <m:e>
                  <m:r>
                    <m:t>t</m:t>
                  </m:r>
                </m:e>
                <m:sub>
                  <m:r>
                    <m:t>F</m:t>
                  </m:r>
                </m:sub>
              </m:sSub>
            </m:num>
            <m:den>
              <m:sSub>
                <m:e>
                  <m:r>
                    <m:t>t</m:t>
                  </m:r>
                </m:e>
                <m:sub>
                  <m:r>
                    <m:t>N</m:t>
                  </m:r>
                </m:sub>
              </m:sSub>
              <m:r>
                <m:rPr>
                  <m:sty m:val="p"/>
                </m:rPr>
                <m:t>+</m:t>
              </m:r>
              <m:sSub>
                <m:e>
                  <m:r>
                    <m:t>t</m:t>
                  </m:r>
                </m:e>
                <m:sub>
                  <m:r>
                    <m:t>F</m:t>
                  </m:r>
                </m:sub>
              </m:sSub>
            </m:den>
          </m:f>
          <m:r>
            <m:rPr>
              <m:sty m:val="p"/>
            </m:rPr>
            <m:t>.</m:t>
          </m:r>
        </m:oMath>
      </m:oMathPara>
    </w:p>
    <w:p>
      <w:pPr>
        <w:pStyle w:val="FirstParagraph"/>
      </w:pPr>
      <w:r>
        <w:t xml:space="preserve">Se informa también la tasa de exploración equivalente (Ecuación 4.1), de la cual el DI es una transformación lineal (DI = 2·tasa − 1). En la fase de muestreo se registraron, además, el tiempo de exploración de cada uno de los tres objetos y la distancia recorrida.</w:t>
      </w:r>
    </w:p>
    <w:bookmarkEnd w:id="32"/>
    <w:bookmarkStart w:id="33" w:name="registro-con-anymaze"/>
    <w:p>
      <w:pPr>
        <w:pStyle w:val="Heading3"/>
      </w:pPr>
      <w:r>
        <w:t xml:space="preserve">4.3.4 Registro con AnyMaze©</w:t>
      </w:r>
    </w:p>
    <w:p>
      <w:pPr>
        <w:pStyle w:val="FirstParagraph"/>
      </w:pPr>
      <w:r>
        <w:t xml:space="preserve">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la velocidad media, los cruces de línea (</w:t>
      </w:r>
      <w:r>
        <w:rPr>
          <w:iCs/>
          <w:i/>
        </w:rPr>
        <w:t xml:space="preserve">line crossings</w:t>
      </w:r>
      <w:r>
        <w:t xml:space="preserve">) sobre una grilla virtual y, mediante zonas definidas por el usuario —regiones de interés trazadas alrededor de cada objeto o sector de la arena—, el número de entradas y el tiempo de permanencia en cada zona.</w:t>
      </w:r>
    </w:p>
    <w:p>
      <w:pPr>
        <w:pStyle w:val="BodyText"/>
      </w:pPr>
      <w:r>
        <w:t xml:space="preserve">Permanecer dentro de la zona de un objeto no equivale a explorarlo: el seguimiento detecta posición, no atención. Un animal que se sienta sobre un objeto, se acicala a su lado o descansa dentro de la zona acumularía</w:t>
      </w:r>
      <w:r>
        <w:t xml:space="preserve"> </w:t>
      </w:r>
      <w:r>
        <w:t xml:space="preserve">“</w:t>
      </w:r>
      <w:r>
        <w:t xml:space="preserve">tiempo en zona</w:t>
      </w:r>
      <w:r>
        <w:t xml:space="preserve">”</w:t>
      </w:r>
      <w:r>
        <w:t xml:space="preserve">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w:t>
      </w:r>
      <w:r>
        <w:t xml:space="preserve"> </w:t>
      </w:r>
      <w:r>
        <w:rPr>
          <w:iCs/>
          <w:i/>
        </w:rPr>
        <w:t xml:space="preserve">rearing</w:t>
      </w:r>
      <w:r>
        <w:t xml:space="preserve"> </w:t>
      </w:r>
      <w:r>
        <w:t xml:space="preserve">del OF se puntuó de la misma 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experimentador desconocía el tratamiento de cada animal y el criterio se mantuvo uniforme.</w:t>
      </w:r>
    </w:p>
    <w:bookmarkEnd w:id="33"/>
    <w:bookmarkEnd w:id="34"/>
    <w:bookmarkStart w:id="37" w:name="Xb71f7db275c89ee5be6e7d9c80109ddbc9394c3"/>
    <w:p>
      <w:pPr>
        <w:pStyle w:val="Heading2"/>
      </w:pPr>
      <w:r>
        <w:t xml:space="preserve">4.4 Inmunocitoquímica y microscopía de fluorescencia (IHC)</w:t>
      </w:r>
    </w:p>
    <w:p>
      <w:pPr>
        <w:pStyle w:val="FirstParagraph"/>
      </w:pPr>
      <w:r>
        <w:t xml:space="preserve">Los animales fueron anestesiados profundamente mediante una inyección intraperitoneal de ketamina-xilacina (120 + 12 mg/kg; Holliday/Richmond, Argentina) y fijados por perfusión intracardíaca con 600 mL de paraformaldehído (PFA) al 4 % frío en PBS (pH 7,4) [13]. Los cerebros se extrajeron de inmediato y se dejaron en PFA al 4 % durante toda la noche a 4 °C. Luego se lavaron con PBS y se seccionaron con un vibrátomo. Se obtuvieron cortes coronales de 70 µm de espesor (Bregma -2,8 a -4,2 mm), determinados con un atlas del cerebro de rata [14], que se incubaron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y se examinaron con un microscopio confocal de disco giratorio Olympus IX81-DSU. Todas las imágenes se obtuvieron en las mismas condiciones: el tiempo de exposición,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 Todos los portaobjetos se codificaron y fueron analizados por dos observadores independientes que desconocían el tratamiento.</w:t>
      </w:r>
    </w:p>
    <w:bookmarkStart w:id="36" w:name="recuento-celular"/>
    <w:p>
      <w:pPr>
        <w:pStyle w:val="Heading3"/>
      </w:pPr>
      <w:r>
        <w:t xml:space="preserve">4.4.1 Recuento celular</w:t>
      </w:r>
    </w:p>
    <w:p>
      <w:pPr>
        <w:pStyle w:val="FirstParagraph"/>
      </w:pPr>
      <w:r>
        <w:t xml:space="preserve">Los cortes se tomaron en una serie 1:4 (separados por 280 µm; 5 cortes por animal) y se analizaron con ImageJ Fiji win64 (</w:t>
      </w:r>
      <w:hyperlink r:id="rId35">
        <w:r>
          <w:rPr>
            <w:rStyle w:val="Hyperlink"/>
          </w:rPr>
          <w:t xml:space="preserve">http://imagej.nih.gov/ij</w:t>
        </w:r>
      </w:hyperlink>
      <w:r>
        <w:t xml:space="preserve">). Las células positivas para PCNA y/o DCX se contaron dentro de un área delimitada que comprendía la zona subgranular del giro dentado. Para el recuento se consideraron tanto la hoja superior como la inferior de la capa de células granulares y de la zona subgranular. El número de células inmunopositivas fue contado manualmente por dos observadores independientes que desconocían el protocolo experimental. Los resultados se expresan como número de células positivas por mm</w:t>
      </w:r>
      <w:r>
        <w:rPr>
          <w:vertAlign w:val="superscript"/>
        </w:rPr>
        <w:t xml:space="preserve">2</w:t>
      </w:r>
      <w:r>
        <w:t xml:space="preserve">; en el análisis estadístico, cada corte se consideró como un valor.</w:t>
      </w:r>
    </w:p>
    <w:bookmarkEnd w:id="36"/>
    <w:bookmarkEnd w:id="37"/>
    <w:bookmarkStart w:id="38" w:name="análisis-estadístico"/>
    <w:p>
      <w:pPr>
        <w:pStyle w:val="Heading2"/>
      </w:pPr>
      <w:r>
        <w:t xml:space="preserve">4.5 Análisis estadístico</w:t>
      </w:r>
    </w:p>
    <w:p>
      <w:pPr>
        <w:pStyle w:val="FirstParagraph"/>
      </w:pPr>
      <w:r>
        <w:t xml:space="preserve">El tamaño muestral se estimó sobre la base de estudios previos (95 % de confianza, 10 % de error y 80 % de potencia estadística) [1–3, 6], siguiendo las recomendaciones estándar [15].</w:t>
      </w:r>
    </w:p>
    <w:p>
      <w:pPr>
        <w:pStyle w:val="BodyText"/>
      </w:pPr>
      <w:r>
        <w:t xml:space="preserve">La normalidad de los datos y la homogeneidad de las varianzas se evaluaron mediante las pruebas de Shapiro-Wilk y de Brown-Forsythe, respectivamente. En este estudio se verificó la homogeneidad de las varianzas (prueba de Brown-Forsythe,</w:t>
      </w:r>
      <w:r>
        <w:t xml:space="preserve"> </w:t>
      </w:r>
      <w:r>
        <w:rPr>
          <w:iCs/>
          <w:i/>
        </w:rPr>
        <w:t xml:space="preserve">p</w:t>
      </w:r>
      <w:r>
        <w:t xml:space="preserve"> </w:t>
      </w:r>
      <w:r>
        <w:t xml:space="preserve">&gt; 0,05), salvo en el recuento de células PCNA</w:t>
      </w:r>
      <w:r>
        <w:rPr>
          <w:vertAlign w:val="superscript"/>
        </w:rPr>
        <w:t xml:space="preserve">+</w:t>
      </w:r>
      <w:r>
        <w:t xml:space="preserve">/DCX</w:t>
      </w:r>
      <w:r>
        <w:rPr>
          <w:vertAlign w:val="superscript"/>
        </w:rPr>
        <w:t xml:space="preserve">+</w:t>
      </w:r>
      <w:r>
        <w:t xml:space="preserve"> </w:t>
      </w:r>
      <w:r>
        <w:t xml:space="preserve">(§5.5) y en el índice de preferencia (§5.1.1), y no se aplicaron correcciones adicionales.</w:t>
      </w:r>
    </w:p>
    <w:p>
      <w:pPr>
        <w:pStyle w:val="BodyText"/>
      </w:pPr>
      <w:r>
        <w:t xml:space="preserve">El consumo de líquidos a lo largo del tiempo se analizó mediante ANOVA de medidas repetidas (ANOVA MR) de dos vías, considerando el tratamiento (control vs. sacarosa vs. stevia) como factor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 × tratamiento). Se empleó ANOVA de dos vías para analizar los parámetros informados en el OF, el NOR, la SLR y la IHC. La exploración de los objetos en las fases de muestreo del NOR (T1) y de la SLR (día 1) se analizó mediante un ANOVA mixto de tres factores, con la edad y el tratamiento como factores entre sujetos y la posición del objeto como factor intrasujeto.</w:t>
      </w:r>
    </w:p>
    <w:p>
      <w:pPr>
        <w:pStyle w:val="BodyText"/>
      </w:pPr>
      <w:r>
        <w:t xml:space="preserve">Cuando se detectaron efectos principales estadísticamente significativos, se aplicó la prueba</w:t>
      </w:r>
      <w:r>
        <w:t xml:space="preserve"> </w:t>
      </w:r>
      <w:r>
        <w:rPr>
          <w:iCs/>
          <w:i/>
        </w:rPr>
        <w:t xml:space="preserve">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w:t>
      </w:r>
      <w:r>
        <w:t xml:space="preserve"> </w:t>
      </w:r>
      <w:r>
        <w:rPr>
          <w:iCs/>
          <w:i/>
        </w:rPr>
        <w:t xml:space="preserve">p</w:t>
      </w:r>
      <w:r>
        <w:t xml:space="preserve"> </w:t>
      </w:r>
      <w:r>
        <w:t xml:space="preserve">&lt; 0,05, y los datos se expresaron como media ± error estándar de la media (SEM).</w:t>
      </w:r>
    </w:p>
    <w:p>
      <w:pPr>
        <w:pStyle w:val="BodyText"/>
      </w:pPr>
      <w:r>
        <w:t xml:space="preserve">Los resultados provienen de dos experimentos independientes, correspondientes a dos cohortes experimentales realizadas en distintos momentos, utilizando grupos independientes de animales, pero siguiendo el mismo diseño experimental y los mismos protocolos. Los datos de ambas cohortes se combinaron para realizar los análisis estadísticos. Todos los análisis se llevaron a cabo con el programa GraphPad Prism, versión 11.1.0, salvo el del índice de preferencia, los de la fase de muestreo de la SLR (exploración por objeto y distancia recorrida) y el de la exploración total de la SLR, que se realizó sobre el logaritmo del tiempo, llevados a cabo en Python 3.14 (statsmodels 0.15 y SciPy 1.18).</w:t>
      </w:r>
    </w:p>
    <w:bookmarkEnd w:id="38"/>
    <w:bookmarkStart w:id="39" w:name="X430af9d9bfce0b651f903068a5742516bd0d098"/>
    <w:p>
      <w:pPr>
        <w:pStyle w:val="Heading2"/>
      </w:pPr>
      <w:r>
        <w:t xml:space="preserve">4.6 Análisis multivariado y aprendizaje automático</w:t>
      </w:r>
    </w:p>
    <w:p>
      <w:pPr>
        <w:pStyle w:val="FirstParagraph"/>
      </w:pPr>
      <w:r>
        <w:t xml:space="preserve">El análisis multivariado se aplicó a la prueba SLR, la única para la que se dispuso de las métricas de AnyMaze© identificadas por animal. Se construyó una tabla con una fila por animal (</w:t>
      </w:r>
      <w:r>
        <w:rPr>
          <w:iCs/>
          <w:i/>
        </w:rPr>
        <w:t xml:space="preserve">n</w:t>
      </w:r>
      <w:r>
        <w:t xml:space="preserve"> </w:t>
      </w:r>
      <w:r>
        <w:t xml:space="preserve">=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sensibilidad, con los valores faltantes (6 animales) imputados por la mediana dentro de cada partición de entrenamiento.</w:t>
      </w:r>
    </w:p>
    <w:p>
      <w:pPr>
        <w:pStyle w:val="BodyText"/>
      </w:pPr>
      <w:r>
        <w:t xml:space="preserve">Se emplearon tres técnicas complementarias. Las variables se estandarizaron (media 0 y desvío estándar 1, para que ninguna pesara más por su escala) y se sometieron a un análisis de componentes principales (PCA) [16],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w:t>
      </w:r>
      <w:r>
        <w:t xml:space="preserve"> </w:t>
      </w:r>
      <w:r>
        <w:rPr>
          <w:iCs/>
          <w:i/>
        </w:rPr>
        <w:t xml:space="preserve">t</w:t>
      </w:r>
      <w:r>
        <w:t xml:space="preserve"> </w:t>
      </w:r>
      <w:r>
        <w:t xml:space="preserve">de Student. Para evaluar si los animales se agrupan espontáneamente según su exposición, sin informar al método a qué grupo pertenece cada uno, se aplicó sobre las mismas variables estandarizadas un clustering jerárquico aglomerativo con el criterio de Ward y distancia euclídea [17]; el número de clusters se eligió por el coeficiente de silueta entre 2 y 6, y la concordancia entre los clusters y los grupos experimentales se cuantificó con el índice de Rand ajustado (ARI), que vale 0 para una asignación al azar y 1 para una coincidencia perfecta.</w:t>
      </w:r>
    </w:p>
    <w:p>
      <w:pPr>
        <w:pStyle w:val="BodyText"/>
      </w:pPr>
      <w:r>
        <w:t xml:space="preserve">Por último, para evaluar si las métricas contienen información suficiente para reconocer el grupo de cada animal, se entrenó un clasificador Random Forest [18]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 1.9, mediante el script</w:t>
      </w:r>
      <w:r>
        <w:t xml:space="preserve"> </w:t>
      </w:r>
      <w:r>
        <w:rPr>
          <w:rStyle w:val="VerbatimChar"/>
        </w:rPr>
        <w:t xml:space="preserve">analisis/slr_multivariado.py</w:t>
      </w:r>
      <w:r>
        <w:t xml:space="preserve"> </w:t>
      </w:r>
      <w:r>
        <w:t xml:space="preserve">del repositorio de la tesis.</w:t>
      </w:r>
    </w:p>
    <w:bookmarkEnd w:id="39"/>
    <w:bookmarkEnd w:id="40"/>
    <w:bookmarkStart w:id="82" w:name="resultados"/>
    <w:p>
      <w:pPr>
        <w:pStyle w:val="Heading1"/>
      </w:pPr>
      <w:r>
        <w:t xml:space="preserve">5. Resultados</w:t>
      </w:r>
    </w:p>
    <w:bookmarkStart w:id="48" w:name="consumo-de-líquidos"/>
    <w:p>
      <w:pPr>
        <w:pStyle w:val="Heading2"/>
      </w:pPr>
      <w:r>
        <w:t xml:space="preserve">5.1 Consumo de líquidos</w:t>
      </w:r>
    </w:p>
    <w:bookmarkStart w:id="45" w:name="X22851d61bdb9d2edb8d5b1cf1620057207ed789"/>
    <w:p>
      <w:pPr>
        <w:pStyle w:val="Heading3"/>
      </w:pPr>
      <w:r>
        <w:t xml:space="preserve">5.1.1 Consumo de líquidos durante el tratamiento</w:t>
      </w:r>
    </w:p>
    <w:p>
      <w:pPr>
        <w:pStyle w:val="FirstParagraph"/>
      </w:pPr>
      <w:r>
        <w:t xml:space="preserve">El curso temporal del consumo difirió según la edad y el edulcorante (ANOVA MR de dos vías; grupo juvenil:</w:t>
      </w:r>
      <w:r>
        <w:t xml:space="preserve"> </w:t>
      </w:r>
      <w:r>
        <w:rPr>
          <w:iCs/>
          <w:i/>
        </w:rPr>
        <w:t xml:space="preserve">F</w:t>
      </w:r>
      <w:r>
        <w:rPr>
          <w:vertAlign w:val="subscript"/>
        </w:rPr>
        <w:t xml:space="preserve">Tratamiento × Tiempo</w:t>
      </w:r>
      <w:r>
        <w:t xml:space="preserve">(44, 288) = 5,341;</w:t>
      </w:r>
      <w:r>
        <w:t xml:space="preserve"> </w:t>
      </w:r>
      <w:r>
        <w:rPr>
          <w:iCs/>
          <w:i/>
        </w:rPr>
        <w:t xml:space="preserve">p</w:t>
      </w:r>
      <w:r>
        <w:t xml:space="preserve"> </w:t>
      </w:r>
      <w:r>
        <w:t xml:space="preserve">&lt; 0,0001; grupo adulto:</w:t>
      </w:r>
      <w:r>
        <w:t xml:space="preserve"> </w:t>
      </w:r>
      <w:r>
        <w:rPr>
          <w:iCs/>
          <w:i/>
        </w:rPr>
        <w:t xml:space="preserve">F</w:t>
      </w:r>
      <w:r>
        <w:rPr>
          <w:vertAlign w:val="subscript"/>
        </w:rPr>
        <w:t xml:space="preserve">Tratamiento × Tiempo</w:t>
      </w:r>
      <w:r>
        <w:t xml:space="preserve">(44, 330) = 2,339;</w:t>
      </w:r>
      <w:r>
        <w:t xml:space="preserve"> </w:t>
      </w:r>
      <w:r>
        <w:rPr>
          <w:iCs/>
          <w:i/>
        </w:rPr>
        <w:t xml:space="preserve">p</w:t>
      </w:r>
      <w:r>
        <w:t xml:space="preserve"> </w:t>
      </w:r>
      <w:r>
        <w:t xml:space="preserve">&lt; 0,0001; Figura 5.2A y B, respectivamente). Los animales expuestos a sacarosa consumieron más sacarosa que el control (agua) durante todo el período de exposición, en ambas edades. En cambio, los animales expuestos a stevia consumieron más volumen de stevia que el control solo en PD27 (grupo juvenil) y en PD89 (grupo adulto).</w:t>
      </w:r>
    </w:p>
    <w:p>
      <w:pPr>
        <w:pStyle w:val="BodyText"/>
      </w:pPr>
      <w:r>
        <w:t xml:space="preserve">Promediado a lo largo del período de exposición, los animales juveniles consumieron, en relación con su peso corporal, más solución endulzada que los adultos, tanto de sacarosa (2,4 veces más) como de stevia (2,8 veces más) (ANOVA de dos vías,</w:t>
      </w:r>
      <w:r>
        <w:t xml:space="preserve"> </w:t>
      </w:r>
      <w:r>
        <w:rPr>
          <w:iCs/>
          <w:i/>
        </w:rPr>
        <w:t xml:space="preserve">F</w:t>
      </w:r>
      <w:r>
        <w:rPr>
          <w:vertAlign w:val="subscript"/>
        </w:rPr>
        <w:t xml:space="preserve">Edad × Tratamiento</w:t>
      </w:r>
      <w:r>
        <w:t xml:space="preserve">(1, 64) = 63,19;</w:t>
      </w:r>
      <w:r>
        <w:t xml:space="preserve"> </w:t>
      </w:r>
      <w:r>
        <w:rPr>
          <w:iCs/>
          <w:i/>
        </w:rPr>
        <w:t xml:space="preserve">p</w:t>
      </w:r>
      <w:r>
        <w:t xml:space="preserve"> </w:t>
      </w:r>
      <w:r>
        <w:t xml:space="preserve">&lt; 0,0001; Figura 5.3). Es decir, la dosis de sacarosa o de stevia a la que estuvieron expuestos los animales juveniles fue más del doble que la de los adultos.</w:t>
      </w:r>
    </w:p>
    <w:p>
      <w:pPr>
        <w:pStyle w:val="BodyText"/>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w:t>
      </w:r>
      <w:r>
        <w:t xml:space="preserve"> </w:t>
      </w:r>
      <w:r>
        <w:rPr>
          <w:iCs/>
          <w:i/>
        </w:rPr>
        <w:t xml:space="preserve">F</w:t>
      </w:r>
      <w:r>
        <w:rPr>
          <w:vertAlign w:val="subscript"/>
        </w:rPr>
        <w:t xml:space="preserve">Tratamiento</w:t>
      </w:r>
      <w:r>
        <w:t xml:space="preserve">(1, 24) = 37,80;</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24) = 0,33;</w:t>
      </w:r>
      <w:r>
        <w:t xml:space="preserve"> </w:t>
      </w:r>
      <w:r>
        <w:rPr>
          <w:iCs/>
          <w:i/>
        </w:rPr>
        <w:t xml:space="preserve">p</w:t>
      </w:r>
      <w:r>
        <w:t xml:space="preserve"> </w:t>
      </w:r>
      <w:r>
        <w:t xml:space="preserve">= 0,57;</w:t>
      </w:r>
      <w:r>
        <w:t xml:space="preserve"> </w:t>
      </w:r>
      <w:r>
        <w:rPr>
          <w:iCs/>
          <w:i/>
        </w:rPr>
        <w:t xml:space="preserve">F</w:t>
      </w:r>
      <w:r>
        <w:rPr>
          <w:vertAlign w:val="subscript"/>
        </w:rPr>
        <w:t xml:space="preserve">Interacción</w:t>
      </w:r>
      <w:r>
        <w:t xml:space="preserve">(1, 24) = 0,56;</w:t>
      </w:r>
      <w:r>
        <w:t xml:space="preserve"> </w:t>
      </w:r>
      <w:r>
        <w:rPr>
          <w:iCs/>
          <w:i/>
        </w:rPr>
        <w:t xml:space="preserve">p</w:t>
      </w:r>
      <w:r>
        <w:t xml:space="preserve"> </w:t>
      </w:r>
      <w:r>
        <w:t xml:space="preserve">= 0,46; prueba</w:t>
      </w:r>
      <w:r>
        <w:t xml:space="preserve"> </w:t>
      </w:r>
      <w:r>
        <w:rPr>
          <w:iCs/>
          <w:i/>
        </w:rPr>
        <w:t xml:space="preserve">post hoc</w:t>
      </w:r>
      <w:r>
        <w:t xml:space="preserve"> </w:t>
      </w:r>
      <w:r>
        <w:t xml:space="preserve">de Tukey, sacarosa vs. stevia: juvenil,</w:t>
      </w:r>
      <w:r>
        <w:t xml:space="preserve"> </w:t>
      </w:r>
      <w:r>
        <w:rPr>
          <w:iCs/>
          <w:i/>
        </w:rPr>
        <w:t xml:space="preserve">p</w:t>
      </w:r>
      <w:r>
        <w:t xml:space="preserve"> </w:t>
      </w:r>
      <w:r>
        <w:t xml:space="preserve">= 0,0010; adulto,</w:t>
      </w:r>
      <w:r>
        <w:t xml:space="preserve"> </w:t>
      </w:r>
      <w:r>
        <w:rPr>
          <w:iCs/>
          <w:i/>
        </w:rPr>
        <w:t xml:space="preserve">p</w:t>
      </w:r>
      <w:r>
        <w:t xml:space="preserve"> </w:t>
      </w:r>
      <w:r>
        <w:t xml:space="preserve">= 0,0043; Figura 5.1). Dado que los residuos se apartaron de la normalidad (Shapiro-Wilk,</w:t>
      </w:r>
      <w:r>
        <w:t xml:space="preserve"> </w:t>
      </w:r>
      <w:r>
        <w:rPr>
          <w:iCs/>
          <w:i/>
        </w:rPr>
        <w:t xml:space="preserve">p</w:t>
      </w:r>
      <w:r>
        <w:t xml:space="preserve"> </w:t>
      </w:r>
      <w:r>
        <w:t xml:space="preserve">= 0,024), las diferencias se confirmaron con la prueba de Mann-Whitney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&lt; 0,001). Por lo tanto, la mayor dosis de los juveniles no se explica por una mayor preferencia por el sabor dulce.</w:t>
      </w:r>
    </w:p>
    <w:p>
      <w:pPr>
        <w:pStyle w:val="BodyText"/>
        <w:keepNext/>
        <w:jc w:val="center"/>
      </w:pPr>
      <w:r>
        <w:drawing>
          <wp:inline>
            <wp:extent cx="2591999" cy="2356363"/>
            <wp:effectExtent b="0" l="0" r="0" t="0"/>
            <wp:docPr descr="image" title="" id="1" name="Picture"/>
            <a:graphic>
              <a:graphicData uri="http://schemas.openxmlformats.org/drawingml/2006/picture">
                <pic:pic>
                  <pic:nvPicPr>
                    <pic:cNvPr descr="img/Fig5_indice_preferencia.png" id="0" name="Picture"/>
                    <pic:cNvPicPr>
                      <a:picLocks noChangeArrowheads="1" noChangeAspect="1"/>
                    </pic:cNvPicPr>
                  </pic:nvPicPr>
                  <pic:blipFill>
                    <a:blip r:embed="rId41"/>
                    <a:stretch>
                      <a:fillRect/>
                    </a:stretch>
                  </pic:blipFill>
                  <pic:spPr bwMode="auto">
                    <a:xfrm>
                      <a:off x="0" y="0"/>
                      <a:ext cx="2591999" cy="2356363"/>
                    </a:xfrm>
                    <a:prstGeom prst="rect">
                      <a:avLst/>
                    </a:prstGeom>
                    <a:noFill/>
                    <a:ln w="9525">
                      <a:noFill/>
                      <a:headEnd/>
                      <a:tailEnd/>
                    </a:ln>
                  </pic:spPr>
                </pic:pic>
              </a:graphicData>
            </a:graphic>
          </wp:inline>
        </w:drawing>
      </w:r>
    </w:p>
    <w:p>
      <w:pPr>
        <w:pStyle w:val="BodyText"/>
        <w:spacing w:after="240"/>
      </w:pPr>
      <w:r>
        <w:rPr>
          <w:bCs/>
          <w:b/>
          <w:sz w:val="19"/>
        </w:rPr>
        <w:t xml:space="preserve">Figura 5.1.</w:t>
      </w:r>
      <w:r>
        <w:rPr>
          <w:sz w:val="19"/>
        </w:rPr>
        <w:t xml:space="preserve"> </w:t>
      </w:r>
      <w:r>
        <w:rPr>
          <w:sz w:val="19"/>
        </w:rPr>
        <w:t xml:space="preserve">Índice de preferencia por la solución endulzada (consumo de solución dividido por el consumo total de líquido, promediado durante el tratamiento) en los grupos expuestos a sacarosa y a stevia, por edad. Las barras indican la media ± SEM. Rojo: sacarosa; verde: stevia. Los corchetes indican la comparación de Tukey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t xml:space="preserve">(A)</w:t>
      </w:r>
      <w:r>
        <w:t xml:space="preserve"> </w:t>
      </w:r>
      <w:r>
        <w:drawing>
          <wp:inline>
            <wp:extent cx="2217599" cy="1832524"/>
            <wp:effectExtent b="0" l="0" r="0" t="0"/>
            <wp:docPr descr="image" title="" id="1" name="Picture"/>
            <a:graphic>
              <a:graphicData uri="http://schemas.openxmlformats.org/drawingml/2006/picture">
                <pic:pic>
                  <pic:nvPicPr>
                    <pic:cNvPr descr="img/Fig5_consumo_liquidos_juvenil_es.png" id="0" name="Picture"/>
                    <pic:cNvPicPr>
                      <a:picLocks noChangeArrowheads="1" noChangeAspect="1"/>
                    </pic:cNvPicPr>
                  </pic:nvPicPr>
                  <pic:blipFill>
                    <a:blip r:embed="rId42"/>
                    <a:stretch>
                      <a:fillRect/>
                    </a:stretch>
                  </pic:blipFill>
                  <pic:spPr bwMode="auto">
                    <a:xfrm>
                      <a:off x="0" y="0"/>
                      <a:ext cx="2217599" cy="1832524"/>
                    </a:xfrm>
                    <a:prstGeom prst="rect">
                      <a:avLst/>
                    </a:prstGeom>
                    <a:noFill/>
                    <a:ln w="9525">
                      <a:noFill/>
                      <a:headEnd/>
                      <a:tailEnd/>
                    </a:ln>
                  </pic:spPr>
                </pic:pic>
              </a:graphicData>
            </a:graphic>
          </wp:inline>
        </w:drawing>
      </w:r>
      <w:r>
        <w:t xml:space="preserve"> </w:t>
      </w:r>
      <w:r>
        <w:t xml:space="preserve">(B)</w:t>
      </w:r>
      <w:r>
        <w:t xml:space="preserve"> </w:t>
      </w:r>
      <w:r>
        <w:drawing>
          <wp:inline>
            <wp:extent cx="3427199" cy="1839720"/>
            <wp:effectExtent b="0" l="0" r="0" t="0"/>
            <wp:docPr descr="image" title="" id="1" name="Picture"/>
            <a:graphic>
              <a:graphicData uri="http://schemas.openxmlformats.org/drawingml/2006/picture">
                <pic:pic>
                  <pic:nvPicPr>
                    <pic:cNvPr descr="img/Fig5_consumo_liquidos_adulto_es.png" id="0" name="Picture"/>
                    <pic:cNvPicPr>
                      <a:picLocks noChangeArrowheads="1" noChangeAspect="1"/>
                    </pic:cNvPicPr>
                  </pic:nvPicPr>
                  <pic:blipFill>
                    <a:blip r:embed="rId43"/>
                    <a:stretch>
                      <a:fillRect/>
                    </a:stretch>
                  </pic:blipFill>
                  <pic:spPr bwMode="auto">
                    <a:xfrm>
                      <a:off x="0" y="0"/>
                      <a:ext cx="3427199" cy="1839720"/>
                    </a:xfrm>
                    <a:prstGeom prst="rect">
                      <a:avLst/>
                    </a:prstGeom>
                    <a:noFill/>
                    <a:ln w="9525">
                      <a:noFill/>
                      <a:headEnd/>
                      <a:tailEnd/>
                    </a:ln>
                  </pic:spPr>
                </pic:pic>
              </a:graphicData>
            </a:graphic>
          </wp:inline>
        </w:drawing>
      </w:r>
    </w:p>
    <w:p>
      <w:pPr>
        <w:pStyle w:val="BodyText"/>
        <w:spacing w:after="240"/>
      </w:pPr>
      <w:r>
        <w:rPr>
          <w:bCs/>
          <w:b/>
          <w:sz w:val="19"/>
        </w:rPr>
        <w:t xml:space="preserve">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183999" cy="2530101"/>
            <wp:effectExtent b="0" l="0" r="0" t="0"/>
            <wp:docPr descr="image" title="" id="1" name="Picture"/>
            <a:graphic>
              <a:graphicData uri="http://schemas.openxmlformats.org/drawingml/2006/picture">
                <pic:pic>
                  <pic:nvPicPr>
                    <pic:cNvPr descr="img/Fig5_consumo_liquidos_promedio_es.png" id="0" name="Picture"/>
                    <pic:cNvPicPr>
                      <a:picLocks noChangeArrowheads="1" noChangeAspect="1"/>
                    </pic:cNvPicPr>
                  </pic:nvPicPr>
                  <pic:blipFill>
                    <a:blip r:embed="rId44"/>
                    <a:stretch>
                      <a:fillRect/>
                    </a:stretch>
                  </pic:blipFill>
                  <pic:spPr bwMode="auto">
                    <a:xfrm>
                      <a:off x="0" y="0"/>
                      <a:ext cx="5183999" cy="2530101"/>
                    </a:xfrm>
                    <a:prstGeom prst="rect">
                      <a:avLst/>
                    </a:prstGeom>
                    <a:noFill/>
                    <a:ln w="9525">
                      <a:noFill/>
                      <a:headEnd/>
                      <a:tailEnd/>
                    </a:ln>
                  </pic:spPr>
                </pic:pic>
              </a:graphicData>
            </a:graphic>
          </wp:inline>
        </w:drawing>
      </w:r>
    </w:p>
    <w:p>
      <w:pPr>
        <w:pStyle w:val="BodyText"/>
        <w:spacing w:after="240"/>
      </w:pPr>
      <w:r>
        <w:rPr>
          <w:bCs/>
          <w:b/>
          <w:sz w:val="19"/>
        </w:rPr>
        <w:t xml:space="preserve">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7 cajas por grupo.</w:t>
      </w:r>
    </w:p>
    <w:bookmarkEnd w:id="45"/>
    <w:bookmarkStart w:id="47" w:name="Xbf1431af6e3b62c8a8137aa3e17d8226a064321"/>
    <w:p>
      <w:pPr>
        <w:pStyle w:val="Heading3"/>
      </w:pPr>
      <w:r>
        <w:t xml:space="preserve">5.1.2 Consumo de agua luego del tratamiento con los endulzantes (período agua)</w:t>
      </w:r>
    </w:p>
    <w:p>
      <w:pPr>
        <w:pStyle w:val="FirstParagraph"/>
      </w:pPr>
      <w:r>
        <w:t xml:space="preserve">Tras la finalización del tratamiento, se monitoreó el consumo de líquidos durante 25 días adicionales (Figura 5.4). El ANOVA MR de dos vías reveló interacciones significativas entre edad y tratamiento (</w:t>
      </w:r>
      <w:r>
        <w:rPr>
          <w:iCs/>
          <w:i/>
        </w:rPr>
        <w:t xml:space="preserve">F</w:t>
      </w:r>
      <w:r>
        <w:rPr>
          <w:vertAlign w:val="subscript"/>
        </w:rPr>
        <w:t xml:space="preserve">Edad × Tratamiento</w:t>
      </w:r>
      <w:r>
        <w:t xml:space="preserve">(2, 36) = 3,61;</w:t>
      </w:r>
      <w:r>
        <w:t xml:space="preserve"> </w:t>
      </w:r>
      <w:r>
        <w:rPr>
          <w:iCs/>
          <w:i/>
        </w:rPr>
        <w:t xml:space="preserve">p</w:t>
      </w:r>
      <w:r>
        <w:t xml:space="preserve"> </w:t>
      </w:r>
      <w:r>
        <w:t xml:space="preserve">= 0,037), edad y tiempo (</w:t>
      </w:r>
      <w:r>
        <w:rPr>
          <w:iCs/>
          <w:i/>
        </w:rPr>
        <w:t xml:space="preserve">F</w:t>
      </w:r>
      <w:r>
        <w:rPr>
          <w:vertAlign w:val="subscript"/>
        </w:rPr>
        <w:t xml:space="preserve">Edad × Tiempo</w:t>
      </w:r>
      <w:r>
        <w:t xml:space="preserve">(4,73; 170,30) = 8,55;</w:t>
      </w:r>
      <w:r>
        <w:t xml:space="preserve"> </w:t>
      </w:r>
      <w:r>
        <w:rPr>
          <w:iCs/>
          <w:i/>
        </w:rPr>
        <w:t xml:space="preserve">p</w:t>
      </w:r>
      <w:r>
        <w:t xml:space="preserve"> </w:t>
      </w:r>
      <w:r>
        <w:t xml:space="preserve">&lt; 0,0001) y tratamiento y tiempo (</w:t>
      </w:r>
      <w:r>
        <w:rPr>
          <w:iCs/>
          <w:i/>
        </w:rPr>
        <w:t xml:space="preserve">F</w:t>
      </w:r>
      <w:r>
        <w:rPr>
          <w:vertAlign w:val="subscript"/>
        </w:rPr>
        <w:t xml:space="preserve">Tratamiento × Tiempo</w:t>
      </w:r>
      <w:r>
        <w:t xml:space="preserve">(9,46; 170,30) = 6,37;</w:t>
      </w:r>
      <w:r>
        <w:t xml:space="preserve"> </w:t>
      </w:r>
      <w:r>
        <w:rPr>
          <w:iCs/>
          <w:i/>
        </w:rPr>
        <w:t xml:space="preserve">p</w:t>
      </w:r>
      <w:r>
        <w:t xml:space="preserve"> </w:t>
      </w:r>
      <w:r>
        <w:t xml:space="preserve">&lt; 0,0001), así como una interacción triple significativa entre edad, tratamiento y tiempo (</w:t>
      </w:r>
      <w:r>
        <w:rPr>
          <w:iCs/>
          <w:i/>
        </w:rPr>
        <w:t xml:space="preserve">F</w:t>
      </w:r>
      <w:r>
        <w:rPr>
          <w:vertAlign w:val="subscript"/>
        </w:rPr>
        <w:t xml:space="preserve">Edad × Tratamiento × Tiempo</w:t>
      </w:r>
      <w:r>
        <w:t xml:space="preserve">(9,46; 170,30) = 7,52;</w:t>
      </w:r>
      <w:r>
        <w:t xml:space="preserve"> </w:t>
      </w:r>
      <w:r>
        <w:rPr>
          <w:iCs/>
          <w:i/>
        </w:rPr>
        <w:t xml:space="preserve">p</w:t>
      </w:r>
      <w:r>
        <w:t xml:space="preserve"> </w:t>
      </w:r>
      <w:r>
        <w:t xml:space="preserve">&lt; 0,0001).</w:t>
      </w:r>
    </w:p>
    <w:p>
      <w:pPr>
        <w:pStyle w:val="BodyText"/>
      </w:pPr>
      <w:r>
        <w:t xml:space="preserve">Sin embargo, al examinar los primeros nueve días posteriores al tratamiento (D1–D9), el ANOVA MR de dos vías mostró efectos significativos de la edad (</w:t>
      </w:r>
      <w:r>
        <w:rPr>
          <w:iCs/>
          <w:i/>
        </w:rPr>
        <w:t xml:space="preserve">F</w:t>
      </w:r>
      <w:r>
        <w:rPr>
          <w:vertAlign w:val="subscript"/>
        </w:rPr>
        <w:t xml:space="preserve">Edad</w:t>
      </w:r>
      <w:r>
        <w:t xml:space="preserve">(1, 36) = 7,95;</w:t>
      </w:r>
      <w:r>
        <w:t xml:space="preserve"> </w:t>
      </w:r>
      <w:r>
        <w:rPr>
          <w:iCs/>
          <w:i/>
        </w:rPr>
        <w:t xml:space="preserve">p</w:t>
      </w:r>
      <w:r>
        <w:t xml:space="preserve"> </w:t>
      </w:r>
      <w:r>
        <w:t xml:space="preserve">= 0,0078) y del tratamiento (</w:t>
      </w:r>
      <w:r>
        <w:rPr>
          <w:iCs/>
          <w:i/>
        </w:rPr>
        <w:t xml:space="preserve">F</w:t>
      </w:r>
      <w:r>
        <w:rPr>
          <w:vertAlign w:val="subscript"/>
        </w:rPr>
        <w:t xml:space="preserve">Tratamiento</w:t>
      </w:r>
      <w:r>
        <w:t xml:space="preserve">(2, 36) = 5,21;</w:t>
      </w:r>
      <w:r>
        <w:t xml:space="preserve"> </w:t>
      </w:r>
      <w:r>
        <w:rPr>
          <w:iCs/>
          <w:i/>
        </w:rPr>
        <w:t xml:space="preserve">p</w:t>
      </w:r>
      <w:r>
        <w:t xml:space="preserve"> </w:t>
      </w:r>
      <w:r>
        <w:t xml:space="preserve">= 0,0103), así como una interacción significativa entre edad, tratamiento y tiempo (</w:t>
      </w:r>
      <w:r>
        <w:rPr>
          <w:iCs/>
          <w:i/>
        </w:rPr>
        <w:t xml:space="preserve">F</w:t>
      </w:r>
      <w:r>
        <w:rPr>
          <w:vertAlign w:val="subscript"/>
        </w:rPr>
        <w:t xml:space="preserve">Edad × Tratamiento × Tiempo</w:t>
      </w:r>
      <w:r>
        <w:t xml:space="preserve">(4,28; 76,95) = 2,64;</w:t>
      </w:r>
      <w:r>
        <w:t xml:space="preserve"> </w:t>
      </w:r>
      <w:r>
        <w:rPr>
          <w:iCs/>
          <w:i/>
        </w:rPr>
        <w:t xml:space="preserve">p</w:t>
      </w:r>
      <w:r>
        <w:t xml:space="preserve"> </w:t>
      </w:r>
      <w:r>
        <w:t xml:space="preserve">= 0,037). Durante este período, los animales juveniles previamente expuestos a stevia presentaron una reducción significativa del consumo promedio de líquidos del 24,97 % respecto de su control (</w:t>
      </w:r>
      <w:r>
        <w:rPr>
          <w:iCs/>
          <w:i/>
        </w:rPr>
        <w:t xml:space="preserve">p</w:t>
      </w:r>
      <w:r>
        <w:t xml:space="preserve"> </w:t>
      </w:r>
      <w:r>
        <w:t xml:space="preserve">= 0,003).</w:t>
      </w:r>
    </w:p>
    <w:p>
      <w:pPr>
        <w:pStyle w:val="BodyText"/>
      </w:pPr>
      <w:r>
        <w:t xml:space="preserve">Al extender el análisis a los primeros quince días (D1–D15), se observaron interacciones significativas entre edad y tiempo (</w:t>
      </w:r>
      <w:r>
        <w:rPr>
          <w:iCs/>
          <w:i/>
        </w:rPr>
        <w:t xml:space="preserve">F</w:t>
      </w:r>
      <w:r>
        <w:rPr>
          <w:vertAlign w:val="subscript"/>
        </w:rPr>
        <w:t xml:space="preserve">Edad × Tiempo</w:t>
      </w:r>
      <w:r>
        <w:t xml:space="preserve">(2,92; 105,26) = 6,68;</w:t>
      </w:r>
      <w:r>
        <w:t xml:space="preserve"> </w:t>
      </w:r>
      <w:r>
        <w:rPr>
          <w:iCs/>
          <w:i/>
        </w:rPr>
        <w:t xml:space="preserve">p</w:t>
      </w:r>
      <w:r>
        <w:t xml:space="preserve"> </w:t>
      </w:r>
      <w:r>
        <w:t xml:space="preserve">= 0,0004), tratamiento y tiempo (</w:t>
      </w:r>
      <w:r>
        <w:rPr>
          <w:iCs/>
          <w:i/>
        </w:rPr>
        <w:t xml:space="preserve">F</w:t>
      </w:r>
      <w:r>
        <w:rPr>
          <w:vertAlign w:val="subscript"/>
        </w:rPr>
        <w:t xml:space="preserve">Tratamiento × Tiempo</w:t>
      </w:r>
      <w:r>
        <w:t xml:space="preserve">(5,85; 105,26) = 3,77;</w:t>
      </w:r>
      <w:r>
        <w:t xml:space="preserve"> </w:t>
      </w:r>
      <w:r>
        <w:rPr>
          <w:iCs/>
          <w:i/>
        </w:rPr>
        <w:t xml:space="preserve">p</w:t>
      </w:r>
      <w:r>
        <w:t xml:space="preserve"> </w:t>
      </w:r>
      <w:r>
        <w:t xml:space="preserve">= 0,0021) y edad, tratamiento y tiempo (</w:t>
      </w:r>
      <w:r>
        <w:rPr>
          <w:iCs/>
          <w:i/>
        </w:rPr>
        <w:t xml:space="preserve">F</w:t>
      </w:r>
      <w:r>
        <w:rPr>
          <w:vertAlign w:val="subscript"/>
        </w:rPr>
        <w:t xml:space="preserve">Edad × Tratamiento × Tiempo</w:t>
      </w:r>
      <w:r>
        <w:t xml:space="preserve">(5,85; 105,26) = 7,89;</w:t>
      </w:r>
      <w:r>
        <w:t xml:space="preserve"> </w:t>
      </w:r>
      <w:r>
        <w:rPr>
          <w:iCs/>
          <w:i/>
        </w:rPr>
        <w:t xml:space="preserve">p</w:t>
      </w:r>
      <w:r>
        <w:t xml:space="preserve"> </w:t>
      </w:r>
      <w:r>
        <w:t xml:space="preserve">&lt; 0,0001). Durante este intervalo, los juveniles previamente expuestos a sacarosa mantuvieron un consumo promedio inferior al del control (-14,59 %), aunque esta diferencia no alcanzó significancia estadística (</w:t>
      </w:r>
      <w:r>
        <w:rPr>
          <w:iCs/>
          <w:i/>
        </w:rPr>
        <w:t xml:space="preserve">p</w:t>
      </w:r>
      <w:r>
        <w:t xml:space="preserve"> </w:t>
      </w:r>
      <w:r>
        <w:t xml:space="preserve">= 0,051).</w:t>
      </w:r>
    </w:p>
    <w:p>
      <w:pPr>
        <w:pStyle w:val="BodyText"/>
      </w:pPr>
      <w:r>
        <w:t xml:space="preserve">Por el contrario, el análisis del período D11–D25 reveló una interacción significativa entre edad y tratamiento (</w:t>
      </w:r>
      <w:r>
        <w:rPr>
          <w:iCs/>
          <w:i/>
        </w:rPr>
        <w:t xml:space="preserve">F</w:t>
      </w:r>
      <w:r>
        <w:rPr>
          <w:vertAlign w:val="subscript"/>
        </w:rPr>
        <w:t xml:space="preserve">Edad × Tratamiento</w:t>
      </w:r>
      <w:r>
        <w:t xml:space="preserve">(2, 36) = 10,47;</w:t>
      </w:r>
      <w:r>
        <w:t xml:space="preserve"> </w:t>
      </w:r>
      <w:r>
        <w:rPr>
          <w:iCs/>
          <w:i/>
        </w:rPr>
        <w:t xml:space="preserve">p</w:t>
      </w:r>
      <w:r>
        <w:t xml:space="preserve"> </w:t>
      </w:r>
      <w:r>
        <w:t xml:space="preserve">= 0,00026), así como efectos significativos del tiempo (</w:t>
      </w:r>
      <w:r>
        <w:rPr>
          <w:iCs/>
          <w:i/>
        </w:rPr>
        <w:t xml:space="preserve">F</w:t>
      </w:r>
      <w:r>
        <w:rPr>
          <w:vertAlign w:val="subscript"/>
        </w:rPr>
        <w:t xml:space="preserve">Tiempo</w:t>
      </w:r>
      <w:r>
        <w:t xml:space="preserve">(2,79; 100,55) = 11,05;</w:t>
      </w:r>
      <w:r>
        <w:t xml:space="preserve"> </w:t>
      </w:r>
      <w:r>
        <w:rPr>
          <w:iCs/>
          <w:i/>
        </w:rPr>
        <w:t xml:space="preserve">p</w:t>
      </w:r>
      <w:r>
        <w:t xml:space="preserve"> </w:t>
      </w:r>
      <w:r>
        <w:t xml:space="preserve">&lt; 0,0001) y de las interacciones edad × tiempo (</w:t>
      </w:r>
      <w:r>
        <w:rPr>
          <w:iCs/>
          <w:i/>
        </w:rPr>
        <w:t xml:space="preserve">F</w:t>
      </w:r>
      <w:r>
        <w:t xml:space="preserve">(2,79; 100,55) = 2,93;</w:t>
      </w:r>
      <w:r>
        <w:t xml:space="preserve"> </w:t>
      </w:r>
      <w:r>
        <w:rPr>
          <w:iCs/>
          <w:i/>
        </w:rPr>
        <w:t xml:space="preserve">p</w:t>
      </w:r>
      <w:r>
        <w:t xml:space="preserve"> </w:t>
      </w:r>
      <w:r>
        <w:t xml:space="preserve">= 0,041) y tratamiento × tiempo (</w:t>
      </w:r>
      <w:r>
        <w:rPr>
          <w:iCs/>
          <w:i/>
        </w:rPr>
        <w:t xml:space="preserve">F</w:t>
      </w:r>
      <w:r>
        <w:t xml:space="preserve">(5,59; 100,55) = 3,91;</w:t>
      </w:r>
      <w:r>
        <w:t xml:space="preserve"> </w:t>
      </w:r>
      <w:r>
        <w:rPr>
          <w:iCs/>
          <w:i/>
        </w:rPr>
        <w:t xml:space="preserve">p</w:t>
      </w:r>
      <w:r>
        <w:t xml:space="preserve"> </w:t>
      </w:r>
      <w:r>
        <w:t xml:space="preserve">= 0,0019). En este período, los juveniles previamente expuestos a stevia mostraron un incremento del consumo, con valores promedio un 24,83 % superiores a los del control (</w:t>
      </w:r>
      <w:r>
        <w:rPr>
          <w:iCs/>
          <w:i/>
        </w:rPr>
        <w:t xml:space="preserve">p</w:t>
      </w:r>
      <w:r>
        <w:t xml:space="preserve"> </w:t>
      </w:r>
      <w:r>
        <w:t xml:space="preserve">= 0,00024). Por su parte, los juveniles previamente expuestos a sacarosa mostraron una aproximación progresiva a los valores del control, sin diferencias significativas durante D17–D25 (</w:t>
      </w:r>
      <w:r>
        <w:rPr>
          <w:iCs/>
          <w:i/>
        </w:rPr>
        <w:t xml:space="preserve">p</w:t>
      </w:r>
      <w:r>
        <w:t xml:space="preserve"> </w:t>
      </w:r>
      <w:r>
        <w:t xml:space="preserve">&gt; 0,05). En cambio, los grupos adultos no presentaron diferencias significativas respecto de su control de edad en todo el período estudiado (D1–D25).</w:t>
      </w:r>
    </w:p>
    <w:p>
      <w:pPr>
        <w:pStyle w:val="BodyText"/>
        <w:keepNext/>
        <w:jc w:val="center"/>
      </w:pPr>
      <w:r>
        <w:drawing>
          <wp:inline>
            <wp:extent cx="4607999" cy="2228554"/>
            <wp:effectExtent b="0" l="0" r="0" t="0"/>
            <wp:docPr descr="image" title="" id="1" name="Picture"/>
            <a:graphic>
              <a:graphicData uri="http://schemas.openxmlformats.org/drawingml/2006/picture">
                <pic:pic>
                  <pic:nvPicPr>
                    <pic:cNvPr descr="img/Fig5_agua_periodo_agua_D1_D25_es.png" id="0" name="Picture"/>
                    <pic:cNvPicPr>
                      <a:picLocks noChangeArrowheads="1" noChangeAspect="1"/>
                    </pic:cNvPicPr>
                  </pic:nvPicPr>
                  <pic:blipFill>
                    <a:blip r:embed="rId46"/>
                    <a:stretch>
                      <a:fillRect/>
                    </a:stretch>
                  </pic:blipFill>
                  <pic:spPr bwMode="auto">
                    <a:xfrm>
                      <a:off x="0" y="0"/>
                      <a:ext cx="4607999" cy="2228554"/>
                    </a:xfrm>
                    <a:prstGeom prst="rect">
                      <a:avLst/>
                    </a:prstGeom>
                    <a:noFill/>
                    <a:ln w="9525">
                      <a:noFill/>
                      <a:headEnd/>
                      <a:tailEnd/>
                    </a:ln>
                  </pic:spPr>
                </pic:pic>
              </a:graphicData>
            </a:graphic>
          </wp:inline>
        </w:drawing>
      </w:r>
    </w:p>
    <w:p>
      <w:pPr>
        <w:pStyle w:val="BodyText"/>
        <w:spacing w:after="240"/>
      </w:pPr>
      <w:r>
        <w:rPr>
          <w:bCs/>
          <w:b/>
          <w:sz w:val="19"/>
        </w:rPr>
        <w:t xml:space="preserve">Figura 5.4.</w:t>
      </w:r>
      <w:r>
        <w:rPr>
          <w:sz w:val="19"/>
        </w:rPr>
        <w:t xml:space="preserve"> </w:t>
      </w:r>
      <w:r>
        <w:rPr>
          <w:sz w:val="19"/>
        </w:rPr>
        <w:t xml:space="preserve">Consumo de agua luego del tratamiento con los endulzantes (período agua), expresado como porcentaje del grupo control de la misma edad, desde el día 1 (D1) hasta el día 25 (D25) posteriores al tratamiento. Datos expresados como media ± SEM, según la edad y el tratamiento previo;</w:t>
      </w:r>
      <w:r>
        <w:rPr>
          <w:sz w:val="19"/>
        </w:rPr>
        <w:t xml:space="preserve"> </w:t>
      </w:r>
      <w:r>
        <w:rPr>
          <w:iCs/>
          <w:i/>
          <w:sz w:val="19"/>
        </w:rPr>
        <w:t xml:space="preserve">n</w:t>
      </w:r>
      <w:r>
        <w:rPr>
          <w:sz w:val="19"/>
        </w:rPr>
        <w:t xml:space="preserve"> </w:t>
      </w:r>
      <w:r>
        <w:rPr>
          <w:sz w:val="19"/>
        </w:rPr>
        <w:t xml:space="preserve">= 7 cajas por grupo.</w:t>
      </w:r>
    </w:p>
    <w:bookmarkEnd w:id="47"/>
    <w:bookmarkEnd w:id="48"/>
    <w:bookmarkStart w:id="58" w:name="conducta-tipo-ansiosa-of"/>
    <w:p>
      <w:pPr>
        <w:pStyle w:val="Heading2"/>
      </w:pPr>
      <w:r>
        <w:t xml:space="preserve">5.2 Conducta tipo ansiosa (OF)</w:t>
      </w:r>
    </w:p>
    <w:p>
      <w:pPr>
        <w:pStyle w:val="FirstParagraph"/>
      </w:pPr>
      <w:r>
        <w:t xml:space="preserve">La actividad locomotora y la exploración de la arena se evaluaron en el OF al finalizar el protocolo. No se encontraron diferencias en la distancia total recorrida entre los seis grupos (ANOVA de dos vías,</w:t>
      </w:r>
      <w:r>
        <w:t xml:space="preserve"> </w:t>
      </w:r>
      <w:r>
        <w:rPr>
          <w:iCs/>
          <w:i/>
        </w:rPr>
        <w:t xml:space="preserve">F</w:t>
      </w:r>
      <w:r>
        <w:rPr>
          <w:vertAlign w:val="subscript"/>
        </w:rPr>
        <w:t xml:space="preserve">Tratamiento</w:t>
      </w:r>
      <w:r>
        <w:t xml:space="preserve">(2, 66) = 0,90;</w:t>
      </w:r>
      <w:r>
        <w:t xml:space="preserve"> </w:t>
      </w:r>
      <w:r>
        <w:rPr>
          <w:iCs/>
          <w:i/>
        </w:rPr>
        <w:t xml:space="preserve">p</w:t>
      </w:r>
      <w:r>
        <w:t xml:space="preserve"> </w:t>
      </w:r>
      <w:r>
        <w:t xml:space="preserve">= 0,41;</w:t>
      </w:r>
      <w:r>
        <w:t xml:space="preserve"> </w:t>
      </w:r>
      <w:r>
        <w:rPr>
          <w:iCs/>
          <w:i/>
        </w:rPr>
        <w:t xml:space="preserve">F</w:t>
      </w:r>
      <w:r>
        <w:rPr>
          <w:vertAlign w:val="subscript"/>
        </w:rPr>
        <w:t xml:space="preserve">Edad</w:t>
      </w:r>
      <w:r>
        <w:t xml:space="preserve">(1, 66) = 0,31;</w:t>
      </w:r>
      <w:r>
        <w:t xml:space="preserve"> </w:t>
      </w:r>
      <w:r>
        <w:rPr>
          <w:iCs/>
          <w:i/>
        </w:rPr>
        <w:t xml:space="preserve">p</w:t>
      </w:r>
      <w:r>
        <w:t xml:space="preserve"> </w:t>
      </w:r>
      <w:r>
        <w:t xml:space="preserve">= 0,58;</w:t>
      </w:r>
      <w:r>
        <w:t xml:space="preserve"> </w:t>
      </w:r>
      <w:r>
        <w:rPr>
          <w:iCs/>
          <w:i/>
        </w:rPr>
        <w:t xml:space="preserve">F</w:t>
      </w:r>
      <w:r>
        <w:rPr>
          <w:vertAlign w:val="subscript"/>
        </w:rPr>
        <w:t xml:space="preserve">Interacción</w:t>
      </w:r>
      <w:r>
        <w:t xml:space="preserve">(2, 66) = 0,06;</w:t>
      </w:r>
      <w:r>
        <w:t xml:space="preserve"> </w:t>
      </w:r>
      <w:r>
        <w:rPr>
          <w:iCs/>
          <w:i/>
        </w:rPr>
        <w:t xml:space="preserve">p</w:t>
      </w:r>
      <w:r>
        <w:t xml:space="preserve"> </w:t>
      </w:r>
      <w:r>
        <w:t xml:space="preserve">= 0,94; Figura 5.5A), y ninguna comparación de Tukey resultó significativa, lo que indica que ni la sacarosa ni la stevia modificaron la actividad locomotora general. Sin embargo, los animales expuestos a stevia fueron los que visitaron más zonas, independientemente de la edad de exposición (ANOVA de dos vías,</w:t>
      </w:r>
      <w:r>
        <w:t xml:space="preserve"> </w:t>
      </w:r>
      <w:r>
        <w:rPr>
          <w:iCs/>
          <w:i/>
        </w:rPr>
        <w:t xml:space="preserve">F</w:t>
      </w:r>
      <w:r>
        <w:rPr>
          <w:vertAlign w:val="subscript"/>
        </w:rPr>
        <w:t xml:space="preserve">Interacción</w:t>
      </w:r>
      <w:r>
        <w:t xml:space="preserve">(2, 63) = 3,28;</w:t>
      </w:r>
      <w:r>
        <w:t xml:space="preserve"> </w:t>
      </w:r>
      <w:r>
        <w:rPr>
          <w:iCs/>
          <w:i/>
        </w:rPr>
        <w:t xml:space="preserve">p</w:t>
      </w:r>
      <w:r>
        <w:t xml:space="preserve"> </w:t>
      </w:r>
      <w:r>
        <w:t xml:space="preserve">= 0,044;</w:t>
      </w:r>
      <w:r>
        <w:t xml:space="preserve"> </w:t>
      </w:r>
      <w:r>
        <w:rPr>
          <w:iCs/>
          <w:i/>
        </w:rPr>
        <w:t xml:space="preserve">F</w:t>
      </w:r>
      <w:r>
        <w:rPr>
          <w:vertAlign w:val="subscript"/>
        </w:rPr>
        <w:t xml:space="preserve">Tratamiento</w:t>
      </w:r>
      <w:r>
        <w:t xml:space="preserve">(2, 63) = 37,01;</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63) = 0,03;</w:t>
      </w:r>
      <w:r>
        <w:t xml:space="preserve"> </w:t>
      </w:r>
      <w:r>
        <w:rPr>
          <w:iCs/>
          <w:i/>
        </w:rPr>
        <w:t xml:space="preserve">p</w:t>
      </w:r>
      <w:r>
        <w:t xml:space="preserve"> </w:t>
      </w:r>
      <w:r>
        <w:t xml:space="preserve">= 0,87; prueba</w:t>
      </w:r>
      <w:r>
        <w:t xml:space="preserve"> </w:t>
      </w:r>
      <w:r>
        <w:rPr>
          <w:iCs/>
          <w:i/>
        </w:rPr>
        <w:t xml:space="preserve">post hoc</w:t>
      </w:r>
      <w:r>
        <w:t xml:space="preserve"> </w:t>
      </w:r>
      <w:r>
        <w:t xml:space="preserve">de Tukey, control vs. stevia:</w:t>
      </w:r>
      <w:r>
        <w:t xml:space="preserve"> </w:t>
      </w:r>
      <w:r>
        <w:rPr>
          <w:iCs/>
          <w:i/>
        </w:rPr>
        <w:t xml:space="preserve">p</w:t>
      </w:r>
      <w:r>
        <w:t xml:space="preserve"> </w:t>
      </w:r>
      <w:r>
        <w:t xml:space="preserve">&lt; 0,0001 en ambas edades; Figura 5.5D). En cambio, los juveniles expuestos a sacarosa fueron los que menos zonas visitaron (control vs. sacarosa:</w:t>
      </w:r>
      <w:r>
        <w:t xml:space="preserve"> </w:t>
      </w:r>
      <w:r>
        <w:rPr>
          <w:iCs/>
          <w:i/>
        </w:rPr>
        <w:t xml:space="preserve">p</w:t>
      </w:r>
      <w:r>
        <w:t xml:space="preserve"> </w:t>
      </w:r>
      <w:r>
        <w:t xml:space="preserve">&lt; 0,05), sin diferencias en el grupo adulto (</w:t>
      </w:r>
      <w:r>
        <w:rPr>
          <w:iCs/>
          <w:i/>
        </w:rPr>
        <w:t xml:space="preserve">p</w:t>
      </w:r>
      <w:r>
        <w:t xml:space="preserve"> </w:t>
      </w:r>
      <w:r>
        <w:t xml:space="preserve">&gt; 0,05).</w:t>
      </w:r>
    </w:p>
    <w:p>
      <w:pPr>
        <w:pStyle w:val="BodyText"/>
      </w:pPr>
      <w:r>
        <w:t xml:space="preserve">La exploración de las zonas centrales también dependió del tratamiento. Los animales expuestos a stevia ingresaron más veces a las zonas centrales (zonas 1+2) y recorrieron en ellas mayor distancia que los otros grupos, independientemente de la edad de exposición (entradas: ANOVA de dos vías,</w:t>
      </w:r>
      <w:r>
        <w:t xml:space="preserve"> </w:t>
      </w:r>
      <w:r>
        <w:rPr>
          <w:iCs/>
          <w:i/>
        </w:rPr>
        <w:t xml:space="preserve">F</w:t>
      </w:r>
      <w:r>
        <w:rPr>
          <w:vertAlign w:val="subscript"/>
        </w:rPr>
        <w:t xml:space="preserve">Tratamiento</w:t>
      </w:r>
      <w:r>
        <w:t xml:space="preserve">(2, 57) = 91,79;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57) = 3,51;</w:t>
      </w:r>
      <w:r>
        <w:t xml:space="preserve"> </w:t>
      </w:r>
      <w:r>
        <w:rPr>
          <w:iCs/>
          <w:i/>
        </w:rPr>
        <w:t xml:space="preserve">p</w:t>
      </w:r>
      <w:r>
        <w:t xml:space="preserve"> </w:t>
      </w:r>
      <w:r>
        <w:t xml:space="preserve">= 0,066;</w:t>
      </w:r>
      <w:r>
        <w:t xml:space="preserve"> </w:t>
      </w:r>
      <w:r>
        <w:rPr>
          <w:iCs/>
          <w:i/>
        </w:rPr>
        <w:t xml:space="preserve">F</w:t>
      </w:r>
      <w:r>
        <w:rPr>
          <w:vertAlign w:val="subscript"/>
        </w:rPr>
        <w:t xml:space="preserve">Interacción</w:t>
      </w:r>
      <w:r>
        <w:t xml:space="preserve">(2, 57) = 1,88;</w:t>
      </w:r>
      <w:r>
        <w:t xml:space="preserve"> </w:t>
      </w:r>
      <w:r>
        <w:rPr>
          <w:iCs/>
          <w:i/>
        </w:rPr>
        <w:t xml:space="preserve">p</w:t>
      </w:r>
      <w:r>
        <w:t xml:space="preserve"> </w:t>
      </w:r>
      <w:r>
        <w:t xml:space="preserve">= 0,16; distancia:</w:t>
      </w:r>
      <w:r>
        <w:t xml:space="preserve"> </w:t>
      </w:r>
      <w:r>
        <w:rPr>
          <w:iCs/>
          <w:i/>
        </w:rPr>
        <w:t xml:space="preserve">F</w:t>
      </w:r>
      <w:r>
        <w:rPr>
          <w:vertAlign w:val="subscript"/>
        </w:rPr>
        <w:t xml:space="preserve">Interacción</w:t>
      </w:r>
      <w:r>
        <w:t xml:space="preserve">(2, 69) = 5,05;</w:t>
      </w:r>
      <w:r>
        <w:t xml:space="preserve"> </w:t>
      </w:r>
      <w:r>
        <w:rPr>
          <w:iCs/>
          <w:i/>
        </w:rPr>
        <w:t xml:space="preserve">p</w:t>
      </w:r>
      <w:r>
        <w:t xml:space="preserve"> </w:t>
      </w:r>
      <w:r>
        <w:t xml:space="preserve">= 0,009;</w:t>
      </w:r>
      <w:r>
        <w:t xml:space="preserve"> </w:t>
      </w:r>
      <w:r>
        <w:rPr>
          <w:iCs/>
          <w:i/>
        </w:rPr>
        <w:t xml:space="preserve">F</w:t>
      </w:r>
      <w:r>
        <w:rPr>
          <w:vertAlign w:val="subscript"/>
        </w:rPr>
        <w:t xml:space="preserve">Tratamiento</w:t>
      </w:r>
      <w:r>
        <w:t xml:space="preserve">(2, 69) = 38,88;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69) = 3,15;</w:t>
      </w:r>
      <w:r>
        <w:t xml:space="preserve"> </w:t>
      </w:r>
      <w:r>
        <w:rPr>
          <w:iCs/>
          <w:i/>
        </w:rPr>
        <w:t xml:space="preserve">p</w:t>
      </w:r>
      <w:r>
        <w:t xml:space="preserve"> </w:t>
      </w:r>
      <w:r>
        <w:t xml:space="preserve">= 0,080; Figura 5.5B y C). En la prueba</w:t>
      </w:r>
      <w:r>
        <w:t xml:space="preserve"> </w:t>
      </w:r>
      <w:r>
        <w:rPr>
          <w:iCs/>
          <w:i/>
        </w:rPr>
        <w:t xml:space="preserve">post hoc</w:t>
      </w:r>
      <w:r>
        <w:t xml:space="preserve"> </w:t>
      </w:r>
      <w:r>
        <w:t xml:space="preserve">de Tukey, las entradas fueron mayores con stevia que en el control en ambas edades (control vs. stevia:</w:t>
      </w:r>
      <w:r>
        <w:t xml:space="preserve"> </w:t>
      </w:r>
      <w:r>
        <w:rPr>
          <w:iCs/>
          <w:i/>
        </w:rPr>
        <w:t xml:space="preserve">p</w:t>
      </w:r>
      <w:r>
        <w:t xml:space="preserve"> </w:t>
      </w:r>
      <w:r>
        <w:t xml:space="preserve">&lt; 0,0001), al igual que la distancia recorrida (control vs. stevia: juvenil,</w:t>
      </w:r>
      <w:r>
        <w:t xml:space="preserve"> </w:t>
      </w:r>
      <w:r>
        <w:rPr>
          <w:iCs/>
          <w:i/>
        </w:rPr>
        <w:t xml:space="preserve">p</w:t>
      </w:r>
      <w:r>
        <w:t xml:space="preserve"> </w:t>
      </w:r>
      <w:r>
        <w:t xml:space="preserve">&lt; 0,01; adulto,</w:t>
      </w:r>
      <w:r>
        <w:t xml:space="preserve"> </w:t>
      </w:r>
      <w:r>
        <w:rPr>
          <w:iCs/>
          <w:i/>
        </w:rPr>
        <w:t xml:space="preserve">p</w:t>
      </w:r>
      <w:r>
        <w:t xml:space="preserve"> </w:t>
      </w:r>
      <w:r>
        <w:t xml:space="preserve">&lt; 0,0001). Por el contrario, solo los animales que consumieron sacarosa durante la etapa juvenil ingresaron menos veces a las zonas 1+2 y recorrieron en ellas menor distancia que sus controles (control vs. sacarosa: entradas,</w:t>
      </w:r>
      <w:r>
        <w:t xml:space="preserve"> </w:t>
      </w:r>
      <w:r>
        <w:rPr>
          <w:iCs/>
          <w:i/>
        </w:rPr>
        <w:t xml:space="preserve">p</w:t>
      </w:r>
      <w:r>
        <w:t xml:space="preserve"> </w:t>
      </w:r>
      <w:r>
        <w:t xml:space="preserve">&lt; 0,01; distancia,</w:t>
      </w:r>
      <w:r>
        <w:t xml:space="preserve"> </w:t>
      </w:r>
      <w:r>
        <w:rPr>
          <w:iCs/>
          <w:i/>
        </w:rPr>
        <w:t xml:space="preserve">p</w:t>
      </w:r>
      <w:r>
        <w:t xml:space="preserve"> </w:t>
      </w:r>
      <w:r>
        <w:t xml:space="preserve">&lt; 0,001), sin diferencias en los adultos (</w:t>
      </w:r>
      <w:r>
        <w:rPr>
          <w:iCs/>
          <w:i/>
        </w:rPr>
        <w:t xml:space="preserve">p</w:t>
      </w:r>
      <w:r>
        <w:t xml:space="preserve"> </w:t>
      </w:r>
      <w:r>
        <w:t xml:space="preserve">&gt; 0,05).</w:t>
      </w:r>
    </w:p>
    <w:p>
      <w:pPr>
        <w:pStyle w:val="BodyText"/>
      </w:pPr>
      <w:r>
        <w:t xml:space="preserve">De manera similar, los animales expuestos a stevia ingresaron más veces y recorrieron más distancia en la zona 1, pero las diferencias fueron significativas solo en el grupo adulto (entradas: ANOVA de dos vías,</w:t>
      </w:r>
      <w:r>
        <w:t xml:space="preserve"> </w:t>
      </w:r>
      <w:r>
        <w:rPr>
          <w:iCs/>
          <w:i/>
        </w:rPr>
        <w:t xml:space="preserve">F</w:t>
      </w:r>
      <w:r>
        <w:rPr>
          <w:vertAlign w:val="subscript"/>
        </w:rPr>
        <w:t xml:space="preserve">Tratamiento</w:t>
      </w:r>
      <w:r>
        <w:t xml:space="preserve">(2, 72) = 4,11;</w:t>
      </w:r>
      <w:r>
        <w:t xml:space="preserve"> </w:t>
      </w:r>
      <w:r>
        <w:rPr>
          <w:iCs/>
          <w:i/>
        </w:rPr>
        <w:t xml:space="preserve">p</w:t>
      </w:r>
      <w:r>
        <w:t xml:space="preserve"> </w:t>
      </w:r>
      <w:r>
        <w:t xml:space="preserve">= 0,020;</w:t>
      </w:r>
      <w:r>
        <w:t xml:space="preserve"> </w:t>
      </w:r>
      <w:r>
        <w:rPr>
          <w:iCs/>
          <w:i/>
        </w:rPr>
        <w:t xml:space="preserve">F</w:t>
      </w:r>
      <w:r>
        <w:rPr>
          <w:vertAlign w:val="subscript"/>
        </w:rPr>
        <w:t xml:space="preserve">Edad</w:t>
      </w:r>
      <w:r>
        <w:t xml:space="preserve">(1, 72) = 6,20;</w:t>
      </w:r>
      <w:r>
        <w:t xml:space="preserve"> </w:t>
      </w:r>
      <w:r>
        <w:rPr>
          <w:iCs/>
          <w:i/>
        </w:rPr>
        <w:t xml:space="preserve">p</w:t>
      </w:r>
      <w:r>
        <w:t xml:space="preserve"> </w:t>
      </w:r>
      <w:r>
        <w:t xml:space="preserve">= 0,015;</w:t>
      </w:r>
      <w:r>
        <w:t xml:space="preserve"> </w:t>
      </w:r>
      <w:r>
        <w:rPr>
          <w:iCs/>
          <w:i/>
        </w:rPr>
        <w:t xml:space="preserve">F</w:t>
      </w:r>
      <w:r>
        <w:rPr>
          <w:vertAlign w:val="subscript"/>
        </w:rPr>
        <w:t xml:space="preserve">Interacción</w:t>
      </w:r>
      <w:r>
        <w:t xml:space="preserve">(2, 72) = 2,29;</w:t>
      </w:r>
      <w:r>
        <w:t xml:space="preserve"> </w:t>
      </w:r>
      <w:r>
        <w:rPr>
          <w:iCs/>
          <w:i/>
        </w:rPr>
        <w:t xml:space="preserve">p</w:t>
      </w:r>
      <w:r>
        <w:t xml:space="preserve"> </w:t>
      </w:r>
      <w:r>
        <w:t xml:space="preserve">= 0,11; control vs. stevia en adultos:</w:t>
      </w:r>
      <w:r>
        <w:t xml:space="preserve"> </w:t>
      </w:r>
      <w:r>
        <w:rPr>
          <w:iCs/>
          <w:i/>
        </w:rPr>
        <w:t xml:space="preserve">p</w:t>
      </w:r>
      <w:r>
        <w:t xml:space="preserve"> </w:t>
      </w:r>
      <w:r>
        <w:t xml:space="preserve">&lt; 0,01; distancia:</w:t>
      </w:r>
      <w:r>
        <w:t xml:space="preserve"> </w:t>
      </w:r>
      <w:r>
        <w:rPr>
          <w:iCs/>
          <w:i/>
        </w:rPr>
        <w:t xml:space="preserve">F</w:t>
      </w:r>
      <w:r>
        <w:rPr>
          <w:vertAlign w:val="subscript"/>
        </w:rPr>
        <w:t xml:space="preserve">Tratamiento</w:t>
      </w:r>
      <w:r>
        <w:t xml:space="preserve">(2, 74) = 2,80;</w:t>
      </w:r>
      <w:r>
        <w:t xml:space="preserve"> </w:t>
      </w:r>
      <w:r>
        <w:rPr>
          <w:iCs/>
          <w:i/>
        </w:rPr>
        <w:t xml:space="preserve">p</w:t>
      </w:r>
      <w:r>
        <w:t xml:space="preserve"> </w:t>
      </w:r>
      <w:r>
        <w:t xml:space="preserve">= 0,067;</w:t>
      </w:r>
      <w:r>
        <w:t xml:space="preserve"> </w:t>
      </w:r>
      <w:r>
        <w:rPr>
          <w:iCs/>
          <w:i/>
        </w:rPr>
        <w:t xml:space="preserve">F</w:t>
      </w:r>
      <w:r>
        <w:rPr>
          <w:vertAlign w:val="subscript"/>
        </w:rPr>
        <w:t xml:space="preserve">Edad</w:t>
      </w:r>
      <w:r>
        <w:t xml:space="preserve">(1, 74) = 3,85;</w:t>
      </w:r>
      <w:r>
        <w:t xml:space="preserve"> </w:t>
      </w:r>
      <w:r>
        <w:rPr>
          <w:iCs/>
          <w:i/>
        </w:rPr>
        <w:t xml:space="preserve">p</w:t>
      </w:r>
      <w:r>
        <w:t xml:space="preserve"> </w:t>
      </w:r>
      <w:r>
        <w:t xml:space="preserve">= 0,053;</w:t>
      </w:r>
      <w:r>
        <w:t xml:space="preserve"> </w:t>
      </w:r>
      <w:r>
        <w:rPr>
          <w:iCs/>
          <w:i/>
        </w:rPr>
        <w:t xml:space="preserve">F</w:t>
      </w:r>
      <w:r>
        <w:rPr>
          <w:vertAlign w:val="subscript"/>
        </w:rPr>
        <w:t xml:space="preserve">Interacción</w:t>
      </w:r>
      <w:r>
        <w:t xml:space="preserve">(2, 74) = 0,94;</w:t>
      </w:r>
      <w:r>
        <w:t xml:space="preserve"> </w:t>
      </w:r>
      <w:r>
        <w:rPr>
          <w:iCs/>
          <w:i/>
        </w:rPr>
        <w:t xml:space="preserve">p</w:t>
      </w:r>
      <w:r>
        <w:t xml:space="preserve"> </w:t>
      </w:r>
      <w:r>
        <w:t xml:space="preserve">= 0,39; control vs. stevia en adultos:</w:t>
      </w:r>
      <w:r>
        <w:t xml:space="preserve"> </w:t>
      </w:r>
      <w:r>
        <w:rPr>
          <w:iCs/>
          <w:i/>
        </w:rPr>
        <w:t xml:space="preserve">p</w:t>
      </w:r>
      <w:r>
        <w:t xml:space="preserve"> </w:t>
      </w:r>
      <w:r>
        <w:t xml:space="preserve">&lt; 0,05; Figura 5.5E y F).</w:t>
      </w:r>
    </w:p>
    <w:p>
      <w:pPr>
        <w:pStyle w:val="BodyText"/>
      </w:pPr>
      <w:r>
        <w:t xml:space="preserve">Como la distancia total recorrida no varió entre grupos, estas diferencias no se explican por cambios en la capacidad locomotora, sino por el lugar de la arena en el que el animal eligió permanecer. En conjunto, estos resultados indican que los animales expuestos a stevia durante la etapa juvenil o adulta presentaron una mayor exploración de las zonas centrales de la arena que sus respectivos controles y que los animales expuestos a sacarosa, sin modificaciones en la distancia total recorrida. En contraste, únicamente los animales expuestos a sacarosa durante la etapa juvenil mostraron una menor exploración de las zonas centrales respecto de sus controles, evidenciada por una reducción tanto en el número de entradas como en la distancia recorrida en esas zonas.</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total.png" id="0" name="Picture"/>
                    <pic:cNvPicPr>
                      <a:picLocks noChangeArrowheads="1" noChangeAspect="1"/>
                    </pic:cNvPicPr>
                  </pic:nvPicPr>
                  <pic:blipFill>
                    <a:blip r:embed="rId49"/>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2.png" id="0" name="Picture"/>
                    <pic:cNvPicPr>
                      <a:picLocks noChangeArrowheads="1" noChangeAspect="1"/>
                    </pic:cNvPicPr>
                  </pic:nvPicPr>
                  <pic:blipFill>
                    <a:blip r:embed="rId50"/>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(C)</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2.png" id="0" name="Picture"/>
                    <pic:cNvPicPr>
                      <a:picLocks noChangeArrowheads="1" noChangeAspect="1"/>
                    </pic:cNvPicPr>
                  </pic:nvPicPr>
                  <pic:blipFill>
                    <a:blip r:embed="rId51"/>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1843199" cy="1716082"/>
            <wp:effectExtent b="0" l="0" r="0" t="0"/>
            <wp:docPr descr="image" title="" id="1" name="Picture"/>
            <a:graphic>
              <a:graphicData uri="http://schemas.openxmlformats.org/drawingml/2006/picture">
                <pic:pic>
                  <pic:nvPicPr>
                    <pic:cNvPr descr="img/Fig5_OF_zonas_visitadas.png" id="0" name="Picture"/>
                    <pic:cNvPicPr>
                      <a:picLocks noChangeArrowheads="1" noChangeAspect="1"/>
                    </pic:cNvPicPr>
                  </pic:nvPicPr>
                  <pic:blipFill>
                    <a:blip r:embed="rId52"/>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(E)</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png" id="0" name="Picture"/>
                    <pic:cNvPicPr>
                      <a:picLocks noChangeArrowheads="1" noChangeAspect="1"/>
                    </pic:cNvPicPr>
                  </pic:nvPicPr>
                  <pic:blipFill>
                    <a:blip r:embed="rId53"/>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(F)</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png" id="0" name="Picture"/>
                    <pic:cNvPicPr>
                      <a:picLocks noChangeArrowheads="1" noChangeAspect="1"/>
                    </pic:cNvPicPr>
                  </pic:nvPicPr>
                  <pic:blipFill>
                    <a:blip r:embed="rId54"/>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5.5.</w:t>
      </w:r>
      <w:r>
        <w:rPr>
          <w:sz w:val="19"/>
        </w:rPr>
        <w:t xml:space="preserve"> </w:t>
      </w:r>
      <w:r>
        <w:rPr>
          <w:sz w:val="19"/>
        </w:rPr>
        <w:t xml:space="preserve">Actividad locomotora y exploración de la arena en el</w:t>
      </w:r>
      <w:r>
        <w:rPr>
          <w:sz w:val="19"/>
        </w:rPr>
        <w:t xml:space="preserve"> </w:t>
      </w:r>
      <w:r>
        <w:rPr>
          <w:iCs/>
          <w:i/>
          <w:sz w:val="19"/>
        </w:rPr>
        <w:t xml:space="preserve">open field</w:t>
      </w:r>
      <w:r>
        <w:rPr>
          <w:sz w:val="19"/>
        </w:rPr>
        <w:t xml:space="preserve"> </w:t>
      </w:r>
      <w:r>
        <w:rPr>
          <w:sz w:val="19"/>
        </w:rPr>
        <w:t xml:space="preserve">(OF). (A) Distancia total recorrida. (B) Entradas a las zonas centrales (zonas 1+2). (C) Distancia recorrida en las zonas 1+2. (D) Número de zonas visitadas. (E) Entradas a la zona central (zona 1). (F) Distancia recorrida en la zona 1.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r>
        <w:rPr>
          <w:sz w:val="19"/>
        </w:rPr>
        <w:t xml:space="preserve"> </w:t>
      </w:r>
      <w:r>
        <w:rPr>
          <w:bCs/>
          <w:b/>
          <w:sz w:val="19"/>
        </w:rPr>
        <w:t xml:space="preserve">[CONFIRMAR: hoy los grupos stevia tienen 6 o 7 animales; la Dra. Kruse va a sumar animales de 2024 a ese grupo]</w:t>
      </w:r>
    </w:p>
    <w:p>
      <w:pPr>
        <w:pStyle w:val="BodyText"/>
      </w:pPr>
      <w:r>
        <w:t xml:space="preserve">También se analizó la conducta de</w:t>
      </w:r>
      <w:r>
        <w:t xml:space="preserve"> </w:t>
      </w:r>
      <w:r>
        <w:rPr>
          <w:iCs/>
          <w:i/>
        </w:rPr>
        <w:t xml:space="preserve">rearing</w:t>
      </w:r>
      <w:r>
        <w:t xml:space="preserve">, en la que el animal se levanta sobre sus patas traseras, ya sea apoyándose en las paredes del recinto o de forma libre en el centro. Este parámetro etológico también fue sensible a los tratamientos (número de eventos: ANOVA de dos vías,</w:t>
      </w:r>
      <w:r>
        <w:t xml:space="preserve"> </w:t>
      </w:r>
      <w:r>
        <w:rPr>
          <w:iCs/>
          <w:i/>
        </w:rPr>
        <w:t xml:space="preserve">F</w:t>
      </w:r>
      <w:r>
        <w:rPr>
          <w:vertAlign w:val="subscript"/>
        </w:rPr>
        <w:t xml:space="preserve">Interacción</w:t>
      </w:r>
      <w:r>
        <w:t xml:space="preserve">(2, 73) = 6,67;</w:t>
      </w:r>
      <w:r>
        <w:t xml:space="preserve"> </w:t>
      </w:r>
      <w:r>
        <w:rPr>
          <w:iCs/>
          <w:i/>
        </w:rPr>
        <w:t xml:space="preserve">p</w:t>
      </w:r>
      <w:r>
        <w:t xml:space="preserve"> </w:t>
      </w:r>
      <w:r>
        <w:t xml:space="preserve">= 0,0022;</w:t>
      </w:r>
      <w:r>
        <w:t xml:space="preserve"> </w:t>
      </w:r>
      <w:r>
        <w:rPr>
          <w:iCs/>
          <w:i/>
        </w:rPr>
        <w:t xml:space="preserve">F</w:t>
      </w:r>
      <w:r>
        <w:rPr>
          <w:vertAlign w:val="subscript"/>
        </w:rPr>
        <w:t xml:space="preserve">Tratamiento</w:t>
      </w:r>
      <w:r>
        <w:t xml:space="preserve">(2, 73) = 12,69;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73) = 3,54;</w:t>
      </w:r>
      <w:r>
        <w:t xml:space="preserve"> </w:t>
      </w:r>
      <w:r>
        <w:rPr>
          <w:iCs/>
          <w:i/>
        </w:rPr>
        <w:t xml:space="preserve">p</w:t>
      </w:r>
      <w:r>
        <w:t xml:space="preserve"> </w:t>
      </w:r>
      <w:r>
        <w:t xml:space="preserve">= 0,064; tiempo:</w:t>
      </w:r>
      <w:r>
        <w:t xml:space="preserve"> </w:t>
      </w:r>
      <w:r>
        <w:rPr>
          <w:iCs/>
          <w:i/>
        </w:rPr>
        <w:t xml:space="preserve">F</w:t>
      </w:r>
      <w:r>
        <w:rPr>
          <w:vertAlign w:val="subscript"/>
        </w:rPr>
        <w:t xml:space="preserve">Tratamiento</w:t>
      </w:r>
      <w:r>
        <w:t xml:space="preserve">(2, 72) = 8,81;</w:t>
      </w:r>
      <w:r>
        <w:t xml:space="preserve"> </w:t>
      </w:r>
      <w:r>
        <w:rPr>
          <w:iCs/>
          <w:i/>
        </w:rPr>
        <w:t xml:space="preserve">p</w:t>
      </w:r>
      <w:r>
        <w:t xml:space="preserve"> </w:t>
      </w:r>
      <w:r>
        <w:t xml:space="preserve">= 0,0004;</w:t>
      </w:r>
      <w:r>
        <w:t xml:space="preserve"> </w:t>
      </w:r>
      <w:r>
        <w:rPr>
          <w:iCs/>
          <w:i/>
        </w:rPr>
        <w:t xml:space="preserve">F</w:t>
      </w:r>
      <w:r>
        <w:rPr>
          <w:vertAlign w:val="subscript"/>
        </w:rPr>
        <w:t xml:space="preserve">Edad</w:t>
      </w:r>
      <w:r>
        <w:t xml:space="preserve">(1, 72) = 10,12;</w:t>
      </w:r>
      <w:r>
        <w:t xml:space="preserve"> </w:t>
      </w:r>
      <w:r>
        <w:rPr>
          <w:iCs/>
          <w:i/>
        </w:rPr>
        <w:t xml:space="preserve">p</w:t>
      </w:r>
      <w:r>
        <w:t xml:space="preserve"> </w:t>
      </w:r>
      <w:r>
        <w:t xml:space="preserve">= 0,0022;</w:t>
      </w:r>
      <w:r>
        <w:t xml:space="preserve"> </w:t>
      </w:r>
      <w:r>
        <w:rPr>
          <w:iCs/>
          <w:i/>
        </w:rPr>
        <w:t xml:space="preserve">F</w:t>
      </w:r>
      <w:r>
        <w:rPr>
          <w:vertAlign w:val="subscript"/>
        </w:rPr>
        <w:t xml:space="preserve">Interacción</w:t>
      </w:r>
      <w:r>
        <w:t xml:space="preserve">(2, 72) = 2,24;</w:t>
      </w:r>
      <w:r>
        <w:t xml:space="preserve"> </w:t>
      </w:r>
      <w:r>
        <w:rPr>
          <w:iCs/>
          <w:i/>
        </w:rPr>
        <w:t xml:space="preserve">p</w:t>
      </w:r>
      <w:r>
        <w:t xml:space="preserve"> </w:t>
      </w:r>
      <w:r>
        <w:t xml:space="preserve">= 0,11; Figura 5.6). En los juveniles, tanto los animales expuestos a sacarosa como los expuestos a stevia realizaron menos eventos de</w:t>
      </w:r>
      <w:r>
        <w:t xml:space="preserve"> </w:t>
      </w:r>
      <w:r>
        <w:rPr>
          <w:iCs/>
          <w:i/>
        </w:rPr>
        <w:t xml:space="preserve">rearing</w:t>
      </w:r>
      <w:r>
        <w:t xml:space="preserve"> </w:t>
      </w:r>
      <w:r>
        <w:t xml:space="preserve">(prueba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&lt; 0,0001; control vs. stevia:</w:t>
      </w:r>
      <w:r>
        <w:t xml:space="preserve"> </w:t>
      </w:r>
      <w:r>
        <w:rPr>
          <w:iCs/>
          <w:i/>
        </w:rPr>
        <w:t xml:space="preserve">p</w:t>
      </w:r>
      <w:r>
        <w:t xml:space="preserve"> </w:t>
      </w:r>
      <w:r>
        <w:t xml:space="preserve">&lt; 0,0001; Figura 5.6A) y le dedicaron menos tiempo (control vs. sacarosa:</w:t>
      </w:r>
      <w:r>
        <w:t xml:space="preserve"> </w:t>
      </w:r>
      <w:r>
        <w:rPr>
          <w:iCs/>
          <w:i/>
        </w:rPr>
        <w:t xml:space="preserve">p</w:t>
      </w:r>
      <w:r>
        <w:t xml:space="preserve"> </w:t>
      </w:r>
      <w:r>
        <w:t xml:space="preserve">&lt; 0,05; control vs. stevia:</w:t>
      </w:r>
      <w:r>
        <w:t xml:space="preserve"> </w:t>
      </w:r>
      <w:r>
        <w:rPr>
          <w:iCs/>
          <w:i/>
        </w:rPr>
        <w:t xml:space="preserve">p</w:t>
      </w:r>
      <w:r>
        <w:t xml:space="preserve"> </w:t>
      </w:r>
      <w:r>
        <w:t xml:space="preserve">&lt; 0,01; Figura 5.6B). En los adultos, solo los animales expuestos a stevia le dedicaron menos tiempo que los controles (control vs. stevia:</w:t>
      </w:r>
      <w:r>
        <w:t xml:space="preserve"> </w:t>
      </w:r>
      <w:r>
        <w:rPr>
          <w:iCs/>
          <w:i/>
        </w:rPr>
        <w:t xml:space="preserve">p</w:t>
      </w:r>
      <w:r>
        <w:t xml:space="preserve"> </w:t>
      </w:r>
      <w:r>
        <w:t xml:space="preserve">&lt; 0,05); su número de eventos fue menor que el de los expuestos a sacarosa (sacarosa vs. stevia:</w:t>
      </w:r>
      <w:r>
        <w:t xml:space="preserve"> </w:t>
      </w:r>
      <w:r>
        <w:rPr>
          <w:iCs/>
          <w:i/>
        </w:rPr>
        <w:t xml:space="preserve">p</w:t>
      </w:r>
      <w:r>
        <w:t xml:space="preserve"> </w:t>
      </w:r>
      <w:r>
        <w:t xml:space="preserve">&lt; 0,05), pero no difirió del de los controles (</w:t>
      </w:r>
      <w:r>
        <w:rPr>
          <w:iCs/>
          <w:i/>
        </w:rPr>
        <w:t xml:space="preserve">p</w:t>
      </w:r>
      <w:r>
        <w:t xml:space="preserve"> </w:t>
      </w:r>
      <w:r>
        <w:t xml:space="preserve">&gt; 0,05). Estos resultados indican que la exposición juvenil a cualquiera de los dos edulcorantes redujo la exploración vertical, mientras que en la adultez solo la stevia tuvo ese efecto.</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rearing_numero.png" id="0" name="Picture"/>
                    <pic:cNvPicPr>
                      <a:picLocks noChangeArrowheads="1" noChangeAspect="1"/>
                    </pic:cNvPicPr>
                  </pic:nvPicPr>
                  <pic:blipFill>
                    <a:blip r:embed="rId56"/>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rearing_tiempo.png" id="0" name="Picture"/>
                    <pic:cNvPicPr>
                      <a:picLocks noChangeArrowheads="1" noChangeAspect="1"/>
                    </pic:cNvPicPr>
                  </pic:nvPicPr>
                  <pic:blipFill>
                    <a:blip r:embed="rId57"/>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259999" cy="632903"/>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259999" cy="632903"/>
                    </a:xfrm>
                    <a:prstGeom prst="rect">
                      <a:avLst/>
                    </a:prstGeom>
                    <a:noFill/>
                    <a:ln w="9525">
                      <a:noFill/>
                      <a:headEnd/>
                      <a:tailEnd/>
                    </a:ln>
                  </pic:spPr>
                </pic:pic>
              </a:graphicData>
            </a:graphic>
          </wp:inline>
        </w:drawing>
      </w:r>
    </w:p>
    <w:p>
      <w:pPr>
        <w:pStyle w:val="BodyText"/>
        <w:spacing w:after="240"/>
      </w:pPr>
      <w:r>
        <w:rPr>
          <w:bCs/>
          <w:b/>
          <w:sz w:val="19"/>
        </w:rPr>
        <w:t xml:space="preserve">Figura 5.6.</w:t>
      </w:r>
      <w:r>
        <w:rPr>
          <w:sz w:val="19"/>
        </w:rPr>
        <w:t xml:space="preserve"> </w:t>
      </w:r>
      <w:r>
        <w:rPr>
          <w:sz w:val="19"/>
        </w:rPr>
        <w:t xml:space="preserve">Conducta de</w:t>
      </w:r>
      <w:r>
        <w:rPr>
          <w:sz w:val="19"/>
        </w:rPr>
        <w:t xml:space="preserve"> </w:t>
      </w:r>
      <w:r>
        <w:rPr>
          <w:iCs/>
          <w:i/>
          <w:sz w:val="19"/>
        </w:rPr>
        <w:t xml:space="preserve">rearing</w:t>
      </w:r>
      <w:r>
        <w:rPr>
          <w:sz w:val="19"/>
        </w:rPr>
        <w:t xml:space="preserve"> </w:t>
      </w:r>
      <w:r>
        <w:rPr>
          <w:sz w:val="19"/>
        </w:rPr>
        <w:t xml:space="preserve">en el</w:t>
      </w:r>
      <w:r>
        <w:rPr>
          <w:sz w:val="19"/>
        </w:rPr>
        <w:t xml:space="preserve"> </w:t>
      </w:r>
      <w:r>
        <w:rPr>
          <w:iCs/>
          <w:i/>
          <w:sz w:val="19"/>
        </w:rPr>
        <w:t xml:space="preserve">open field</w:t>
      </w:r>
      <w:r>
        <w:rPr>
          <w:sz w:val="19"/>
        </w:rPr>
        <w:t xml:space="preserve"> </w:t>
      </w:r>
      <w:r>
        <w:rPr>
          <w:sz w:val="19"/>
        </w:rPr>
        <w:t xml:space="preserve">(OF). (A) Número de eventos. (B) Tiempo.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Tabla 5.1 resume los ANOVA de dos vías (edad × tratamiento); las comparaciones</w:t>
      </w:r>
      <w:r>
        <w:t xml:space="preserve"> </w:t>
      </w:r>
      <w:r>
        <w:rPr>
          <w:iCs/>
          <w:i/>
        </w:rPr>
        <w:t xml:space="preserve">post hoc</w:t>
      </w:r>
      <w:r>
        <w:t xml:space="preserve"> </w:t>
      </w:r>
      <w:r>
        <w:t xml:space="preserve">de Tukey se realizaron entre los tres tratamientos dentro de cada edad.</w:t>
      </w:r>
    </w:p>
    <w:p>
      <w:pPr>
        <w:pStyle w:val="BodyText"/>
        <w:keepNext/>
      </w:pPr>
      <w:r>
        <w:rPr>
          <w:bCs/>
          <w:b/>
          <w:sz w:val="19"/>
        </w:rPr>
        <w:t xml:space="preserve">Tabla 5.1.</w:t>
      </w:r>
      <w:r>
        <w:rPr>
          <w:sz w:val="19"/>
        </w:rPr>
        <w:t xml:space="preserve"> </w:t>
      </w:r>
      <w:r>
        <w:rPr>
          <w:sz w:val="19"/>
        </w:rPr>
        <w:t xml:space="preserve">Resumen del ANOVA de dos vías (edad × tratamiento) para las variables del OF. En negrita, los efectos significativos (</w:t>
      </w:r>
      <w:r>
        <w:rPr>
          <w:iCs/>
          <w:i/>
          <w:sz w:val="19"/>
        </w:rPr>
        <w:t xml:space="preserve">p</w:t>
      </w:r>
      <w:r>
        <w:rPr>
          <w:sz w:val="19"/>
        </w:rPr>
        <w:t xml:space="preserve"> </w:t>
      </w:r>
      <w:r>
        <w:rPr>
          <w:sz w:val="19"/>
        </w:rPr>
        <w:t xml:space="preserve">&lt; 0,05).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Tratamiento</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Edad</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Interacción</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Variable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Distancia total</w:t>
            </w:r>
          </w:p>
        </w:tc>
        <w:tc>
          <w:tcPr>
            <w:tcW w:w="813" w:type="dxa"/>
          </w:tcPr>
          <w:p>
            <w:pPr>
              <w:pStyle w:val="Compact"/>
              <w:keepNext/>
              <w:spacing w:before="20" w:after="20"/>
              <w:jc w:val="center"/>
            </w:pPr>
            <w:r>
              <w:rPr>
                <w:sz w:val="16"/>
              </w:rPr>
              <w:t xml:space="preserve">0,90 (2, 66)</w:t>
            </w:r>
          </w:p>
        </w:tc>
        <w:tc>
          <w:tcPr>
            <w:tcW w:w="813" w:type="dxa"/>
          </w:tcPr>
          <w:p>
            <w:pPr>
              <w:pStyle w:val="Compact"/>
              <w:keepNext/>
              <w:spacing w:before="20" w:after="20"/>
              <w:jc w:val="center"/>
            </w:pPr>
            <w:r>
              <w:rPr>
                <w:sz w:val="16"/>
              </w:rPr>
              <w:t xml:space="preserve">0,41</w:t>
            </w:r>
          </w:p>
        </w:tc>
        <w:tc>
          <w:tcPr>
            <w:tcW w:w="813" w:type="dxa"/>
          </w:tcPr>
          <w:p>
            <w:pPr>
              <w:pStyle w:val="Compact"/>
              <w:keepNext/>
              <w:spacing w:before="20" w:after="20"/>
              <w:jc w:val="center"/>
            </w:pPr>
            <w:r>
              <w:rPr>
                <w:sz w:val="16"/>
              </w:rPr>
              <w:t xml:space="preserve">0,027</w:t>
            </w:r>
          </w:p>
        </w:tc>
        <w:tc>
          <w:tcPr>
            <w:tcW w:w="813" w:type="dxa"/>
          </w:tcPr>
          <w:p>
            <w:pPr>
              <w:pStyle w:val="Compact"/>
              <w:keepNext/>
              <w:spacing w:before="20" w:after="20"/>
              <w:jc w:val="center"/>
            </w:pPr>
            <w:r>
              <w:rPr>
                <w:sz w:val="16"/>
              </w:rPr>
              <w:t xml:space="preserve">0,31 (1, 66)</w:t>
            </w:r>
          </w:p>
        </w:tc>
        <w:tc>
          <w:tcPr>
            <w:tcW w:w="813" w:type="dxa"/>
          </w:tcPr>
          <w:p>
            <w:pPr>
              <w:pStyle w:val="Compact"/>
              <w:keepNext/>
              <w:spacing w:before="20" w:after="20"/>
              <w:jc w:val="center"/>
            </w:pPr>
            <w:r>
              <w:rPr>
                <w:sz w:val="16"/>
              </w:rPr>
              <w:t xml:space="preserve">0,58</w:t>
            </w:r>
          </w:p>
        </w:tc>
        <w:tc>
          <w:tcPr>
            <w:tcW w:w="813" w:type="dxa"/>
          </w:tcPr>
          <w:p>
            <w:pPr>
              <w:pStyle w:val="Compact"/>
              <w:keepNext/>
              <w:spacing w:before="20" w:after="20"/>
              <w:jc w:val="center"/>
            </w:pPr>
            <w:r>
              <w:rPr>
                <w:sz w:val="16"/>
              </w:rPr>
              <w:t xml:space="preserve">0,005</w:t>
            </w:r>
          </w:p>
        </w:tc>
        <w:tc>
          <w:tcPr>
            <w:tcW w:w="813" w:type="dxa"/>
          </w:tcPr>
          <w:p>
            <w:pPr>
              <w:pStyle w:val="Compact"/>
              <w:keepNext/>
              <w:spacing w:before="20" w:after="20"/>
              <w:jc w:val="center"/>
            </w:pPr>
            <w:r>
              <w:rPr>
                <w:sz w:val="16"/>
              </w:rPr>
              <w:t xml:space="preserve">0,06 (2, 66)</w:t>
            </w:r>
          </w:p>
        </w:tc>
        <w:tc>
          <w:tcPr>
            <w:tcW w:w="813" w:type="dxa"/>
          </w:tcPr>
          <w:p>
            <w:pPr>
              <w:pStyle w:val="Compact"/>
              <w:keepNext/>
              <w:spacing w:before="20" w:after="20"/>
              <w:jc w:val="center"/>
            </w:pPr>
            <w:r>
              <w:rPr>
                <w:sz w:val="16"/>
              </w:rPr>
              <w:t xml:space="preserve">0,94</w:t>
            </w:r>
          </w:p>
        </w:tc>
        <w:tc>
          <w:tcPr>
            <w:tcW w:w="813" w:type="dxa"/>
          </w:tcPr>
          <w:p>
            <w:pPr>
              <w:pStyle w:val="Compact"/>
              <w:keepNext/>
              <w:spacing w:before="20" w:after="20"/>
              <w:jc w:val="center"/>
            </w:pPr>
            <w:r>
              <w:rPr>
                <w:sz w:val="16"/>
              </w:rPr>
              <w:t xml:space="preserve">0,002</w:t>
            </w:r>
          </w:p>
        </w:tc>
      </w:tr>
      <w:tr>
        <w:trPr>
          <w:cantSplit/>
        </w:trPr>
        <w:tc>
          <w:tcPr>
            <w:tcW w:w="1750" w:type="dxa"/>
          </w:tcPr>
          <w:p>
            <w:pPr>
              <w:pStyle w:val="Compact"/>
              <w:keepNext/>
              <w:spacing w:before="20" w:after="20"/>
              <w:jc w:val="left"/>
            </w:pPr>
            <w:r>
              <w:rPr>
                <w:sz w:val="16"/>
              </w:rPr>
              <w:t xml:space="preserve">Entradas a zonas 1+2</w:t>
            </w:r>
          </w:p>
        </w:tc>
        <w:tc>
          <w:tcPr>
            <w:tcW w:w="813" w:type="dxa"/>
          </w:tcPr>
          <w:p>
            <w:pPr>
              <w:pStyle w:val="Compact"/>
              <w:keepNext/>
              <w:spacing w:before="20" w:after="20"/>
              <w:jc w:val="center"/>
            </w:pPr>
            <w:r>
              <w:rPr>
                <w:sz w:val="16"/>
              </w:rPr>
              <w:t xml:space="preserve">91,79 (2, 57)</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0,763</w:t>
            </w:r>
          </w:p>
        </w:tc>
        <w:tc>
          <w:tcPr>
            <w:tcW w:w="813" w:type="dxa"/>
          </w:tcPr>
          <w:p>
            <w:pPr>
              <w:pStyle w:val="Compact"/>
              <w:keepNext/>
              <w:spacing w:before="20" w:after="20"/>
              <w:jc w:val="center"/>
            </w:pPr>
            <w:r>
              <w:rPr>
                <w:sz w:val="16"/>
              </w:rPr>
              <w:t xml:space="preserve">3,51 (1, 57)</w:t>
            </w:r>
          </w:p>
        </w:tc>
        <w:tc>
          <w:tcPr>
            <w:tcW w:w="813" w:type="dxa"/>
          </w:tcPr>
          <w:p>
            <w:pPr>
              <w:pStyle w:val="Compact"/>
              <w:keepNext/>
              <w:spacing w:before="20" w:after="20"/>
              <w:jc w:val="center"/>
            </w:pPr>
            <w:r>
              <w:rPr>
                <w:sz w:val="16"/>
              </w:rPr>
              <w:t xml:space="preserve">0,066</w:t>
            </w:r>
          </w:p>
        </w:tc>
        <w:tc>
          <w:tcPr>
            <w:tcW w:w="813" w:type="dxa"/>
          </w:tcPr>
          <w:p>
            <w:pPr>
              <w:pStyle w:val="Compact"/>
              <w:keepNext/>
              <w:spacing w:before="20" w:after="20"/>
              <w:jc w:val="center"/>
            </w:pPr>
            <w:r>
              <w:rPr>
                <w:sz w:val="16"/>
              </w:rPr>
              <w:t xml:space="preserve">0,058</w:t>
            </w:r>
          </w:p>
        </w:tc>
        <w:tc>
          <w:tcPr>
            <w:tcW w:w="813" w:type="dxa"/>
          </w:tcPr>
          <w:p>
            <w:pPr>
              <w:pStyle w:val="Compact"/>
              <w:keepNext/>
              <w:spacing w:before="20" w:after="20"/>
              <w:jc w:val="center"/>
            </w:pPr>
            <w:r>
              <w:rPr>
                <w:sz w:val="16"/>
              </w:rPr>
              <w:t xml:space="preserve">1,88 (2, 57)</w:t>
            </w:r>
          </w:p>
        </w:tc>
        <w:tc>
          <w:tcPr>
            <w:tcW w:w="813" w:type="dxa"/>
          </w:tcPr>
          <w:p>
            <w:pPr>
              <w:pStyle w:val="Compact"/>
              <w:keepNext/>
              <w:spacing w:before="20" w:after="20"/>
              <w:jc w:val="center"/>
            </w:pPr>
            <w:r>
              <w:rPr>
                <w:sz w:val="16"/>
              </w:rPr>
              <w:t xml:space="preserve">0,16</w:t>
            </w:r>
          </w:p>
        </w:tc>
        <w:tc>
          <w:tcPr>
            <w:tcW w:w="813" w:type="dxa"/>
          </w:tcPr>
          <w:p>
            <w:pPr>
              <w:pStyle w:val="Compact"/>
              <w:keepNext/>
              <w:spacing w:before="20" w:after="20"/>
              <w:jc w:val="center"/>
            </w:pPr>
            <w:r>
              <w:rPr>
                <w:sz w:val="16"/>
              </w:rPr>
              <w:t xml:space="preserve">0,062</w:t>
            </w:r>
          </w:p>
        </w:tc>
      </w:tr>
      <w:tr>
        <w:trPr>
          <w:cantSplit/>
        </w:trPr>
        <w:tc>
          <w:tcPr>
            <w:tcW w:w="1750" w:type="dxa"/>
          </w:tcPr>
          <w:p>
            <w:pPr>
              <w:pStyle w:val="Compact"/>
              <w:keepNext/>
              <w:spacing w:before="20" w:after="20"/>
              <w:jc w:val="left"/>
            </w:pPr>
            <w:r>
              <w:rPr>
                <w:sz w:val="16"/>
              </w:rPr>
              <w:t xml:space="preserve">Distancia en zonas 1+2</w:t>
            </w:r>
          </w:p>
        </w:tc>
        <w:tc>
          <w:tcPr>
            <w:tcW w:w="813" w:type="dxa"/>
          </w:tcPr>
          <w:p>
            <w:pPr>
              <w:pStyle w:val="Compact"/>
              <w:keepNext/>
              <w:spacing w:before="20" w:after="20"/>
              <w:jc w:val="center"/>
            </w:pPr>
            <w:r>
              <w:rPr>
                <w:sz w:val="16"/>
              </w:rPr>
              <w:t xml:space="preserve">38,88 (2, 69)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0,530</w:t>
            </w:r>
          </w:p>
        </w:tc>
        <w:tc>
          <w:tcPr>
            <w:tcW w:w="813" w:type="dxa"/>
          </w:tcPr>
          <w:p>
            <w:pPr>
              <w:pStyle w:val="Compact"/>
              <w:keepNext/>
              <w:spacing w:before="20" w:after="20"/>
              <w:jc w:val="center"/>
            </w:pPr>
            <w:r>
              <w:rPr>
                <w:sz w:val="16"/>
              </w:rPr>
              <w:t xml:space="preserve">3,15 (1, 69)</w:t>
            </w:r>
          </w:p>
        </w:tc>
        <w:tc>
          <w:tcPr>
            <w:tcW w:w="813" w:type="dxa"/>
          </w:tcPr>
          <w:p>
            <w:pPr>
              <w:pStyle w:val="Compact"/>
              <w:keepNext/>
              <w:spacing w:before="20" w:after="20"/>
              <w:jc w:val="center"/>
            </w:pPr>
            <w:r>
              <w:rPr>
                <w:sz w:val="16"/>
              </w:rPr>
              <w:t xml:space="preserve">0,080</w:t>
            </w:r>
          </w:p>
        </w:tc>
        <w:tc>
          <w:tcPr>
            <w:tcW w:w="813" w:type="dxa"/>
          </w:tcPr>
          <w:p>
            <w:pPr>
              <w:pStyle w:val="Compact"/>
              <w:keepNext/>
              <w:spacing w:before="20" w:after="20"/>
              <w:jc w:val="center"/>
            </w:pPr>
            <w:r>
              <w:rPr>
                <w:sz w:val="16"/>
              </w:rPr>
              <w:t xml:space="preserve">0,044</w:t>
            </w:r>
          </w:p>
        </w:tc>
        <w:tc>
          <w:tcPr>
            <w:tcW w:w="813" w:type="dxa"/>
          </w:tcPr>
          <w:p>
            <w:pPr>
              <w:pStyle w:val="Compact"/>
              <w:keepNext/>
              <w:spacing w:before="20" w:after="20"/>
              <w:jc w:val="center"/>
            </w:pPr>
            <w:r>
              <w:rPr>
                <w:sz w:val="16"/>
              </w:rPr>
              <w:t xml:space="preserve">5,05 (2, 69)</w:t>
            </w:r>
          </w:p>
        </w:tc>
        <w:tc>
          <w:tcPr>
            <w:tcW w:w="813" w:type="dxa"/>
          </w:tcPr>
          <w:p>
            <w:pPr>
              <w:pStyle w:val="Compact"/>
              <w:keepNext/>
              <w:spacing w:before="20" w:after="20"/>
              <w:jc w:val="center"/>
            </w:pPr>
            <w:r>
              <w:rPr>
                <w:bCs/>
                <w:b/>
                <w:sz w:val="16"/>
              </w:rPr>
              <w:t xml:space="preserve">0,0090</w:t>
            </w:r>
          </w:p>
        </w:tc>
        <w:tc>
          <w:tcPr>
            <w:tcW w:w="813" w:type="dxa"/>
          </w:tcPr>
          <w:p>
            <w:pPr>
              <w:pStyle w:val="Compact"/>
              <w:keepNext/>
              <w:spacing w:before="20" w:after="20"/>
              <w:jc w:val="center"/>
            </w:pPr>
            <w:r>
              <w:rPr>
                <w:sz w:val="16"/>
              </w:rPr>
              <w:t xml:space="preserve">0,128</w:t>
            </w:r>
          </w:p>
        </w:tc>
      </w:tr>
      <w:tr>
        <w:trPr>
          <w:cantSplit/>
        </w:trPr>
        <w:tc>
          <w:tcPr>
            <w:tcW w:w="1750" w:type="dxa"/>
          </w:tcPr>
          <w:p>
            <w:pPr>
              <w:pStyle w:val="Compact"/>
              <w:keepNext/>
              <w:spacing w:before="20" w:after="20"/>
              <w:jc w:val="left"/>
            </w:pPr>
            <w:r>
              <w:rPr>
                <w:sz w:val="16"/>
              </w:rPr>
              <w:t xml:space="preserve">Zonas visitadas</w:t>
            </w:r>
          </w:p>
        </w:tc>
        <w:tc>
          <w:tcPr>
            <w:tcW w:w="813" w:type="dxa"/>
          </w:tcPr>
          <w:p>
            <w:pPr>
              <w:pStyle w:val="Compact"/>
              <w:keepNext/>
              <w:spacing w:before="20" w:after="20"/>
              <w:jc w:val="center"/>
            </w:pPr>
            <w:r>
              <w:rPr>
                <w:sz w:val="16"/>
              </w:rPr>
              <w:t xml:space="preserve">37,01 (2, 63)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0,540</w:t>
            </w:r>
          </w:p>
        </w:tc>
        <w:tc>
          <w:tcPr>
            <w:tcW w:w="813" w:type="dxa"/>
          </w:tcPr>
          <w:p>
            <w:pPr>
              <w:pStyle w:val="Compact"/>
              <w:keepNext/>
              <w:spacing w:before="20" w:after="20"/>
              <w:jc w:val="center"/>
            </w:pPr>
            <w:r>
              <w:rPr>
                <w:sz w:val="16"/>
              </w:rPr>
              <w:t xml:space="preserve">0,03 (1, 63)</w:t>
            </w:r>
          </w:p>
        </w:tc>
        <w:tc>
          <w:tcPr>
            <w:tcW w:w="813" w:type="dxa"/>
          </w:tcPr>
          <w:p>
            <w:pPr>
              <w:pStyle w:val="Compact"/>
              <w:keepNext/>
              <w:spacing w:before="20" w:after="20"/>
              <w:jc w:val="center"/>
            </w:pPr>
            <w:r>
              <w:rPr>
                <w:sz w:val="16"/>
              </w:rPr>
              <w:t xml:space="preserve">0,87</w:t>
            </w:r>
          </w:p>
        </w:tc>
        <w:tc>
          <w:tcPr>
            <w:tcW w:w="813" w:type="dxa"/>
          </w:tcPr>
          <w:p>
            <w:pPr>
              <w:pStyle w:val="Compact"/>
              <w:keepNext/>
              <w:spacing w:before="20" w:after="20"/>
              <w:jc w:val="center"/>
            </w:pPr>
            <w:r>
              <w:rPr>
                <w:sz w:val="16"/>
              </w:rPr>
              <w:t xml:space="preserve">0,000</w:t>
            </w:r>
          </w:p>
        </w:tc>
        <w:tc>
          <w:tcPr>
            <w:tcW w:w="813" w:type="dxa"/>
          </w:tcPr>
          <w:p>
            <w:pPr>
              <w:pStyle w:val="Compact"/>
              <w:keepNext/>
              <w:spacing w:before="20" w:after="20"/>
              <w:jc w:val="center"/>
            </w:pPr>
            <w:r>
              <w:rPr>
                <w:sz w:val="16"/>
              </w:rPr>
              <w:t xml:space="preserve">3,28 (2, 63)</w:t>
            </w:r>
          </w:p>
        </w:tc>
        <w:tc>
          <w:tcPr>
            <w:tcW w:w="813" w:type="dxa"/>
          </w:tcPr>
          <w:p>
            <w:pPr>
              <w:pStyle w:val="Compact"/>
              <w:keepNext/>
              <w:spacing w:before="20" w:after="20"/>
              <w:jc w:val="center"/>
            </w:pPr>
            <w:r>
              <w:rPr>
                <w:bCs/>
                <w:b/>
                <w:sz w:val="16"/>
              </w:rPr>
              <w:t xml:space="preserve">0,044</w:t>
            </w:r>
          </w:p>
        </w:tc>
        <w:tc>
          <w:tcPr>
            <w:tcW w:w="813" w:type="dxa"/>
          </w:tcPr>
          <w:p>
            <w:pPr>
              <w:pStyle w:val="Compact"/>
              <w:keepNext/>
              <w:spacing w:before="20" w:after="20"/>
              <w:jc w:val="center"/>
            </w:pPr>
            <w:r>
              <w:rPr>
                <w:sz w:val="16"/>
              </w:rPr>
              <w:t xml:space="preserve">0,094</w:t>
            </w:r>
          </w:p>
        </w:tc>
      </w:tr>
      <w:tr>
        <w:trPr>
          <w:cantSplit/>
        </w:trPr>
        <w:tc>
          <w:tcPr>
            <w:tcW w:w="1750" w:type="dxa"/>
          </w:tcPr>
          <w:p>
            <w:pPr>
              <w:pStyle w:val="Compact"/>
              <w:keepNext/>
              <w:spacing w:before="20" w:after="20"/>
              <w:jc w:val="left"/>
            </w:pPr>
            <w:r>
              <w:rPr>
                <w:sz w:val="16"/>
              </w:rPr>
              <w:t xml:space="preserve">Entradas a zona 1</w:t>
            </w:r>
          </w:p>
        </w:tc>
        <w:tc>
          <w:tcPr>
            <w:tcW w:w="813" w:type="dxa"/>
          </w:tcPr>
          <w:p>
            <w:pPr>
              <w:pStyle w:val="Compact"/>
              <w:keepNext/>
              <w:spacing w:before="20" w:after="20"/>
              <w:jc w:val="center"/>
            </w:pPr>
            <w:r>
              <w:rPr>
                <w:sz w:val="16"/>
              </w:rPr>
              <w:t xml:space="preserve">4,11 (2, 72)</w:t>
            </w:r>
          </w:p>
        </w:tc>
        <w:tc>
          <w:tcPr>
            <w:tcW w:w="813" w:type="dxa"/>
          </w:tcPr>
          <w:p>
            <w:pPr>
              <w:pStyle w:val="Compact"/>
              <w:keepNext/>
              <w:spacing w:before="20" w:after="20"/>
              <w:jc w:val="center"/>
            </w:pPr>
            <w:r>
              <w:rPr>
                <w:bCs/>
                <w:b/>
                <w:sz w:val="16"/>
              </w:rPr>
              <w:t xml:space="preserve">0,020</w:t>
            </w:r>
          </w:p>
        </w:tc>
        <w:tc>
          <w:tcPr>
            <w:tcW w:w="813" w:type="dxa"/>
          </w:tcPr>
          <w:p>
            <w:pPr>
              <w:pStyle w:val="Compact"/>
              <w:keepNext/>
              <w:spacing w:before="20" w:after="20"/>
              <w:jc w:val="center"/>
            </w:pPr>
            <w:r>
              <w:rPr>
                <w:sz w:val="16"/>
              </w:rPr>
              <w:t xml:space="preserve">0,102</w:t>
            </w:r>
          </w:p>
        </w:tc>
        <w:tc>
          <w:tcPr>
            <w:tcW w:w="813" w:type="dxa"/>
          </w:tcPr>
          <w:p>
            <w:pPr>
              <w:pStyle w:val="Compact"/>
              <w:keepNext/>
              <w:spacing w:before="20" w:after="20"/>
              <w:jc w:val="center"/>
            </w:pPr>
            <w:r>
              <w:rPr>
                <w:sz w:val="16"/>
              </w:rPr>
              <w:t xml:space="preserve">6,20 (1, 72)</w:t>
            </w:r>
          </w:p>
        </w:tc>
        <w:tc>
          <w:tcPr>
            <w:tcW w:w="813" w:type="dxa"/>
          </w:tcPr>
          <w:p>
            <w:pPr>
              <w:pStyle w:val="Compact"/>
              <w:keepNext/>
              <w:spacing w:before="20" w:after="20"/>
              <w:jc w:val="center"/>
            </w:pPr>
            <w:r>
              <w:rPr>
                <w:bCs/>
                <w:b/>
                <w:sz w:val="16"/>
              </w:rPr>
              <w:t xml:space="preserve">0,015</w:t>
            </w:r>
          </w:p>
        </w:tc>
        <w:tc>
          <w:tcPr>
            <w:tcW w:w="813" w:type="dxa"/>
          </w:tcPr>
          <w:p>
            <w:pPr>
              <w:pStyle w:val="Compact"/>
              <w:keepNext/>
              <w:spacing w:before="20" w:after="20"/>
              <w:jc w:val="center"/>
            </w:pPr>
            <w:r>
              <w:rPr>
                <w:sz w:val="16"/>
              </w:rPr>
              <w:t xml:space="preserve">0,079</w:t>
            </w:r>
          </w:p>
        </w:tc>
        <w:tc>
          <w:tcPr>
            <w:tcW w:w="813" w:type="dxa"/>
          </w:tcPr>
          <w:p>
            <w:pPr>
              <w:pStyle w:val="Compact"/>
              <w:keepNext/>
              <w:spacing w:before="20" w:after="20"/>
              <w:jc w:val="center"/>
            </w:pPr>
            <w:r>
              <w:rPr>
                <w:sz w:val="16"/>
              </w:rPr>
              <w:t xml:space="preserve">2,29 (2, 72)</w:t>
            </w:r>
          </w:p>
        </w:tc>
        <w:tc>
          <w:tcPr>
            <w:tcW w:w="813" w:type="dxa"/>
          </w:tcPr>
          <w:p>
            <w:pPr>
              <w:pStyle w:val="Compact"/>
              <w:keepNext/>
              <w:spacing w:before="20" w:after="20"/>
              <w:jc w:val="center"/>
            </w:pPr>
            <w:r>
              <w:rPr>
                <w:sz w:val="16"/>
              </w:rPr>
              <w:t xml:space="preserve">0,11</w:t>
            </w:r>
          </w:p>
        </w:tc>
        <w:tc>
          <w:tcPr>
            <w:tcW w:w="813" w:type="dxa"/>
          </w:tcPr>
          <w:p>
            <w:pPr>
              <w:pStyle w:val="Compact"/>
              <w:keepNext/>
              <w:spacing w:before="20" w:after="20"/>
              <w:jc w:val="center"/>
            </w:pPr>
            <w:r>
              <w:rPr>
                <w:sz w:val="16"/>
              </w:rPr>
              <w:t xml:space="preserve">0,060</w:t>
            </w:r>
          </w:p>
        </w:tc>
      </w:tr>
      <w:tr>
        <w:trPr>
          <w:cantSplit/>
        </w:trPr>
        <w:tc>
          <w:tcPr>
            <w:tcW w:w="1750" w:type="dxa"/>
          </w:tcPr>
          <w:p>
            <w:pPr>
              <w:pStyle w:val="Compact"/>
              <w:keepNext/>
              <w:spacing w:before="20" w:after="20"/>
              <w:jc w:val="left"/>
            </w:pPr>
            <w:r>
              <w:rPr>
                <w:sz w:val="16"/>
              </w:rPr>
              <w:t xml:space="preserve">Distancia en zona 1</w:t>
            </w:r>
          </w:p>
        </w:tc>
        <w:tc>
          <w:tcPr>
            <w:tcW w:w="813" w:type="dxa"/>
          </w:tcPr>
          <w:p>
            <w:pPr>
              <w:pStyle w:val="Compact"/>
              <w:keepNext/>
              <w:spacing w:before="20" w:after="20"/>
              <w:jc w:val="center"/>
            </w:pPr>
            <w:r>
              <w:rPr>
                <w:sz w:val="16"/>
              </w:rPr>
              <w:t xml:space="preserve">2,80 (2, 74)</w:t>
            </w:r>
          </w:p>
        </w:tc>
        <w:tc>
          <w:tcPr>
            <w:tcW w:w="813" w:type="dxa"/>
          </w:tcPr>
          <w:p>
            <w:pPr>
              <w:pStyle w:val="Compact"/>
              <w:keepNext/>
              <w:spacing w:before="20" w:after="20"/>
              <w:jc w:val="center"/>
            </w:pPr>
            <w:r>
              <w:rPr>
                <w:sz w:val="16"/>
              </w:rPr>
              <w:t xml:space="preserve">0,067</w:t>
            </w:r>
          </w:p>
        </w:tc>
        <w:tc>
          <w:tcPr>
            <w:tcW w:w="813" w:type="dxa"/>
          </w:tcPr>
          <w:p>
            <w:pPr>
              <w:pStyle w:val="Compact"/>
              <w:keepNext/>
              <w:spacing w:before="20" w:after="20"/>
              <w:jc w:val="center"/>
            </w:pPr>
            <w:r>
              <w:rPr>
                <w:sz w:val="16"/>
              </w:rPr>
              <w:t xml:space="preserve">0,070</w:t>
            </w:r>
          </w:p>
        </w:tc>
        <w:tc>
          <w:tcPr>
            <w:tcW w:w="813" w:type="dxa"/>
          </w:tcPr>
          <w:p>
            <w:pPr>
              <w:pStyle w:val="Compact"/>
              <w:keepNext/>
              <w:spacing w:before="20" w:after="20"/>
              <w:jc w:val="center"/>
            </w:pPr>
            <w:r>
              <w:rPr>
                <w:sz w:val="16"/>
              </w:rPr>
              <w:t xml:space="preserve">3,85 (1, 74)</w:t>
            </w:r>
          </w:p>
        </w:tc>
        <w:tc>
          <w:tcPr>
            <w:tcW w:w="813" w:type="dxa"/>
          </w:tcPr>
          <w:p>
            <w:pPr>
              <w:pStyle w:val="Compact"/>
              <w:keepNext/>
              <w:spacing w:before="20" w:after="20"/>
              <w:jc w:val="center"/>
            </w:pPr>
            <w:r>
              <w:rPr>
                <w:sz w:val="16"/>
              </w:rPr>
              <w:t xml:space="preserve">0,053</w:t>
            </w:r>
          </w:p>
        </w:tc>
        <w:tc>
          <w:tcPr>
            <w:tcW w:w="813" w:type="dxa"/>
          </w:tcPr>
          <w:p>
            <w:pPr>
              <w:pStyle w:val="Compact"/>
              <w:keepNext/>
              <w:spacing w:before="20" w:after="20"/>
              <w:jc w:val="center"/>
            </w:pPr>
            <w:r>
              <w:rPr>
                <w:sz w:val="16"/>
              </w:rPr>
              <w:t xml:space="preserve">0,049</w:t>
            </w:r>
          </w:p>
        </w:tc>
        <w:tc>
          <w:tcPr>
            <w:tcW w:w="813" w:type="dxa"/>
          </w:tcPr>
          <w:p>
            <w:pPr>
              <w:pStyle w:val="Compact"/>
              <w:keepNext/>
              <w:spacing w:before="20" w:after="20"/>
              <w:jc w:val="center"/>
            </w:pPr>
            <w:r>
              <w:rPr>
                <w:sz w:val="16"/>
              </w:rPr>
              <w:t xml:space="preserve">0,94 (2, 74)</w:t>
            </w:r>
          </w:p>
        </w:tc>
        <w:tc>
          <w:tcPr>
            <w:tcW w:w="813" w:type="dxa"/>
          </w:tcPr>
          <w:p>
            <w:pPr>
              <w:pStyle w:val="Compact"/>
              <w:keepNext/>
              <w:spacing w:before="20" w:after="20"/>
              <w:jc w:val="center"/>
            </w:pPr>
            <w:r>
              <w:rPr>
                <w:sz w:val="16"/>
              </w:rPr>
              <w:t xml:space="preserve">0,39</w:t>
            </w:r>
          </w:p>
        </w:tc>
        <w:tc>
          <w:tcPr>
            <w:tcW w:w="813" w:type="dxa"/>
          </w:tcPr>
          <w:p>
            <w:pPr>
              <w:pStyle w:val="Compact"/>
              <w:keepNext/>
              <w:spacing w:before="20" w:after="20"/>
              <w:jc w:val="center"/>
            </w:pPr>
            <w:r>
              <w:rPr>
                <w:sz w:val="16"/>
              </w:rPr>
              <w:t xml:space="preserve">0,025</w:t>
            </w:r>
          </w:p>
        </w:tc>
      </w:tr>
      <w:tr>
        <w:trPr>
          <w:cantSplit/>
        </w:trPr>
        <w:tc>
          <w:tcPr>
            <w:tcW w:w="1750" w:type="dxa"/>
          </w:tcPr>
          <w:p>
            <w:pPr>
              <w:pStyle w:val="Compact"/>
              <w:keepNext/>
              <w:spacing w:before="20" w:after="20"/>
              <w:jc w:val="left"/>
            </w:pPr>
            <w:r>
              <w:rPr>
                <w:iCs/>
                <w:i/>
                <w:sz w:val="16"/>
              </w:rPr>
              <w:t xml:space="preserve">Rearing</w:t>
            </w:r>
            <w:r>
              <w:rPr>
                <w:sz w:val="16"/>
              </w:rPr>
              <w:t xml:space="preserve">, n.º de eventos</w:t>
            </w:r>
          </w:p>
        </w:tc>
        <w:tc>
          <w:tcPr>
            <w:tcW w:w="813" w:type="dxa"/>
          </w:tcPr>
          <w:p>
            <w:pPr>
              <w:pStyle w:val="Compact"/>
              <w:keepNext/>
              <w:spacing w:before="20" w:after="20"/>
              <w:jc w:val="center"/>
            </w:pPr>
            <w:r>
              <w:rPr>
                <w:sz w:val="16"/>
              </w:rPr>
              <w:t xml:space="preserve">12,69 (2, 73)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0,258</w:t>
            </w:r>
          </w:p>
        </w:tc>
        <w:tc>
          <w:tcPr>
            <w:tcW w:w="813" w:type="dxa"/>
          </w:tcPr>
          <w:p>
            <w:pPr>
              <w:pStyle w:val="Compact"/>
              <w:keepNext/>
              <w:spacing w:before="20" w:after="20"/>
              <w:jc w:val="center"/>
            </w:pPr>
            <w:r>
              <w:rPr>
                <w:sz w:val="16"/>
              </w:rPr>
              <w:t xml:space="preserve">3,54 (1, 73)</w:t>
            </w:r>
          </w:p>
        </w:tc>
        <w:tc>
          <w:tcPr>
            <w:tcW w:w="813" w:type="dxa"/>
          </w:tcPr>
          <w:p>
            <w:pPr>
              <w:pStyle w:val="Compact"/>
              <w:keepNext/>
              <w:spacing w:before="20" w:after="20"/>
              <w:jc w:val="center"/>
            </w:pPr>
            <w:r>
              <w:rPr>
                <w:sz w:val="16"/>
              </w:rPr>
              <w:t xml:space="preserve">0,064</w:t>
            </w:r>
          </w:p>
        </w:tc>
        <w:tc>
          <w:tcPr>
            <w:tcW w:w="813" w:type="dxa"/>
          </w:tcPr>
          <w:p>
            <w:pPr>
              <w:pStyle w:val="Compact"/>
              <w:keepNext/>
              <w:spacing w:before="20" w:after="20"/>
              <w:jc w:val="center"/>
            </w:pPr>
            <w:r>
              <w:rPr>
                <w:sz w:val="16"/>
              </w:rPr>
              <w:t xml:space="preserve">0,046</w:t>
            </w:r>
          </w:p>
        </w:tc>
        <w:tc>
          <w:tcPr>
            <w:tcW w:w="813" w:type="dxa"/>
          </w:tcPr>
          <w:p>
            <w:pPr>
              <w:pStyle w:val="Compact"/>
              <w:keepNext/>
              <w:spacing w:before="20" w:after="20"/>
              <w:jc w:val="center"/>
            </w:pPr>
            <w:r>
              <w:rPr>
                <w:sz w:val="16"/>
              </w:rPr>
              <w:t xml:space="preserve">6,67 (2, 73)</w:t>
            </w:r>
          </w:p>
        </w:tc>
        <w:tc>
          <w:tcPr>
            <w:tcW w:w="813" w:type="dxa"/>
          </w:tcPr>
          <w:p>
            <w:pPr>
              <w:pStyle w:val="Compact"/>
              <w:keepNext/>
              <w:spacing w:before="20" w:after="20"/>
              <w:jc w:val="center"/>
            </w:pPr>
            <w:r>
              <w:rPr>
                <w:bCs/>
                <w:b/>
                <w:sz w:val="16"/>
              </w:rPr>
              <w:t xml:space="preserve">0,0022</w:t>
            </w:r>
          </w:p>
        </w:tc>
        <w:tc>
          <w:tcPr>
            <w:tcW w:w="813" w:type="dxa"/>
          </w:tcPr>
          <w:p>
            <w:pPr>
              <w:pStyle w:val="Compact"/>
              <w:keepNext/>
              <w:spacing w:before="20" w:after="20"/>
              <w:jc w:val="center"/>
            </w:pPr>
            <w:r>
              <w:rPr>
                <w:sz w:val="16"/>
              </w:rPr>
              <w:t xml:space="preserve">0,155</w:t>
            </w:r>
          </w:p>
        </w:tc>
      </w:tr>
      <w:tr>
        <w:trPr>
          <w:cantSplit/>
        </w:trPr>
        <w:tc>
          <w:tcPr>
            <w:tcW w:w="1750" w:type="dxa"/>
          </w:tcPr>
          <w:p>
            <w:pPr>
              <w:pStyle w:val="Compact"/>
              <w:spacing w:before="20" w:after="20"/>
              <w:jc w:val="left"/>
            </w:pPr>
            <w:r>
              <w:rPr>
                <w:iCs/>
                <w:i/>
                <w:sz w:val="16"/>
              </w:rPr>
              <w:t xml:space="preserve">Rearing</w:t>
            </w:r>
            <w:r>
              <w:rPr>
                <w:sz w:val="16"/>
              </w:rPr>
              <w:t xml:space="preserve">, tiempo</w:t>
            </w:r>
          </w:p>
        </w:tc>
        <w:tc>
          <w:tcPr>
            <w:tcW w:w="813" w:type="dxa"/>
          </w:tcPr>
          <w:p>
            <w:pPr>
              <w:pStyle w:val="Compact"/>
              <w:spacing w:before="20" w:after="20"/>
              <w:jc w:val="center"/>
            </w:pPr>
            <w:r>
              <w:rPr>
                <w:sz w:val="16"/>
              </w:rPr>
              <w:t xml:space="preserve">8,81 (2, 72)</w:t>
            </w:r>
          </w:p>
        </w:tc>
        <w:tc>
          <w:tcPr>
            <w:tcW w:w="813" w:type="dxa"/>
          </w:tcPr>
          <w:p>
            <w:pPr>
              <w:pStyle w:val="Compact"/>
              <w:spacing w:before="20" w:after="20"/>
              <w:jc w:val="center"/>
            </w:pPr>
            <w:r>
              <w:rPr>
                <w:bCs/>
                <w:b/>
                <w:sz w:val="16"/>
              </w:rPr>
              <w:t xml:space="preserve">0,0004</w:t>
            </w:r>
          </w:p>
        </w:tc>
        <w:tc>
          <w:tcPr>
            <w:tcW w:w="813" w:type="dxa"/>
          </w:tcPr>
          <w:p>
            <w:pPr>
              <w:pStyle w:val="Compact"/>
              <w:spacing w:before="20" w:after="20"/>
              <w:jc w:val="center"/>
            </w:pPr>
            <w:r>
              <w:rPr>
                <w:sz w:val="16"/>
              </w:rPr>
              <w:t xml:space="preserve">0,197</w:t>
            </w:r>
          </w:p>
        </w:tc>
        <w:tc>
          <w:tcPr>
            <w:tcW w:w="813" w:type="dxa"/>
          </w:tcPr>
          <w:p>
            <w:pPr>
              <w:pStyle w:val="Compact"/>
              <w:spacing w:before="20" w:after="20"/>
              <w:jc w:val="center"/>
            </w:pPr>
            <w:r>
              <w:rPr>
                <w:sz w:val="16"/>
              </w:rPr>
              <w:t xml:space="preserve">10,12 (1, 72)</w:t>
            </w:r>
          </w:p>
        </w:tc>
        <w:tc>
          <w:tcPr>
            <w:tcW w:w="813" w:type="dxa"/>
          </w:tcPr>
          <w:p>
            <w:pPr>
              <w:pStyle w:val="Compact"/>
              <w:spacing w:before="20" w:after="20"/>
              <w:jc w:val="center"/>
            </w:pPr>
            <w:r>
              <w:rPr>
                <w:bCs/>
                <w:b/>
                <w:sz w:val="16"/>
              </w:rPr>
              <w:t xml:space="preserve">0,0022</w:t>
            </w:r>
          </w:p>
        </w:tc>
        <w:tc>
          <w:tcPr>
            <w:tcW w:w="813" w:type="dxa"/>
          </w:tcPr>
          <w:p>
            <w:pPr>
              <w:pStyle w:val="Compact"/>
              <w:spacing w:before="20" w:after="20"/>
              <w:jc w:val="center"/>
            </w:pPr>
            <w:r>
              <w:rPr>
                <w:sz w:val="16"/>
              </w:rPr>
              <w:t xml:space="preserve">0,123</w:t>
            </w:r>
          </w:p>
        </w:tc>
        <w:tc>
          <w:tcPr>
            <w:tcW w:w="813" w:type="dxa"/>
          </w:tcPr>
          <w:p>
            <w:pPr>
              <w:pStyle w:val="Compact"/>
              <w:spacing w:before="20" w:after="20"/>
              <w:jc w:val="center"/>
            </w:pPr>
            <w:r>
              <w:rPr>
                <w:sz w:val="16"/>
              </w:rPr>
              <w:t xml:space="preserve">2,24 (2, 72)</w:t>
            </w:r>
          </w:p>
        </w:tc>
        <w:tc>
          <w:tcPr>
            <w:tcW w:w="813" w:type="dxa"/>
          </w:tcPr>
          <w:p>
            <w:pPr>
              <w:pStyle w:val="Compact"/>
              <w:spacing w:before="20" w:after="20"/>
              <w:jc w:val="center"/>
            </w:pPr>
            <w:r>
              <w:rPr>
                <w:sz w:val="16"/>
              </w:rPr>
              <w:t xml:space="preserve">0,11</w:t>
            </w:r>
          </w:p>
        </w:tc>
        <w:tc>
          <w:tcPr>
            <w:tcW w:w="813" w:type="dxa"/>
          </w:tcPr>
          <w:p>
            <w:pPr>
              <w:pStyle w:val="Compact"/>
              <w:spacing w:before="20" w:after="20"/>
              <w:jc w:val="center"/>
            </w:pPr>
            <w:r>
              <w:rPr>
                <w:sz w:val="16"/>
              </w:rPr>
              <w:t xml:space="preserve">0,059</w:t>
            </w:r>
          </w:p>
        </w:tc>
      </w:tr>
    </w:tbl>
    <w:bookmarkEnd w:id="58"/>
    <w:bookmarkStart w:id="63" w:name="memoria-de-reconocimiento-de-objetos-nor"/>
    <w:p>
      <w:pPr>
        <w:pStyle w:val="Heading2"/>
      </w:pPr>
      <w:r>
        <w:t xml:space="preserve">5.3 Memoria de reconocimiento de objetos (NOR)</w:t>
      </w:r>
    </w:p>
    <w:p>
      <w:pPr>
        <w:pStyle w:val="FirstParagraph"/>
      </w:pPr>
      <w:r>
        <w:t xml:space="preserve">La exploración preferencial del objeto novedoso frente al familiar proporciona una medida de la memoria de reconocimiento. Tras la exposición a dos objetos idénticos (fase de muestreo, T1), la memoria se evaluó en los ensayos siguientes reemplazando uno de los objetos familiares por uno novedoso (Figura 5.8D) y calculando la tasa de exploración [</w:t>
      </w:r>
      <w:r>
        <w:rPr>
          <w:iCs/>
          <w:i/>
        </w:rPr>
        <w:t xml:space="preserve">t</w:t>
      </w:r>
      <w:r>
        <w:rPr>
          <w:vertAlign w:val="subscript"/>
        </w:rPr>
        <w:t xml:space="preserve">N</w:t>
      </w:r>
      <w:r>
        <w:t xml:space="preserve">/(</w:t>
      </w:r>
      <w:r>
        <w:rPr>
          <w:iCs/>
          <w:i/>
        </w:rPr>
        <w:t xml:space="preserve">t</w:t>
      </w:r>
      <w:r>
        <w:rPr>
          <w:vertAlign w:val="subscript"/>
        </w:rPr>
        <w:t xml:space="preserve">N</w:t>
      </w:r>
      <w:r>
        <w:t xml:space="preserve"> </w:t>
      </w:r>
      <w:r>
        <w:t xml:space="preserve">+</w:t>
      </w:r>
      <w:r>
        <w:t xml:space="preserve"> </w:t>
      </w:r>
      <w:r>
        <w:rPr>
          <w:iCs/>
          <w:i/>
        </w:rPr>
        <w:t xml:space="preserve">t</w:t>
      </w:r>
      <w:r>
        <w:rPr>
          <w:vertAlign w:val="subscript"/>
        </w:rPr>
        <w:t xml:space="preserve">F</w:t>
      </w:r>
      <w:r>
        <w:t xml:space="preserve">)].</w:t>
      </w:r>
    </w:p>
    <w:p>
      <w:pPr>
        <w:pStyle w:val="BodyText"/>
      </w:pPr>
      <w:r>
        <w:t xml:space="preserve">Durante la fase de familiarización (T1), se evaluó el tiempo de exploración de los dos objetos idénticos en los animales juveniles y adultos de los grupos control, sacarosa y stevia (Figura 5.7). El análisis mediante un ANOVA mixto de tres factores (tratamiento × edad × posición del objeto) reveló un efecto principal significativo de la edad (</w:t>
      </w:r>
      <w:r>
        <w:rPr>
          <w:iCs/>
          <w:i/>
        </w:rPr>
        <w:t xml:space="preserve">F</w:t>
      </w:r>
      <w:r>
        <w:rPr>
          <w:vertAlign w:val="subscript"/>
        </w:rPr>
        <w:t xml:space="preserve">Edad</w:t>
      </w:r>
      <w:r>
        <w:t xml:space="preserve">(1, 49) = 36,365;</w:t>
      </w:r>
      <w:r>
        <w:t xml:space="preserve"> </w:t>
      </w:r>
      <w:r>
        <w:rPr>
          <w:iCs/>
          <w:i/>
        </w:rPr>
        <w:t xml:space="preserve">p</w:t>
      </w:r>
      <w:r>
        <w:t xml:space="preserve"> </w:t>
      </w:r>
      <w:r>
        <w:t xml:space="preserve">&lt; 0,0001), lo que indica que los animales juveniles exploraron los objetos durante más tiempo que los adultos. No se observaron efectos principales significativos del tratamiento (</w:t>
      </w:r>
      <w:r>
        <w:rPr>
          <w:iCs/>
          <w:i/>
        </w:rPr>
        <w:t xml:space="preserve">F</w:t>
      </w:r>
      <w:r>
        <w:rPr>
          <w:vertAlign w:val="subscript"/>
        </w:rPr>
        <w:t xml:space="preserve">Tratamiento</w:t>
      </w:r>
      <w:r>
        <w:t xml:space="preserve">(2, 49) = 0,045;</w:t>
      </w:r>
      <w:r>
        <w:t xml:space="preserve"> </w:t>
      </w:r>
      <w:r>
        <w:rPr>
          <w:iCs/>
          <w:i/>
        </w:rPr>
        <w:t xml:space="preserve">p</w:t>
      </w:r>
      <w:r>
        <w:t xml:space="preserve"> </w:t>
      </w:r>
      <w:r>
        <w:t xml:space="preserve">= 0,9563) ni de la posición del objeto (</w:t>
      </w:r>
      <w:r>
        <w:rPr>
          <w:iCs/>
          <w:i/>
        </w:rPr>
        <w:t xml:space="preserve">F</w:t>
      </w:r>
      <w:r>
        <w:rPr>
          <w:vertAlign w:val="subscript"/>
        </w:rPr>
        <w:t xml:space="preserve">Posición</w:t>
      </w:r>
      <w:r>
        <w:t xml:space="preserve">(1, 49) = 1,755;</w:t>
      </w:r>
      <w:r>
        <w:t xml:space="preserve"> </w:t>
      </w:r>
      <w:r>
        <w:rPr>
          <w:iCs/>
          <w:i/>
        </w:rPr>
        <w:t xml:space="preserve">p</w:t>
      </w:r>
      <w:r>
        <w:t xml:space="preserve"> </w:t>
      </w:r>
      <w:r>
        <w:t xml:space="preserve">= 0,1913), y las interacciones tratamiento × edad (</w:t>
      </w:r>
      <w:r>
        <w:rPr>
          <w:iCs/>
          <w:i/>
        </w:rPr>
        <w:t xml:space="preserve">F</w:t>
      </w:r>
      <w:r>
        <w:t xml:space="preserve">(2, 49) = 0,663;</w:t>
      </w:r>
      <w:r>
        <w:t xml:space="preserve"> </w:t>
      </w:r>
      <w:r>
        <w:rPr>
          <w:iCs/>
          <w:i/>
        </w:rPr>
        <w:t xml:space="preserve">p</w:t>
      </w:r>
      <w:r>
        <w:t xml:space="preserve"> </w:t>
      </w:r>
      <w:r>
        <w:t xml:space="preserve">= 0,5201), tratamiento × posición (</w:t>
      </w:r>
      <w:r>
        <w:rPr>
          <w:iCs/>
          <w:i/>
        </w:rPr>
        <w:t xml:space="preserve">F</w:t>
      </w:r>
      <w:r>
        <w:t xml:space="preserve">(2, 49) = 0,260;</w:t>
      </w:r>
      <w:r>
        <w:t xml:space="preserve"> </w:t>
      </w:r>
      <w:r>
        <w:rPr>
          <w:iCs/>
          <w:i/>
        </w:rPr>
        <w:t xml:space="preserve">p</w:t>
      </w:r>
      <w:r>
        <w:t xml:space="preserve"> </w:t>
      </w:r>
      <w:r>
        <w:t xml:space="preserve">= 0,7719) y tratamiento × edad × posición (</w:t>
      </w:r>
      <w:r>
        <w:rPr>
          <w:iCs/>
          <w:i/>
        </w:rPr>
        <w:t xml:space="preserve">F</w:t>
      </w:r>
      <w:r>
        <w:t xml:space="preserve">(2, 49) = 2,515;</w:t>
      </w:r>
      <w:r>
        <w:t xml:space="preserve"> </w:t>
      </w:r>
      <w:r>
        <w:rPr>
          <w:iCs/>
          <w:i/>
        </w:rPr>
        <w:t xml:space="preserve">p</w:t>
      </w:r>
      <w:r>
        <w:t xml:space="preserve"> </w:t>
      </w:r>
      <w:r>
        <w:t xml:space="preserve">= 0,0912) no alcanzaron significación estadística. La interacción edad × posición, en cambio, fue significativa (</w:t>
      </w:r>
      <w:r>
        <w:rPr>
          <w:iCs/>
          <w:i/>
        </w:rPr>
        <w:t xml:space="preserve">F</w:t>
      </w:r>
      <w:r>
        <w:t xml:space="preserve">(1, 49) = 8,131;</w:t>
      </w:r>
      <w:r>
        <w:t xml:space="preserve"> </w:t>
      </w:r>
      <w:r>
        <w:rPr>
          <w:iCs/>
          <w:i/>
        </w:rPr>
        <w:t xml:space="preserve">p</w:t>
      </w:r>
      <w:r>
        <w:t xml:space="preserve"> </w:t>
      </w:r>
      <w:r>
        <w:t xml:space="preserve">= 0,0064), debido a que los animales adultos exploraron algo más el objeto ubicado a la derecha. En conjunto, estos resultados indican que la edad constituye un factor determinante del comportamiento exploratorio durante la fase de familiarización, mientras que la exposición a sacarosa o a stevia no produjo diferencias en el tiempo de exploración de los objetos.</w:t>
      </w:r>
    </w:p>
    <w:p>
      <w:pPr>
        <w:pStyle w:val="BodyText"/>
        <w:keepNext/>
        <w:jc w:val="center"/>
      </w:pPr>
      <w:r>
        <w:drawing>
          <wp:inline>
            <wp:extent cx="3571199" cy="2516072"/>
            <wp:effectExtent b="0" l="0" r="0" t="0"/>
            <wp:docPr descr="image" title="" id="1" name="Picture"/>
            <a:graphic>
              <a:graphicData uri="http://schemas.openxmlformats.org/drawingml/2006/picture">
                <pic:pic>
                  <pic:nvPicPr>
                    <pic:cNvPr descr="img/Fig5_NOR_T1.png" id="0" name="Picture"/>
                    <pic:cNvPicPr>
                      <a:picLocks noChangeArrowheads="1" noChangeAspect="1"/>
                    </pic:cNvPicPr>
                  </pic:nvPicPr>
                  <pic:blipFill>
                    <a:blip r:embed="rId59"/>
                    <a:stretch>
                      <a:fillRect/>
                    </a:stretch>
                  </pic:blipFill>
                  <pic:spPr bwMode="auto">
                    <a:xfrm>
                      <a:off x="0" y="0"/>
                      <a:ext cx="3571199" cy="251607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5.7.</w:t>
      </w:r>
      <w:r>
        <w:rPr>
          <w:sz w:val="19"/>
        </w:rPr>
        <w:t xml:space="preserve"> </w:t>
      </w:r>
      <w:r>
        <w:rPr>
          <w:sz w:val="19"/>
        </w:rPr>
        <w:t xml:space="preserve">Tiempo de exploración de cada uno de los dos objetos idénticos durante la fase de muestreo (T1) del NOR. Barras llenas: objeto izquierdo; barras rayadas: objeto derecho. Las barras indican la media ± SEM. Azul: control; rojo: sacarosa; verde: stevia. # </w:t>
      </w:r>
      <w:r>
        <w:rPr>
          <w:iCs/>
          <w:i/>
          <w:sz w:val="19"/>
        </w:rPr>
        <w:t xml:space="preserve">p</w:t>
      </w:r>
      <w:r>
        <w:rPr>
          <w:sz w:val="19"/>
        </w:rPr>
        <w:t xml:space="preserve"> </w:t>
      </w:r>
      <w:r>
        <w:rPr>
          <w:sz w:val="19"/>
        </w:rPr>
        <w:t xml:space="preserve">&lt; 0,0001, efecto principal de la edad (ANOVA mixto de tres factores).</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Tras un intervalo de 2 h (memoria a corto plazo, T2), se encontró una interacción edad-tratamiento significativa en la capacidad de discriminar el objeto novedoso del familiar (ANOVA de dos vías,</w:t>
      </w:r>
      <w:r>
        <w:t xml:space="preserve"> </w:t>
      </w:r>
      <w:r>
        <w:rPr>
          <w:iCs/>
          <w:i/>
        </w:rPr>
        <w:t xml:space="preserve">F</w:t>
      </w:r>
      <w:r>
        <w:rPr>
          <w:vertAlign w:val="subscript"/>
        </w:rPr>
        <w:t xml:space="preserve">Interacción</w:t>
      </w:r>
      <w:r>
        <w:t xml:space="preserve">(2, 49) = 10,13;</w:t>
      </w:r>
      <w:r>
        <w:t xml:space="preserve"> </w:t>
      </w:r>
      <w:r>
        <w:rPr>
          <w:iCs/>
          <w:i/>
        </w:rPr>
        <w:t xml:space="preserve">p</w:t>
      </w:r>
      <w:r>
        <w:t xml:space="preserve"> </w:t>
      </w:r>
      <w:r>
        <w:t xml:space="preserve">= 0,0002). Los grupos control juvenil y adulto, al igual que el grupo adulto expuesto a sacarosa, mostraron una clara preferencia por explorar el objeto novedoso. En cambio, el grupo juvenil expuesto a sacarosa exploró menos el objeto novedoso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0,0017; Figura 5.8A). En cuanto a la stevia, el grupo juvenil no difirió de su control (control vs. stevia:</w:t>
      </w:r>
      <w:r>
        <w:t xml:space="preserve"> </w:t>
      </w:r>
      <w:r>
        <w:rPr>
          <w:iCs/>
          <w:i/>
        </w:rPr>
        <w:t xml:space="preserve">p</w:t>
      </w:r>
      <w:r>
        <w:t xml:space="preserve"> </w:t>
      </w:r>
      <w:r>
        <w:t xml:space="preserve">= 0,4613), mientras que el grupo adulto exploró menos el objeto novedoso que su control de edad (control vs. stevia:</w:t>
      </w:r>
      <w:r>
        <w:t xml:space="preserve"> </w:t>
      </w:r>
      <w:r>
        <w:rPr>
          <w:iCs/>
          <w:i/>
        </w:rPr>
        <w:t xml:space="preserve">p</w:t>
      </w:r>
      <w:r>
        <w:t xml:space="preserve"> </w:t>
      </w:r>
      <w:r>
        <w:t xml:space="preserve">= 0,0003).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0,0591) y stevia (</w:t>
      </w:r>
      <w:r>
        <w:rPr>
          <w:iCs/>
          <w:i/>
        </w:rPr>
        <w:t xml:space="preserve">p</w:t>
      </w:r>
      <w:r>
        <w:t xml:space="preserve"> </w:t>
      </w:r>
      <w:r>
        <w:t xml:space="preserve">= 0,2959) no difirieron entre edades.</w:t>
      </w:r>
    </w:p>
    <w:p>
      <w:pPr>
        <w:pStyle w:val="BodyText"/>
      </w:pPr>
      <w:r>
        <w:t xml:space="preserve">De manera similar, la interacción edad-tratamiento fue significativa a las 24 h (memoria a largo plazo, T3;</w:t>
      </w:r>
      <w:r>
        <w:t xml:space="preserve"> </w:t>
      </w:r>
      <w:r>
        <w:rPr>
          <w:iCs/>
          <w:i/>
        </w:rPr>
        <w:t xml:space="preserve">F</w:t>
      </w:r>
      <w:r>
        <w:rPr>
          <w:vertAlign w:val="subscript"/>
        </w:rPr>
        <w:t xml:space="preserve">Interacción</w:t>
      </w:r>
      <w:r>
        <w:t xml:space="preserve">(2, 49) = 11,67;</w:t>
      </w:r>
      <w:r>
        <w:t xml:space="preserve"> </w:t>
      </w:r>
      <w:r>
        <w:rPr>
          <w:iCs/>
          <w:i/>
        </w:rPr>
        <w:t xml:space="preserve">p</w:t>
      </w:r>
      <w:r>
        <w:t xml:space="preserve"> </w:t>
      </w:r>
      <w:r>
        <w:t xml:space="preserve">&lt; 0,0001). El grupo juvenil expuesto a sacarosa volvió a explorar menos el objeto novedoso que su control de edad (control vs. sacarosa:</w:t>
      </w:r>
      <w:r>
        <w:t xml:space="preserve"> </w:t>
      </w:r>
      <w:r>
        <w:rPr>
          <w:iCs/>
          <w:i/>
        </w:rPr>
        <w:t xml:space="preserve">p</w:t>
      </w:r>
      <w:r>
        <w:t xml:space="preserve"> </w:t>
      </w:r>
      <w:r>
        <w:t xml:space="preserve">= 0,0008), al igual que el grupo juvenil expuesto a stevia (control vs. stevia:</w:t>
      </w:r>
      <w:r>
        <w:t xml:space="preserve"> </w:t>
      </w:r>
      <w:r>
        <w:rPr>
          <w:iCs/>
          <w:i/>
        </w:rPr>
        <w:t xml:space="preserve">p</w:t>
      </w:r>
      <w:r>
        <w:t xml:space="preserve"> </w:t>
      </w:r>
      <w:r>
        <w:t xml:space="preserve">= 0,0005; Figura 5.8B). En el grupo adulto no hubo diferencias entre tratamientos (</w:t>
      </w:r>
      <w:r>
        <w:rPr>
          <w:iCs/>
          <w:i/>
        </w:rPr>
        <w:t xml:space="preserve">p</w:t>
      </w:r>
      <w:r>
        <w:t xml:space="preserve"> </w:t>
      </w:r>
      <w:r>
        <w:t xml:space="preserve">&gt; 0,05). Se detectaron diferencias por edad en los grupos expuestos a sacarosa (juvenil vs. adulto:</w:t>
      </w:r>
      <w:r>
        <w:t xml:space="preserve"> </w:t>
      </w:r>
      <w:r>
        <w:rPr>
          <w:iCs/>
          <w:i/>
        </w:rPr>
        <w:t xml:space="preserve">p</w:t>
      </w:r>
      <w:r>
        <w:t xml:space="preserve"> </w:t>
      </w:r>
      <w:r>
        <w:t xml:space="preserve">&lt; 0,0001) y a stevia (</w:t>
      </w:r>
      <w:r>
        <w:rPr>
          <w:iCs/>
          <w:i/>
        </w:rPr>
        <w:t xml:space="preserve">p</w:t>
      </w:r>
      <w:r>
        <w:t xml:space="preserve"> </w:t>
      </w:r>
      <w:r>
        <w:t xml:space="preserve">= 0,0004), pero no en los grupos control (</w:t>
      </w:r>
      <w:r>
        <w:rPr>
          <w:iCs/>
          <w:i/>
        </w:rPr>
        <w:t xml:space="preserve">p</w:t>
      </w:r>
      <w:r>
        <w:t xml:space="preserve"> </w:t>
      </w:r>
      <w:r>
        <w:t xml:space="preserve">= 0,0965).</w:t>
      </w:r>
    </w:p>
    <w:p>
      <w:pPr>
        <w:pStyle w:val="BodyText"/>
      </w:pPr>
      <w:r>
        <w:t xml:space="preserve">Siete días después de la fase de muestreo (memoria consolidada, T4), la interacción edad-tratamiento también fue significativa (</w:t>
      </w:r>
      <w:r>
        <w:rPr>
          <w:iCs/>
          <w:i/>
        </w:rPr>
        <w:t xml:space="preserve">F</w:t>
      </w:r>
      <w:r>
        <w:rPr>
          <w:vertAlign w:val="subscript"/>
        </w:rPr>
        <w:t xml:space="preserve">Interacción</w:t>
      </w:r>
      <w:r>
        <w:t xml:space="preserve">(2, 49) = 7,82;</w:t>
      </w:r>
      <w:r>
        <w:t xml:space="preserve"> </w:t>
      </w:r>
      <w:r>
        <w:rPr>
          <w:iCs/>
          <w:i/>
        </w:rPr>
        <w:t xml:space="preserve">p</w:t>
      </w:r>
      <w:r>
        <w:t xml:space="preserve"> </w:t>
      </w:r>
      <w:r>
        <w:t xml:space="preserve">= 0,0011). Nuevamente, el grupo juvenil expuesto a sacarosa exploró menos el objeto novedoso que su control de edad (control vs. sacarosa:</w:t>
      </w:r>
      <w:r>
        <w:t xml:space="preserve"> </w:t>
      </w:r>
      <w:r>
        <w:rPr>
          <w:iCs/>
          <w:i/>
        </w:rPr>
        <w:t xml:space="preserve">p</w:t>
      </w:r>
      <w:r>
        <w:t xml:space="preserve"> </w:t>
      </w:r>
      <w:r>
        <w:t xml:space="preserve">= 0,0009; Figura 5.8C), mientras que no se registraron diferencias entre los otros grupos y sus controles de edad (</w:t>
      </w:r>
      <w:r>
        <w:rPr>
          <w:iCs/>
          <w:i/>
        </w:rPr>
        <w:t xml:space="preserve">p</w:t>
      </w:r>
      <w:r>
        <w:t xml:space="preserve"> </w:t>
      </w:r>
      <w:r>
        <w:t xml:space="preserve">&gt; 0,05). El grupo adulto expuesto a stevia no difirió de su control, pero exploró menos el objeto novedoso que el grupo adulto expuesto a sacarosa (sacarosa vs. stevia:</w:t>
      </w:r>
      <w:r>
        <w:t xml:space="preserve"> </w:t>
      </w:r>
      <w:r>
        <w:rPr>
          <w:iCs/>
          <w:i/>
        </w:rPr>
        <w:t xml:space="preserve">p</w:t>
      </w:r>
      <w:r>
        <w:t xml:space="preserve"> </w:t>
      </w:r>
      <w:r>
        <w:t xml:space="preserve">= 0,0382).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0,7177) y stevia (</w:t>
      </w:r>
      <w:r>
        <w:rPr>
          <w:iCs/>
          <w:i/>
        </w:rPr>
        <w:t xml:space="preserve">p</w:t>
      </w:r>
      <w:r>
        <w:t xml:space="preserve"> </w:t>
      </w:r>
      <w:r>
        <w:t xml:space="preserve">= 0,5189) no difirieron entre edades.</w:t>
      </w:r>
    </w:p>
    <w:p>
      <w:pPr>
        <w:pStyle w:val="BodyText"/>
        <w:keepNext/>
        <w:jc w:val="center"/>
      </w:pPr>
      <w:r>
        <w:t xml:space="preserve">(A)</w:t>
      </w:r>
      <w:r>
        <w:t xml:space="preserve"> </w:t>
      </w:r>
      <w:r>
        <w:drawing>
          <wp:inline>
            <wp:extent cx="1843199" cy="1762307"/>
            <wp:effectExtent b="0" l="0" r="0" t="0"/>
            <wp:docPr descr="image" title="" id="1" name="Picture"/>
            <a:graphic>
              <a:graphicData uri="http://schemas.openxmlformats.org/drawingml/2006/picture">
                <pic:pic>
                  <pic:nvPicPr>
                    <pic:cNvPr descr="img/Fig5_NOR_T2_es.png" id="0" name="Picture"/>
                    <pic:cNvPicPr>
                      <a:picLocks noChangeArrowheads="1" noChangeAspect="1"/>
                    </pic:cNvPicPr>
                  </pic:nvPicPr>
                  <pic:blipFill>
                    <a:blip r:embed="rId60"/>
                    <a:stretch>
                      <a:fillRect/>
                    </a:stretch>
                  </pic:blipFill>
                  <pic:spPr bwMode="auto">
                    <a:xfrm>
                      <a:off x="0" y="0"/>
                      <a:ext cx="1843199" cy="1762307"/>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25865"/>
            <wp:effectExtent b="0" l="0" r="0" t="0"/>
            <wp:docPr descr="image" title="" id="1" name="Picture"/>
            <a:graphic>
              <a:graphicData uri="http://schemas.openxmlformats.org/drawingml/2006/picture">
                <pic:pic>
                  <pic:nvPicPr>
                    <pic:cNvPr descr="img/Fig5_NOR_T3_es.png" id="0" name="Picture"/>
                    <pic:cNvPicPr>
                      <a:picLocks noChangeArrowheads="1" noChangeAspect="1"/>
                    </pic:cNvPicPr>
                  </pic:nvPicPr>
                  <pic:blipFill>
                    <a:blip r:embed="rId61"/>
                    <a:stretch>
                      <a:fillRect/>
                    </a:stretch>
                  </pic:blipFill>
                  <pic:spPr bwMode="auto">
                    <a:xfrm>
                      <a:off x="0" y="0"/>
                      <a:ext cx="1843199" cy="1825865"/>
                    </a:xfrm>
                    <a:prstGeom prst="rect">
                      <a:avLst/>
                    </a:prstGeom>
                    <a:noFill/>
                    <a:ln w="9525">
                      <a:noFill/>
                      <a:headEnd/>
                      <a:tailEnd/>
                    </a:ln>
                  </pic:spPr>
                </pic:pic>
              </a:graphicData>
            </a:graphic>
          </wp:inline>
        </w:drawing>
      </w:r>
      <w:r>
        <w:t xml:space="preserve"> </w:t>
      </w:r>
      <w:r>
        <w:t xml:space="preserve">(C)</w:t>
      </w:r>
      <w:r>
        <w:t xml:space="preserve"> </w:t>
      </w:r>
      <w:r>
        <w:drawing>
          <wp:inline>
            <wp:extent cx="1843199" cy="1502875"/>
            <wp:effectExtent b="0" l="0" r="0" t="0"/>
            <wp:docPr descr="image" title="" id="1" name="Picture"/>
            <a:graphic>
              <a:graphicData uri="http://schemas.openxmlformats.org/drawingml/2006/picture">
                <pic:pic>
                  <pic:nvPicPr>
                    <pic:cNvPr descr="img/Fig5_NOR_T4_es.png" id="0" name="Picture"/>
                    <pic:cNvPicPr>
                      <a:picLocks noChangeArrowheads="1" noChangeAspect="1"/>
                    </pic:cNvPicPr>
                  </pic:nvPicPr>
                  <pic:blipFill>
                    <a:blip r:embed="rId62"/>
                    <a:stretch>
                      <a:fillRect/>
                    </a:stretch>
                  </pic:blipFill>
                  <pic:spPr bwMode="auto">
                    <a:xfrm>
                      <a:off x="0" y="0"/>
                      <a:ext cx="1843199" cy="1502875"/>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5753100" cy="1587062"/>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753100" cy="158706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5.8.</w:t>
      </w:r>
      <w:r>
        <w:rPr>
          <w:sz w:val="19"/>
        </w:rPr>
        <w:t xml:space="preserve"> </w:t>
      </w:r>
      <w:r>
        <w:rPr>
          <w:sz w:val="19"/>
        </w:rPr>
        <w:t xml:space="preserve">Tasa de exploración en la prueba NOR. (A) T2 (2 h). (B) T3 (24 h). (C) T4 (7 días). (D) Esquema del protocolo y objetos presentados en cada ensayo [2]. Las barras indican media ± SEM; cada punto representa un animal. Azul: control; rojo: sacarosa; verde: stevia (paleta común a todas las figuras de esta tesis). Se indican los resultados de las comparaciones de Tukey entre grupos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que los efectos del consumo de sacarosa y de stevia sobre la memoria de reconocimiento dependen tanto del tipo de edulcorante como de la etapa del desarrollo en la que ocurre la exposición. En particular, los animales expuestos a sacarosa durante la etapa juvenil presentaron las alteraciones más pronunciadas, con déficits persistentes en la memoria a corto plazo, a largo plazo y consolidada, observados en todos los intervalos de retención evaluados. En contraste, los animales expuestos a sacarosa durante la adultez conservaron la capacidad de reconocer el objeto familiar y discriminarlo del novedoso en todas las fases experimentales.</w:t>
      </w:r>
    </w:p>
    <w:p>
      <w:pPr>
        <w:pStyle w:val="BodyText"/>
      </w:pPr>
      <w:r>
        <w:t xml:space="preserve">Por su parte, la exposición a stevia produjo alteraciones específicas en función de la edad y del intervalo de retención. En los animales juveniles se observó una disminución significativa de la tasa de exploración del objeto novedoso respecto del grupo control a las 24 h, lo que sugiere un compromiso de la memoria a largo plazo. En cambio, en los animales adultos esta disminución se manifestó únicamente a las 2 h, lo que indica una alteración de la memoria a corto plazo. No obstante, la memoria consolidada permaneció preservada en ambos grupos expuestos a stevia.</w:t>
      </w:r>
    </w:p>
    <w:p>
      <w:pPr>
        <w:pStyle w:val="BodyText"/>
      </w:pPr>
      <w:r>
        <w:t xml:space="preserve">En conjunto,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pPr>
        <w:pStyle w:val="BodyText"/>
        <w:keepNext/>
      </w:pPr>
      <w:r>
        <w:rPr>
          <w:bCs/>
          <w:b/>
          <w:sz w:val="19"/>
        </w:rPr>
        <w:t xml:space="preserve">Tabla 5.2.</w:t>
      </w:r>
      <w:r>
        <w:rPr>
          <w:sz w:val="19"/>
        </w:rPr>
        <w:t xml:space="preserve"> </w:t>
      </w:r>
      <w:r>
        <w:rPr>
          <w:sz w:val="19"/>
        </w:rPr>
        <w:t xml:space="preserve">Resumen del ANOVA de dos vías (edad de exposición × tratamiento) para la tasa de exploración en cada demora de la prueba NOR.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T2</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T3</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T4</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Fuente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Tratamiento</w:t>
            </w:r>
          </w:p>
        </w:tc>
        <w:tc>
          <w:tcPr>
            <w:tcW w:w="813" w:type="dxa"/>
          </w:tcPr>
          <w:p>
            <w:pPr>
              <w:pStyle w:val="Compact"/>
              <w:keepNext/>
              <w:spacing w:before="20" w:after="20"/>
              <w:jc w:val="center"/>
            </w:pPr>
            <w:r>
              <w:rPr>
                <w:sz w:val="16"/>
              </w:rPr>
              <w:t xml:space="preserve">7,89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0,244</w:t>
            </w:r>
          </w:p>
        </w:tc>
        <w:tc>
          <w:tcPr>
            <w:tcW w:w="813" w:type="dxa"/>
          </w:tcPr>
          <w:p>
            <w:pPr>
              <w:pStyle w:val="Compact"/>
              <w:keepNext/>
              <w:spacing w:before="20" w:after="20"/>
              <w:jc w:val="center"/>
            </w:pPr>
            <w:r>
              <w:rPr>
                <w:sz w:val="16"/>
              </w:rPr>
              <w:t xml:space="preserve">1,87 (2, 49)</w:t>
            </w:r>
          </w:p>
        </w:tc>
        <w:tc>
          <w:tcPr>
            <w:tcW w:w="813" w:type="dxa"/>
          </w:tcPr>
          <w:p>
            <w:pPr>
              <w:pStyle w:val="Compact"/>
              <w:keepNext/>
              <w:spacing w:before="20" w:after="20"/>
              <w:jc w:val="center"/>
            </w:pPr>
            <w:r>
              <w:rPr>
                <w:sz w:val="16"/>
              </w:rPr>
              <w:t xml:space="preserve">0,165</w:t>
            </w:r>
          </w:p>
        </w:tc>
        <w:tc>
          <w:tcPr>
            <w:tcW w:w="813" w:type="dxa"/>
          </w:tcPr>
          <w:p>
            <w:pPr>
              <w:pStyle w:val="Compact"/>
              <w:keepNext/>
              <w:spacing w:before="20" w:after="20"/>
              <w:jc w:val="center"/>
            </w:pPr>
            <w:r>
              <w:rPr>
                <w:sz w:val="16"/>
              </w:rPr>
              <w:t xml:space="preserve">0,071</w:t>
            </w:r>
          </w:p>
        </w:tc>
        <w:tc>
          <w:tcPr>
            <w:tcW w:w="813" w:type="dxa"/>
          </w:tcPr>
          <w:p>
            <w:pPr>
              <w:pStyle w:val="Compact"/>
              <w:keepNext/>
              <w:spacing w:before="20" w:after="20"/>
              <w:jc w:val="center"/>
            </w:pPr>
            <w:r>
              <w:rPr>
                <w:sz w:val="16"/>
              </w:rPr>
              <w:t xml:space="preserve">3,11 (2, 49)</w:t>
            </w:r>
          </w:p>
        </w:tc>
        <w:tc>
          <w:tcPr>
            <w:tcW w:w="813" w:type="dxa"/>
          </w:tcPr>
          <w:p>
            <w:pPr>
              <w:pStyle w:val="Compact"/>
              <w:keepNext/>
              <w:spacing w:before="20" w:after="20"/>
              <w:jc w:val="center"/>
            </w:pPr>
            <w:r>
              <w:rPr>
                <w:sz w:val="16"/>
              </w:rPr>
              <w:t xml:space="preserve">0,054</w:t>
            </w:r>
          </w:p>
        </w:tc>
        <w:tc>
          <w:tcPr>
            <w:tcW w:w="813" w:type="dxa"/>
          </w:tcPr>
          <w:p>
            <w:pPr>
              <w:pStyle w:val="Compact"/>
              <w:keepNext/>
              <w:spacing w:before="20" w:after="20"/>
              <w:jc w:val="center"/>
            </w:pPr>
            <w:r>
              <w:rPr>
                <w:sz w:val="16"/>
              </w:rPr>
              <w:t xml:space="preserve">0,113</w:t>
            </w:r>
          </w:p>
        </w:tc>
      </w:tr>
      <w:tr>
        <w:trPr>
          <w:cantSplit/>
        </w:trPr>
        <w:tc>
          <w:tcPr>
            <w:tcW w:w="1750" w:type="dxa"/>
          </w:tcPr>
          <w:p>
            <w:pPr>
              <w:pStyle w:val="Compact"/>
              <w:keepNext/>
              <w:spacing w:before="20" w:after="20"/>
              <w:jc w:val="left"/>
            </w:pPr>
            <w:r>
              <w:rPr>
                <w:sz w:val="16"/>
              </w:rPr>
              <w:t xml:space="preserve">Edad</w:t>
            </w:r>
          </w:p>
        </w:tc>
        <w:tc>
          <w:tcPr>
            <w:tcW w:w="813" w:type="dxa"/>
          </w:tcPr>
          <w:p>
            <w:pPr>
              <w:pStyle w:val="Compact"/>
              <w:keepNext/>
              <w:spacing w:before="20" w:after="20"/>
              <w:jc w:val="center"/>
            </w:pPr>
            <w:r>
              <w:rPr>
                <w:sz w:val="16"/>
              </w:rPr>
              <w:t xml:space="preserve">12,74 (1, 49)</w:t>
            </w:r>
          </w:p>
        </w:tc>
        <w:tc>
          <w:tcPr>
            <w:tcW w:w="813" w:type="dxa"/>
          </w:tcPr>
          <w:p>
            <w:pPr>
              <w:pStyle w:val="Compact"/>
              <w:keepNext/>
              <w:spacing w:before="20" w:after="20"/>
              <w:jc w:val="center"/>
            </w:pPr>
            <w:r>
              <w:rPr>
                <w:bCs/>
                <w:b/>
                <w:sz w:val="16"/>
              </w:rPr>
              <w:t xml:space="preserve">0,0008</w:t>
            </w:r>
          </w:p>
        </w:tc>
        <w:tc>
          <w:tcPr>
            <w:tcW w:w="813" w:type="dxa"/>
          </w:tcPr>
          <w:p>
            <w:pPr>
              <w:pStyle w:val="Compact"/>
              <w:keepNext/>
              <w:spacing w:before="20" w:after="20"/>
              <w:jc w:val="center"/>
            </w:pPr>
            <w:r>
              <w:rPr>
                <w:sz w:val="16"/>
              </w:rPr>
              <w:t xml:space="preserve">0,206</w:t>
            </w:r>
          </w:p>
        </w:tc>
        <w:tc>
          <w:tcPr>
            <w:tcW w:w="813" w:type="dxa"/>
          </w:tcPr>
          <w:p>
            <w:pPr>
              <w:pStyle w:val="Compact"/>
              <w:keepNext/>
              <w:spacing w:before="20" w:after="20"/>
              <w:jc w:val="center"/>
            </w:pPr>
            <w:r>
              <w:rPr>
                <w:sz w:val="16"/>
              </w:rPr>
              <w:t xml:space="preserve">14,92 (1, 49)</w:t>
            </w:r>
          </w:p>
        </w:tc>
        <w:tc>
          <w:tcPr>
            <w:tcW w:w="813" w:type="dxa"/>
          </w:tcPr>
          <w:p>
            <w:pPr>
              <w:pStyle w:val="Compact"/>
              <w:keepNext/>
              <w:spacing w:before="20" w:after="20"/>
              <w:jc w:val="center"/>
            </w:pPr>
            <w:r>
              <w:rPr>
                <w:bCs/>
                <w:b/>
                <w:sz w:val="16"/>
              </w:rPr>
              <w:t xml:space="preserve">0,0003</w:t>
            </w:r>
          </w:p>
        </w:tc>
        <w:tc>
          <w:tcPr>
            <w:tcW w:w="813" w:type="dxa"/>
          </w:tcPr>
          <w:p>
            <w:pPr>
              <w:pStyle w:val="Compact"/>
              <w:keepNext/>
              <w:spacing w:before="20" w:after="20"/>
              <w:jc w:val="center"/>
            </w:pPr>
            <w:r>
              <w:rPr>
                <w:sz w:val="16"/>
              </w:rPr>
              <w:t xml:space="preserve">0,233</w:t>
            </w:r>
          </w:p>
        </w:tc>
        <w:tc>
          <w:tcPr>
            <w:tcW w:w="813" w:type="dxa"/>
          </w:tcPr>
          <w:p>
            <w:pPr>
              <w:pStyle w:val="Compact"/>
              <w:keepNext/>
              <w:spacing w:before="20" w:after="20"/>
              <w:jc w:val="center"/>
            </w:pPr>
            <w:r>
              <w:rPr>
                <w:sz w:val="16"/>
              </w:rPr>
              <w:t xml:space="preserve">9,07 (1, 49)</w:t>
            </w:r>
          </w:p>
        </w:tc>
        <w:tc>
          <w:tcPr>
            <w:tcW w:w="813" w:type="dxa"/>
          </w:tcPr>
          <w:p>
            <w:pPr>
              <w:pStyle w:val="Compact"/>
              <w:keepNext/>
              <w:spacing w:before="20" w:after="20"/>
              <w:jc w:val="center"/>
            </w:pPr>
            <w:r>
              <w:rPr>
                <w:bCs/>
                <w:b/>
                <w:sz w:val="16"/>
              </w:rPr>
              <w:t xml:space="preserve">0,0041</w:t>
            </w:r>
          </w:p>
        </w:tc>
        <w:tc>
          <w:tcPr>
            <w:tcW w:w="813" w:type="dxa"/>
          </w:tcPr>
          <w:p>
            <w:pPr>
              <w:pStyle w:val="Compact"/>
              <w:keepNext/>
              <w:spacing w:before="20" w:after="20"/>
              <w:jc w:val="center"/>
            </w:pPr>
            <w:r>
              <w:rPr>
                <w:sz w:val="16"/>
              </w:rPr>
              <w:t xml:space="preserve">0,156</w:t>
            </w:r>
          </w:p>
        </w:tc>
      </w:tr>
      <w:tr>
        <w:trPr>
          <w:cantSplit/>
        </w:trPr>
        <w:tc>
          <w:tcPr>
            <w:tcW w:w="1750" w:type="dxa"/>
          </w:tcPr>
          <w:p>
            <w:pPr>
              <w:pStyle w:val="Compact"/>
              <w:spacing w:before="20" w:after="20"/>
              <w:jc w:val="left"/>
            </w:pPr>
            <w:r>
              <w:rPr>
                <w:sz w:val="16"/>
              </w:rPr>
              <w:t xml:space="preserve">Interacción</w:t>
            </w:r>
          </w:p>
        </w:tc>
        <w:tc>
          <w:tcPr>
            <w:tcW w:w="813" w:type="dxa"/>
          </w:tcPr>
          <w:p>
            <w:pPr>
              <w:pStyle w:val="Compact"/>
              <w:spacing w:before="20" w:after="20"/>
              <w:jc w:val="center"/>
            </w:pPr>
            <w:r>
              <w:rPr>
                <w:sz w:val="16"/>
              </w:rPr>
              <w:t xml:space="preserve">10,13 (2, 49)</w:t>
            </w:r>
          </w:p>
        </w:tc>
        <w:tc>
          <w:tcPr>
            <w:tcW w:w="813" w:type="dxa"/>
          </w:tcPr>
          <w:p>
            <w:pPr>
              <w:pStyle w:val="Compact"/>
              <w:spacing w:before="20" w:after="20"/>
              <w:jc w:val="center"/>
            </w:pPr>
            <w:r>
              <w:rPr>
                <w:bCs/>
                <w:b/>
                <w:sz w:val="16"/>
              </w:rPr>
              <w:t xml:space="preserve">0,0002</w:t>
            </w:r>
          </w:p>
        </w:tc>
        <w:tc>
          <w:tcPr>
            <w:tcW w:w="813" w:type="dxa"/>
          </w:tcPr>
          <w:p>
            <w:pPr>
              <w:pStyle w:val="Compact"/>
              <w:spacing w:before="20" w:after="20"/>
              <w:jc w:val="center"/>
            </w:pPr>
            <w:r>
              <w:rPr>
                <w:sz w:val="16"/>
              </w:rPr>
              <w:t xml:space="preserve">0,293</w:t>
            </w:r>
          </w:p>
        </w:tc>
        <w:tc>
          <w:tcPr>
            <w:tcW w:w="813" w:type="dxa"/>
          </w:tcPr>
          <w:p>
            <w:pPr>
              <w:pStyle w:val="Compact"/>
              <w:spacing w:before="20" w:after="20"/>
              <w:jc w:val="center"/>
            </w:pPr>
            <w:r>
              <w:rPr>
                <w:sz w:val="16"/>
              </w:rPr>
              <w:t xml:space="preserve">11,67 (2, 49)</w:t>
            </w:r>
          </w:p>
        </w:tc>
        <w:tc>
          <w:tcPr>
            <w:tcW w:w="813" w:type="dxa"/>
          </w:tcPr>
          <w:p>
            <w:pPr>
              <w:pStyle w:val="Compact"/>
              <w:spacing w:before="20" w:after="20"/>
              <w:jc w:val="center"/>
            </w:pPr>
            <w:r>
              <w:rPr>
                <w:bCs/>
                <w:b/>
                <w:sz w:val="16"/>
              </w:rPr>
              <w:t xml:space="preserve">&lt;0,0001</w:t>
            </w:r>
          </w:p>
        </w:tc>
        <w:tc>
          <w:tcPr>
            <w:tcW w:w="813" w:type="dxa"/>
          </w:tcPr>
          <w:p>
            <w:pPr>
              <w:pStyle w:val="Compact"/>
              <w:spacing w:before="20" w:after="20"/>
              <w:jc w:val="center"/>
            </w:pPr>
            <w:r>
              <w:rPr>
                <w:sz w:val="16"/>
              </w:rPr>
              <w:t xml:space="preserve">0,323</w:t>
            </w:r>
          </w:p>
        </w:tc>
        <w:tc>
          <w:tcPr>
            <w:tcW w:w="813" w:type="dxa"/>
          </w:tcPr>
          <w:p>
            <w:pPr>
              <w:pStyle w:val="Compact"/>
              <w:spacing w:before="20" w:after="20"/>
              <w:jc w:val="center"/>
            </w:pPr>
            <w:r>
              <w:rPr>
                <w:sz w:val="16"/>
              </w:rPr>
              <w:t xml:space="preserve">7,82 (2, 49)</w:t>
            </w:r>
          </w:p>
        </w:tc>
        <w:tc>
          <w:tcPr>
            <w:tcW w:w="813" w:type="dxa"/>
          </w:tcPr>
          <w:p>
            <w:pPr>
              <w:pStyle w:val="Compact"/>
              <w:spacing w:before="20" w:after="20"/>
              <w:jc w:val="center"/>
            </w:pPr>
            <w:r>
              <w:rPr>
                <w:bCs/>
                <w:b/>
                <w:sz w:val="16"/>
              </w:rPr>
              <w:t xml:space="preserve">0,0011</w:t>
            </w:r>
          </w:p>
        </w:tc>
        <w:tc>
          <w:tcPr>
            <w:tcW w:w="813" w:type="dxa"/>
          </w:tcPr>
          <w:p>
            <w:pPr>
              <w:pStyle w:val="Compact"/>
              <w:spacing w:before="20" w:after="20"/>
              <w:jc w:val="center"/>
            </w:pPr>
            <w:r>
              <w:rPr>
                <w:sz w:val="16"/>
              </w:rPr>
              <w:t xml:space="preserve">0,242</w:t>
            </w:r>
          </w:p>
        </w:tc>
      </w:tr>
    </w:tbl>
    <w:bookmarkEnd w:id="63"/>
    <w:bookmarkStart w:id="72" w:name="separación-de-patrones-espaciales-slr"/>
    <w:p>
      <w:pPr>
        <w:pStyle w:val="Heading2"/>
      </w:pPr>
      <w:r>
        <w:t xml:space="preserve">5.4 Separación de patrones espaciales (SLR)</w:t>
      </w:r>
    </w:p>
    <w:p>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5.11) y como tasa de exploración equivalente (Figura 5.12). Ambos índices tienen en cuenta el tiempo de exploración del objeto familiar y del objeto novedoso (DI = 2·tasa − 1) y producen resultados estadísticos idénticos (mismos</w:t>
      </w:r>
      <w:r>
        <w:t xml:space="preserve"> </w:t>
      </w:r>
      <w:r>
        <w:rPr>
          <w:iCs/>
          <w:i/>
        </w:rPr>
        <w:t xml:space="preserve">F</w:t>
      </w:r>
      <w:r>
        <w:t xml:space="preserve"> </w:t>
      </w:r>
      <w:r>
        <w:t xml:space="preserve">y</w:t>
      </w:r>
      <w:r>
        <w:t xml:space="preserve"> </w:t>
      </w:r>
      <w:r>
        <w:rPr>
          <w:iCs/>
          <w:i/>
        </w:rPr>
        <w:t xml:space="preserve">p</w:t>
      </w:r>
      <w:r>
        <w:t xml:space="preserve">).</w:t>
      </w:r>
    </w:p>
    <w:p>
      <w:pPr>
        <w:pStyle w:val="BodyText"/>
      </w:pPr>
      <w:r>
        <w:t xml:space="preserve">Como control de la fase de muestreo (día 1), se analizó el tiempo de exploración de cada uno de los tres objetos idénticos (Figura 5.9A) mediante un ANOVA mixto de tres factores (edad × tratamiento × objeto). En la d-SLR, los animales exploraron los tres objetos por igual (</w:t>
      </w:r>
      <w:r>
        <w:rPr>
          <w:iCs/>
          <w:i/>
        </w:rPr>
        <w:t xml:space="preserve">F</w:t>
      </w:r>
      <w:r>
        <w:rPr>
          <w:vertAlign w:val="subscript"/>
        </w:rPr>
        <w:t xml:space="preserve">Objeto</w:t>
      </w:r>
      <w:r>
        <w:t xml:space="preserve">(2, 104) = 1,15;</w:t>
      </w:r>
      <w:r>
        <w:t xml:space="preserve"> </w:t>
      </w:r>
      <w:r>
        <w:rPr>
          <w:iCs/>
          <w:i/>
        </w:rPr>
        <w:t xml:space="preserve">p</w:t>
      </w:r>
      <w:r>
        <w:t xml:space="preserve"> </w:t>
      </w:r>
      <w:r>
        <w:t xml:space="preserve">= 0,32), sin efectos de la edad (</w:t>
      </w:r>
      <w:r>
        <w:rPr>
          <w:iCs/>
          <w:i/>
        </w:rPr>
        <w:t xml:space="preserve">F</w:t>
      </w:r>
      <w:r>
        <w:rPr>
          <w:vertAlign w:val="subscript"/>
        </w:rPr>
        <w:t xml:space="preserve">Edad</w:t>
      </w:r>
      <w:r>
        <w:t xml:space="preserve">(1, 52) = 0,52;</w:t>
      </w:r>
      <w:r>
        <w:t xml:space="preserve"> </w:t>
      </w:r>
      <w:r>
        <w:rPr>
          <w:iCs/>
          <w:i/>
        </w:rPr>
        <w:t xml:space="preserve">p</w:t>
      </w:r>
      <w:r>
        <w:t xml:space="preserve"> </w:t>
      </w:r>
      <w:r>
        <w:t xml:space="preserve">= 0,47), del tratamiento (</w:t>
      </w:r>
      <w:r>
        <w:rPr>
          <w:iCs/>
          <w:i/>
        </w:rPr>
        <w:t xml:space="preserve">F</w:t>
      </w:r>
      <w:r>
        <w:rPr>
          <w:vertAlign w:val="subscript"/>
        </w:rPr>
        <w:t xml:space="preserve">Tratamiento</w:t>
      </w:r>
      <w:r>
        <w:t xml:space="preserve">(2, 52) = 2,07;</w:t>
      </w:r>
      <w:r>
        <w:t xml:space="preserve"> </w:t>
      </w:r>
      <w:r>
        <w:rPr>
          <w:iCs/>
          <w:i/>
        </w:rPr>
        <w:t xml:space="preserve">p</w:t>
      </w:r>
      <w:r>
        <w:t xml:space="preserve"> </w:t>
      </w:r>
      <w:r>
        <w:t xml:space="preserve">= 0,14) ni de las interacciones (</w:t>
      </w:r>
      <w:r>
        <w:rPr>
          <w:iCs/>
          <w:i/>
        </w:rPr>
        <w:t xml:space="preserve">p</w:t>
      </w:r>
      <w:r>
        <w:t xml:space="preserve"> </w:t>
      </w:r>
      <w:r>
        <w:t xml:space="preserve">&gt; 0,05). En la s-SLR, los animales exploraron más el objeto A1 que los objetos A2 y A3, próximos entre sí (</w:t>
      </w:r>
      <w:r>
        <w:rPr>
          <w:iCs/>
          <w:i/>
        </w:rPr>
        <w:t xml:space="preserve">F</w:t>
      </w:r>
      <w:r>
        <w:rPr>
          <w:vertAlign w:val="subscript"/>
        </w:rPr>
        <w:t xml:space="preserve">Objeto</w:t>
      </w:r>
      <w:r>
        <w:t xml:space="preserve">(2, 106) = 8,07;</w:t>
      </w:r>
      <w:r>
        <w:t xml:space="preserve"> </w:t>
      </w:r>
      <w:r>
        <w:rPr>
          <w:iCs/>
          <w:i/>
        </w:rPr>
        <w:t xml:space="preserve">p</w:t>
      </w:r>
      <w:r>
        <w:t xml:space="preserve"> </w:t>
      </w:r>
      <w:r>
        <w:t xml:space="preserve">= 0,0014, con corrección de Geisser-Greenhouse), sin interacción del objeto con la edad (</w:t>
      </w:r>
      <w:r>
        <w:rPr>
          <w:iCs/>
          <w:i/>
        </w:rPr>
        <w:t xml:space="preserve">p</w:t>
      </w:r>
      <w:r>
        <w:t xml:space="preserve"> </w:t>
      </w:r>
      <w:r>
        <w:t xml:space="preserve">= 0,12) ni con el tratamiento (</w:t>
      </w:r>
      <w:r>
        <w:rPr>
          <w:iCs/>
          <w:i/>
        </w:rPr>
        <w:t xml:space="preserve">p</w:t>
      </w:r>
      <w:r>
        <w:t xml:space="preserve"> </w:t>
      </w:r>
      <w:r>
        <w:t xml:space="preserve">= 0,46); el tiempo de exploración dependió, además, del tratamiento y de su interacción con la edad (</w:t>
      </w:r>
      <w:r>
        <w:rPr>
          <w:iCs/>
          <w:i/>
        </w:rPr>
        <w:t xml:space="preserve">F</w:t>
      </w:r>
      <w:r>
        <w:rPr>
          <w:vertAlign w:val="subscript"/>
        </w:rPr>
        <w:t xml:space="preserve">Tratamiento</w:t>
      </w:r>
      <w:r>
        <w:t xml:space="preserve">(2, 53) = 7,44;</w:t>
      </w:r>
      <w:r>
        <w:t xml:space="preserve"> </w:t>
      </w:r>
      <w:r>
        <w:rPr>
          <w:iCs/>
          <w:i/>
        </w:rPr>
        <w:t xml:space="preserve">p</w:t>
      </w:r>
      <w:r>
        <w:t xml:space="preserve"> </w:t>
      </w:r>
      <w:r>
        <w:t xml:space="preserve">= 0,0014;</w:t>
      </w:r>
      <w:r>
        <w:t xml:space="preserve"> </w:t>
      </w:r>
      <w:r>
        <w:rPr>
          <w:iCs/>
          <w:i/>
        </w:rPr>
        <w:t xml:space="preserve">F</w:t>
      </w:r>
      <w:r>
        <w:rPr>
          <w:vertAlign w:val="subscript"/>
        </w:rPr>
        <w:t xml:space="preserve">Edad × Tratamiento</w:t>
      </w:r>
      <w:r>
        <w:t xml:space="preserve">(2, 53) = 5,95;</w:t>
      </w:r>
      <w:r>
        <w:t xml:space="preserve"> </w:t>
      </w:r>
      <w:r>
        <w:rPr>
          <w:iCs/>
          <w:i/>
        </w:rPr>
        <w:t xml:space="preserve">p</w:t>
      </w:r>
      <w:r>
        <w:t xml:space="preserve"> </w:t>
      </w:r>
      <w:r>
        <w:t xml:space="preserve">= 0,0047). Además, los animales expuestos a sacarosa y a stevia recorrieron mayor distancia que los controles durante la fase de muestreo, aunque las diferencias con el control fueron significativas solo en la s-SLR (ANOVA de dos vías sobre la distancia recorrida por minuto; d-SLR:</w:t>
      </w:r>
      <w:r>
        <w:t xml:space="preserve"> </w:t>
      </w:r>
      <w:r>
        <w:rPr>
          <w:iCs/>
          <w:i/>
        </w:rPr>
        <w:t xml:space="preserve">F</w:t>
      </w:r>
      <w:r>
        <w:rPr>
          <w:vertAlign w:val="subscript"/>
        </w:rPr>
        <w:t xml:space="preserve">Tratamiento</w:t>
      </w:r>
      <w:r>
        <w:t xml:space="preserve">(2, 48) = 5,62;</w:t>
      </w:r>
      <w:r>
        <w:t xml:space="preserve"> </w:t>
      </w:r>
      <w:r>
        <w:rPr>
          <w:iCs/>
          <w:i/>
        </w:rPr>
        <w:t xml:space="preserve">p</w:t>
      </w:r>
      <w:r>
        <w:t xml:space="preserve"> </w:t>
      </w:r>
      <w:r>
        <w:t xml:space="preserve">= 0,006;</w:t>
      </w:r>
      <w:r>
        <w:t xml:space="preserve"> </w:t>
      </w:r>
      <w:r>
        <w:rPr>
          <w:iCs/>
          <w:i/>
        </w:rPr>
        <w:t xml:space="preserve">F</w:t>
      </w:r>
      <w:r>
        <w:rPr>
          <w:vertAlign w:val="subscript"/>
        </w:rPr>
        <w:t xml:space="preserve">Edad</w:t>
      </w:r>
      <w:r>
        <w:t xml:space="preserve">(1, 48) = 3,31;</w:t>
      </w:r>
      <w:r>
        <w:t xml:space="preserve"> </w:t>
      </w:r>
      <w:r>
        <w:rPr>
          <w:iCs/>
          <w:i/>
        </w:rPr>
        <w:t xml:space="preserve">p</w:t>
      </w:r>
      <w:r>
        <w:t xml:space="preserve"> </w:t>
      </w:r>
      <w:r>
        <w:t xml:space="preserve">= 0,075;</w:t>
      </w:r>
      <w:r>
        <w:t xml:space="preserve"> </w:t>
      </w:r>
      <w:r>
        <w:rPr>
          <w:iCs/>
          <w:i/>
        </w:rPr>
        <w:t xml:space="preserve">F</w:t>
      </w:r>
      <w:r>
        <w:rPr>
          <w:vertAlign w:val="subscript"/>
        </w:rPr>
        <w:t xml:space="preserve">Interacción</w:t>
      </w:r>
      <w:r>
        <w:t xml:space="preserve">(2, 48) = 0,02;</w:t>
      </w:r>
      <w:r>
        <w:t xml:space="preserve"> </w:t>
      </w:r>
      <w:r>
        <w:rPr>
          <w:iCs/>
          <w:i/>
        </w:rPr>
        <w:t xml:space="preserve">p</w:t>
      </w:r>
      <w:r>
        <w:t xml:space="preserve"> </w:t>
      </w:r>
      <w:r>
        <w:t xml:space="preserve">= 0,98; prueba</w:t>
      </w:r>
      <w:r>
        <w:t xml:space="preserve"> </w:t>
      </w:r>
      <w:r>
        <w:rPr>
          <w:iCs/>
          <w:i/>
        </w:rPr>
        <w:t xml:space="preserve">post hoc</w:t>
      </w:r>
      <w:r>
        <w:t xml:space="preserve"> </w:t>
      </w:r>
      <w:r>
        <w:t xml:space="preserve">de Tukey, control vs. tratado:</w:t>
      </w:r>
      <w:r>
        <w:t xml:space="preserve"> </w:t>
      </w:r>
      <w:r>
        <w:rPr>
          <w:iCs/>
          <w:i/>
        </w:rPr>
        <w:t xml:space="preserve">p</w:t>
      </w:r>
      <w:r>
        <w:t xml:space="preserve"> </w:t>
      </w:r>
      <w:r>
        <w:t xml:space="preserve">&gt; 0,05; s-SLR:</w:t>
      </w:r>
      <w:r>
        <w:t xml:space="preserve"> </w:t>
      </w:r>
      <w:r>
        <w:rPr>
          <w:iCs/>
          <w:i/>
        </w:rPr>
        <w:t xml:space="preserve">F</w:t>
      </w:r>
      <w:r>
        <w:rPr>
          <w:vertAlign w:val="subscript"/>
        </w:rPr>
        <w:t xml:space="preserve">Tratamiento</w:t>
      </w:r>
      <w:r>
        <w:t xml:space="preserve">(2, 51) = 14,57;</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51) = 7,37;</w:t>
      </w:r>
      <w:r>
        <w:t xml:space="preserve"> </w:t>
      </w:r>
      <w:r>
        <w:rPr>
          <w:iCs/>
          <w:i/>
        </w:rPr>
        <w:t xml:space="preserve">p</w:t>
      </w:r>
      <w:r>
        <w:t xml:space="preserve"> </w:t>
      </w:r>
      <w:r>
        <w:t xml:space="preserve">= 0,009;</w:t>
      </w:r>
      <w:r>
        <w:t xml:space="preserve"> </w:t>
      </w:r>
      <w:r>
        <w:rPr>
          <w:iCs/>
          <w:i/>
        </w:rPr>
        <w:t xml:space="preserve">F</w:t>
      </w:r>
      <w:r>
        <w:rPr>
          <w:vertAlign w:val="subscript"/>
        </w:rPr>
        <w:t xml:space="preserve">Interacción</w:t>
      </w:r>
      <w:r>
        <w:t xml:space="preserve">(2, 51) = 0,16;</w:t>
      </w:r>
      <w:r>
        <w:t xml:space="preserve"> </w:t>
      </w:r>
      <w:r>
        <w:rPr>
          <w:iCs/>
          <w:i/>
        </w:rPr>
        <w:t xml:space="preserve">p</w:t>
      </w:r>
      <w:r>
        <w:t xml:space="preserve"> </w:t>
      </w:r>
      <w:r>
        <w:t xml:space="preserve">= 0,85; control vs. sacarosa: juvenil,</w:t>
      </w:r>
      <w:r>
        <w:t xml:space="preserve"> </w:t>
      </w:r>
      <w:r>
        <w:rPr>
          <w:iCs/>
          <w:i/>
        </w:rPr>
        <w:t xml:space="preserve">p</w:t>
      </w:r>
      <w:r>
        <w:t xml:space="preserve"> </w:t>
      </w:r>
      <w:r>
        <w:t xml:space="preserve">&lt; 0,05; adulto,</w:t>
      </w:r>
      <w:r>
        <w:t xml:space="preserve"> </w:t>
      </w:r>
      <w:r>
        <w:rPr>
          <w:iCs/>
          <w:i/>
        </w:rPr>
        <w:t xml:space="preserve">p</w:t>
      </w:r>
      <w:r>
        <w:t xml:space="preserve"> </w:t>
      </w:r>
      <w:r>
        <w:t xml:space="preserve">&lt; 0,01; control vs. stevia: juvenil,</w:t>
      </w:r>
      <w:r>
        <w:t xml:space="preserve"> </w:t>
      </w:r>
      <w:r>
        <w:rPr>
          <w:iCs/>
          <w:i/>
        </w:rPr>
        <w:t xml:space="preserve">p</w:t>
      </w:r>
      <w:r>
        <w:t xml:space="preserve"> </w:t>
      </w:r>
      <w:r>
        <w:t xml:space="preserve">&gt; 0,05; adulto,</w:t>
      </w:r>
      <w:r>
        <w:t xml:space="preserve"> </w:t>
      </w:r>
      <w:r>
        <w:rPr>
          <w:iCs/>
          <w:i/>
        </w:rPr>
        <w:t xml:space="preserve">p</w:t>
      </w:r>
      <w:r>
        <w:t xml:space="preserve"> </w:t>
      </w:r>
      <w:r>
        <w:t xml:space="preserve">&lt; 0,01; Figura 5.9B). De manera concordante, la exploración total de los objetos (tiempo de exploración activa, registrado manualmente) disminuyó de la fase de muestreo (día 1) a la fase de prueba (día 2) en todos los grupos (entre 44 % y 59 %; Figura 5.10), y en la fase de muestreo fue mayor en los juveniles expuestos a sacarosa (54,5 ± 3,6 s) y en los adultos expuestos a stevia (55,8 ± 5,5 s) que en el resto (30,6 a 41,7 s) (ANOVA de dos vías sobre el logaritmo del tiempo,</w:t>
      </w:r>
      <w:r>
        <w:t xml:space="preserve"> </w:t>
      </w:r>
      <w:r>
        <w:rPr>
          <w:iCs/>
          <w:i/>
        </w:rPr>
        <w:t xml:space="preserve">F</w:t>
      </w:r>
      <w:r>
        <w:rPr>
          <w:vertAlign w:val="subscript"/>
        </w:rPr>
        <w:t xml:space="preserve">Interacción</w:t>
      </w:r>
      <w:r>
        <w:t xml:space="preserve">(2, 111) = 6,72;</w:t>
      </w:r>
      <w:r>
        <w:t xml:space="preserve"> </w:t>
      </w:r>
      <w:r>
        <w:rPr>
          <w:iCs/>
          <w:i/>
        </w:rPr>
        <w:t xml:space="preserve">p</w:t>
      </w:r>
      <w:r>
        <w:t xml:space="preserve"> </w:t>
      </w:r>
      <w:r>
        <w:t xml:space="preserve">= 0,002; d-SLR y s-SLR combinadas).</w:t>
      </w:r>
    </w:p>
    <w:p>
      <w:pPr>
        <w:pStyle w:val="BodyText"/>
        <w:keepNext/>
        <w:jc w:val="center"/>
      </w:pPr>
      <w:r>
        <w:t xml:space="preserve">(A)</w:t>
      </w:r>
      <w:r>
        <w:t xml:space="preserve"> </w:t>
      </w:r>
      <w:r>
        <w:drawing>
          <wp:inline>
            <wp:extent cx="5471999" cy="2231999"/>
            <wp:effectExtent b="0" l="0" r="0" t="0"/>
            <wp:docPr descr="image" title="" id="1" name="Picture"/>
            <a:graphic>
              <a:graphicData uri="http://schemas.openxmlformats.org/drawingml/2006/picture">
                <pic:pic>
                  <pic:nvPicPr>
                    <pic:cNvPr descr="img/Fig5_SLR_dia1_objetos.png" id="0" name="Picture"/>
                    <pic:cNvPicPr>
                      <a:picLocks noChangeArrowheads="1" noChangeAspect="1"/>
                    </pic:cNvPicPr>
                  </pic:nvPicPr>
                  <pic:blipFill>
                    <a:blip r:embed="rId64"/>
                    <a:stretch>
                      <a:fillRect/>
                    </a:stretch>
                  </pic:blipFill>
                  <pic:spPr bwMode="auto">
                    <a:xfrm>
                      <a:off x="0" y="0"/>
                      <a:ext cx="5471999" cy="2231999"/>
                    </a:xfrm>
                    <a:prstGeom prst="rect">
                      <a:avLst/>
                    </a:prstGeom>
                    <a:noFill/>
                    <a:ln w="9525">
                      <a:noFill/>
                      <a:headEnd/>
                      <a:tailEnd/>
                    </a:ln>
                  </pic:spPr>
                </pic:pic>
              </a:graphicData>
            </a:graphic>
          </wp:inline>
        </w:drawing>
      </w:r>
    </w:p>
    <w:p>
      <w:pPr>
        <w:pStyle w:val="BodyText"/>
        <w:keepNext/>
        <w:jc w:val="center"/>
      </w:pPr>
      <w:r>
        <w:t xml:space="preserve">(B)</w:t>
      </w:r>
      <w:r>
        <w:t xml:space="preserve"> </w:t>
      </w:r>
      <w:r>
        <w:drawing>
          <wp:inline>
            <wp:extent cx="4607999" cy="2159999"/>
            <wp:effectExtent b="0" l="0" r="0" t="0"/>
            <wp:docPr descr="image" title="" id="1" name="Picture"/>
            <a:graphic>
              <a:graphicData uri="http://schemas.openxmlformats.org/drawingml/2006/picture">
                <pic:pic>
                  <pic:nvPicPr>
                    <pic:cNvPr descr="img/Fig5_SLR_dia1_distancia.png" id="0" name="Picture"/>
                    <pic:cNvPicPr>
                      <a:picLocks noChangeArrowheads="1" noChangeAspect="1"/>
                    </pic:cNvPicPr>
                  </pic:nvPicPr>
                  <pic:blipFill>
                    <a:blip r:embed="rId65"/>
                    <a:stretch>
                      <a:fillRect/>
                    </a:stretch>
                  </pic:blipFill>
                  <pic:spPr bwMode="auto">
                    <a:xfrm>
                      <a:off x="0" y="0"/>
                      <a:ext cx="4607999" cy="2159999"/>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5.9.</w:t>
      </w:r>
      <w:r>
        <w:rPr>
          <w:sz w:val="19"/>
        </w:rPr>
        <w:t xml:space="preserve"> </w:t>
      </w:r>
      <w:r>
        <w:rPr>
          <w:sz w:val="19"/>
        </w:rPr>
        <w:t xml:space="preserve">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control; rojo: sacarosa; verde: stevia. Los corchetes indican las comparaciones de Tukey significativas con el control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 y configuración (en B,</w:t>
      </w:r>
      <w:r>
        <w:rPr>
          <w:sz w:val="19"/>
        </w:rPr>
        <w:t xml:space="preserve"> </w:t>
      </w:r>
      <w:r>
        <w:rPr>
          <w:iCs/>
          <w:i/>
          <w:sz w:val="19"/>
        </w:rPr>
        <w:t xml:space="preserve">n</w:t>
      </w:r>
      <w:r>
        <w:rPr>
          <w:sz w:val="19"/>
        </w:rPr>
        <w:t xml:space="preserve"> </w:t>
      </w:r>
      <w:r>
        <w:rPr>
          <w:sz w:val="19"/>
        </w:rPr>
        <w:t xml:space="preserve">= 6–10: no hay registro de distancia de una tanda de controles juveniles ni de un control adulto).</w:t>
      </w:r>
    </w:p>
    <w:p>
      <w:pPr>
        <w:pStyle w:val="BodyText"/>
        <w:keepNext/>
        <w:jc w:val="center"/>
      </w:pPr>
      <w:r>
        <w:drawing>
          <wp:inline>
            <wp:extent cx="4895999" cy="2234217"/>
            <wp:effectExtent b="0" l="0" r="0" t="0"/>
            <wp:docPr descr="image" title="" id="1" name="Picture"/>
            <a:graphic>
              <a:graphicData uri="http://schemas.openxmlformats.org/drawingml/2006/picture">
                <pic:pic>
                  <pic:nvPicPr>
                    <pic:cNvPr descr="img/Fig5_exploracion_SLR.png" id="0" name="Picture"/>
                    <pic:cNvPicPr>
                      <a:picLocks noChangeArrowheads="1" noChangeAspect="1"/>
                    </pic:cNvPicPr>
                  </pic:nvPicPr>
                  <pic:blipFill>
                    <a:blip r:embed="rId66"/>
                    <a:stretch>
                      <a:fillRect/>
                    </a:stretch>
                  </pic:blipFill>
                  <pic:spPr bwMode="auto">
                    <a:xfrm>
                      <a:off x="0" y="0"/>
                      <a:ext cx="4895999" cy="2234217"/>
                    </a:xfrm>
                    <a:prstGeom prst="rect">
                      <a:avLst/>
                    </a:prstGeom>
                    <a:noFill/>
                    <a:ln w="9525">
                      <a:noFill/>
                      <a:headEnd/>
                      <a:tailEnd/>
                    </a:ln>
                  </pic:spPr>
                </pic:pic>
              </a:graphicData>
            </a:graphic>
          </wp:inline>
        </w:drawing>
      </w:r>
    </w:p>
    <w:p>
      <w:pPr>
        <w:pStyle w:val="BodyText"/>
        <w:spacing w:after="240"/>
      </w:pPr>
      <w:r>
        <w:rPr>
          <w:bCs/>
          <w:b/>
          <w:sz w:val="19"/>
        </w:rPr>
        <w:t xml:space="preserve">Figura 5.10.</w:t>
      </w:r>
      <w:r>
        <w:rPr>
          <w:sz w:val="19"/>
        </w:rPr>
        <w:t xml:space="preserve"> </w:t>
      </w:r>
      <w:r>
        <w:rPr>
          <w:sz w:val="19"/>
        </w:rPr>
        <w:t xml:space="preserve">Exploración total (tiempo de exploración activa de los objetos, en segundos) en el día 1 (muestreo, barras llenas) y en el día 2 (prueba, barras rayadas) para cada grupo, con exposición juvenil (izquierda) y adulta (derecha). Las barras indican la media ± SEM y los puntos, las sesiones individuales, con las sesiones de d-SLR y s-SLR combinadas. Azul: control; rojo: sacarosa; verde: stevia. Número de sesiones por grupo, igual en ambos días: juvenil, control 19, sacarosa 18 y stevia 20; adulto, 20 en cada grupo.</w:t>
      </w:r>
    </w:p>
    <w:p>
      <w:pPr>
        <w:pStyle w:val="BodyText"/>
      </w:pPr>
      <w:r>
        <w:t xml:space="preserve">En la configuración d-SLR, la discriminación de la posición novedosa dependió del tratamiento (ANOVA de dos vías,</w:t>
      </w:r>
      <w:r>
        <w:t xml:space="preserve"> </w:t>
      </w:r>
      <w:r>
        <w:rPr>
          <w:iCs/>
          <w:i/>
        </w:rPr>
        <w:t xml:space="preserve">F</w:t>
      </w:r>
      <w:r>
        <w:rPr>
          <w:vertAlign w:val="subscript"/>
        </w:rPr>
        <w:t xml:space="preserve">Tratamiento</w:t>
      </w:r>
      <w:r>
        <w:t xml:space="preserve">(2, 52) = 4,58;</w:t>
      </w:r>
      <w:r>
        <w:t xml:space="preserve"> </w:t>
      </w:r>
      <w:r>
        <w:rPr>
          <w:iCs/>
          <w:i/>
        </w:rPr>
        <w:t xml:space="preserve">p</w:t>
      </w:r>
      <w:r>
        <w:t xml:space="preserve"> </w:t>
      </w:r>
      <w:r>
        <w:t xml:space="preserve">= 0,015;</w:t>
      </w:r>
      <w:r>
        <w:t xml:space="preserve"> </w:t>
      </w:r>
      <w:r>
        <w:rPr>
          <w:iCs/>
          <w:i/>
        </w:rPr>
        <w:t xml:space="preserve">F</w:t>
      </w:r>
      <w:r>
        <w:rPr>
          <w:vertAlign w:val="subscript"/>
        </w:rPr>
        <w:t xml:space="preserve">Edad</w:t>
      </w:r>
      <w:r>
        <w:t xml:space="preserve">(1, 52) = 0,22;</w:t>
      </w:r>
      <w:r>
        <w:t xml:space="preserve"> </w:t>
      </w:r>
      <w:r>
        <w:rPr>
          <w:iCs/>
          <w:i/>
        </w:rPr>
        <w:t xml:space="preserve">p</w:t>
      </w:r>
      <w:r>
        <w:t xml:space="preserve"> </w:t>
      </w:r>
      <w:r>
        <w:t xml:space="preserve">= 0,642;</w:t>
      </w:r>
      <w:r>
        <w:t xml:space="preserve"> </w:t>
      </w:r>
      <w:r>
        <w:rPr>
          <w:iCs/>
          <w:i/>
        </w:rPr>
        <w:t xml:space="preserve">F</w:t>
      </w:r>
      <w:r>
        <w:rPr>
          <w:vertAlign w:val="subscript"/>
        </w:rPr>
        <w:t xml:space="preserve">Interacción</w:t>
      </w:r>
      <w:r>
        <w:t xml:space="preserve">(2, 52) = 2,04;</w:t>
      </w:r>
      <w:r>
        <w:t xml:space="preserve"> </w:t>
      </w:r>
      <w:r>
        <w:rPr>
          <w:iCs/>
          <w:i/>
        </w:rPr>
        <w:t xml:space="preserve">p</w:t>
      </w:r>
      <w:r>
        <w:t xml:space="preserve"> </w:t>
      </w:r>
      <w:r>
        <w:t xml:space="preserve">= 0,140). El grupo juvenil expuesto a sacarosa mostró un DI menor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0,009), mientras que en el grupo adulto no hubo diferencias entre tratamientos (</w:t>
      </w:r>
      <w:r>
        <w:rPr>
          <w:iCs/>
          <w:i/>
        </w:rPr>
        <w:t xml:space="preserve">p</w:t>
      </w:r>
      <w:r>
        <w:t xml:space="preserve"> </w:t>
      </w:r>
      <w:r>
        <w:t xml:space="preserve">&gt; 0,50); la comparación entre edades dentro del grupo sacarosa no alcanzó la significancia (</w:t>
      </w:r>
      <w:r>
        <w:rPr>
          <w:iCs/>
          <w:i/>
        </w:rPr>
        <w:t xml:space="preserve">p</w:t>
      </w:r>
      <w:r>
        <w:t xml:space="preserve"> </w:t>
      </w:r>
      <w:r>
        <w:t xml:space="preserve">= 0,067). Los grupos expuestos a stevia no difirieron de sus controles (juvenil:</w:t>
      </w:r>
      <w:r>
        <w:t xml:space="preserve"> </w:t>
      </w:r>
      <w:r>
        <w:rPr>
          <w:iCs/>
          <w:i/>
        </w:rPr>
        <w:t xml:space="preserve">p</w:t>
      </w:r>
      <w:r>
        <w:t xml:space="preserve"> </w:t>
      </w:r>
      <w:r>
        <w:t xml:space="preserve">= 0,870; adulto:</w:t>
      </w:r>
      <w:r>
        <w:t xml:space="preserve"> </w:t>
      </w:r>
      <w:r>
        <w:rPr>
          <w:iCs/>
          <w:i/>
        </w:rPr>
        <w:t xml:space="preserve">p</w:t>
      </w:r>
      <w:r>
        <w:t xml:space="preserve"> </w:t>
      </w:r>
      <w:r>
        <w:t xml:space="preserve">&gt; 0,50), y el grupo juvenil expuesto a stevia mostró un DI mayor que el grupo juvenil expuesto a sacarosa (sacarosa vs. stevia:</w:t>
      </w:r>
      <w:r>
        <w:t xml:space="preserve"> </w:t>
      </w:r>
      <w:r>
        <w:rPr>
          <w:iCs/>
          <w:i/>
        </w:rPr>
        <w:t xml:space="preserve">p</w:t>
      </w:r>
      <w:r>
        <w:t xml:space="preserve"> </w:t>
      </w:r>
      <w:r>
        <w:t xml:space="preserve">= 0,027; Figura 5.11A).</w:t>
      </w:r>
    </w:p>
    <w:p>
      <w:pPr>
        <w:pStyle w:val="BodyText"/>
      </w:pPr>
      <w:r>
        <w:t xml:space="preserve">En la configuración s-SLR, de mayor demanda de separación de patrones, la discriminación también dependió del tratamiento (ANOVA de dos vías,</w:t>
      </w:r>
      <w:r>
        <w:t xml:space="preserve"> </w:t>
      </w:r>
      <w:r>
        <w:rPr>
          <w:iCs/>
          <w:i/>
        </w:rPr>
        <w:t xml:space="preserve">F</w:t>
      </w:r>
      <w:r>
        <w:rPr>
          <w:vertAlign w:val="subscript"/>
        </w:rPr>
        <w:t xml:space="preserve">Tratamiento</w:t>
      </w:r>
      <w:r>
        <w:t xml:space="preserve">(2, 53) = 6,67;</w:t>
      </w:r>
      <w:r>
        <w:t xml:space="preserve"> </w:t>
      </w:r>
      <w:r>
        <w:rPr>
          <w:iCs/>
          <w:i/>
        </w:rPr>
        <w:t xml:space="preserve">p</w:t>
      </w:r>
      <w:r>
        <w:t xml:space="preserve"> </w:t>
      </w:r>
      <w:r>
        <w:t xml:space="preserve">= 0,003;</w:t>
      </w:r>
      <w:r>
        <w:t xml:space="preserve"> </w:t>
      </w:r>
      <w:r>
        <w:rPr>
          <w:iCs/>
          <w:i/>
        </w:rPr>
        <w:t xml:space="preserve">F</w:t>
      </w:r>
      <w:r>
        <w:rPr>
          <w:vertAlign w:val="subscript"/>
        </w:rPr>
        <w:t xml:space="preserve">Edad</w:t>
      </w:r>
      <w:r>
        <w:t xml:space="preserve">(1, 53) = 0,08;</w:t>
      </w:r>
      <w:r>
        <w:t xml:space="preserve"> </w:t>
      </w:r>
      <w:r>
        <w:rPr>
          <w:iCs/>
          <w:i/>
        </w:rPr>
        <w:t xml:space="preserve">p</w:t>
      </w:r>
      <w:r>
        <w:t xml:space="preserve"> </w:t>
      </w:r>
      <w:r>
        <w:t xml:space="preserve">= 0,779;</w:t>
      </w:r>
      <w:r>
        <w:t xml:space="preserve"> </w:t>
      </w:r>
      <w:r>
        <w:rPr>
          <w:iCs/>
          <w:i/>
        </w:rPr>
        <w:t xml:space="preserve">F</w:t>
      </w:r>
      <w:r>
        <w:rPr>
          <w:vertAlign w:val="subscript"/>
        </w:rPr>
        <w:t xml:space="preserve">Interacción</w:t>
      </w:r>
      <w:r>
        <w:t xml:space="preserve">(2, 53) = 0,53;</w:t>
      </w:r>
      <w:r>
        <w:t xml:space="preserve"> </w:t>
      </w:r>
      <w:r>
        <w:rPr>
          <w:iCs/>
          <w:i/>
        </w:rPr>
        <w:t xml:space="preserve">p</w:t>
      </w:r>
      <w:r>
        <w:t xml:space="preserve"> </w:t>
      </w:r>
      <w:r>
        <w:t xml:space="preserve">= 0,591). En esta configuración, los animales expuestos a sacarosa mostraron un DI menor que sus controles en ambas edades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0,041; adulto,</w:t>
      </w:r>
      <w:r>
        <w:t xml:space="preserve"> </w:t>
      </w:r>
      <w:r>
        <w:rPr>
          <w:iCs/>
          <w:i/>
        </w:rPr>
        <w:t xml:space="preserve">p</w:t>
      </w:r>
      <w:r>
        <w:t xml:space="preserve"> </w:t>
      </w:r>
      <w:r>
        <w:t xml:space="preserve">= 0,032; Figura 5.11B), sin diferencias entre edades dentro del tratamiento. Dado que los residuos de este modelo se apartaron de la normalidad (Shapiro-Wilk,</w:t>
      </w:r>
      <w:r>
        <w:t xml:space="preserve"> </w:t>
      </w:r>
      <w:r>
        <w:rPr>
          <w:iCs/>
          <w:i/>
        </w:rPr>
        <w:t xml:space="preserve">p</w:t>
      </w:r>
      <w:r>
        <w:t xml:space="preserve"> </w:t>
      </w:r>
      <w:r>
        <w:t xml:space="preserve">= 0,006), estas diferencias se contrastaron también con la prueba no paramétrica de Mann-Whitney, que las confirmó en ambas edades (control vs. sacarosa: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 0,031); la homogeneidad de varianzas se mantuvo (Brown-Forsythe,</w:t>
      </w:r>
      <w:r>
        <w:t xml:space="preserve"> </w:t>
      </w:r>
      <w:r>
        <w:rPr>
          <w:iCs/>
          <w:i/>
        </w:rPr>
        <w:t xml:space="preserve">p</w:t>
      </w:r>
      <w:r>
        <w:t xml:space="preserve"> </w:t>
      </w:r>
      <w:r>
        <w:t xml:space="preserve">= 0,16), al igual que en la d-SLR (Shapiro-Wilk,</w:t>
      </w:r>
      <w:r>
        <w:t xml:space="preserve"> </w:t>
      </w:r>
      <w:r>
        <w:rPr>
          <w:iCs/>
          <w:i/>
        </w:rPr>
        <w:t xml:space="preserve">p</w:t>
      </w:r>
      <w:r>
        <w:t xml:space="preserve"> </w:t>
      </w:r>
      <w:r>
        <w:t xml:space="preserve">= 0,48; Brown-Forsythe,</w:t>
      </w:r>
      <w:r>
        <w:t xml:space="preserve"> </w:t>
      </w:r>
      <w:r>
        <w:rPr>
          <w:iCs/>
          <w:i/>
        </w:rPr>
        <w:t xml:space="preserve">p</w:t>
      </w:r>
      <w:r>
        <w:t xml:space="preserve"> </w:t>
      </w:r>
      <w:r>
        <w:t xml:space="preserve">= 0,30). Los grupos expuestos a stevia no difirieron de sus controles (control vs. stevia: juvenil,</w:t>
      </w:r>
      <w:r>
        <w:t xml:space="preserve"> </w:t>
      </w:r>
      <w:r>
        <w:rPr>
          <w:iCs/>
          <w:i/>
        </w:rPr>
        <w:t xml:space="preserve">p</w:t>
      </w:r>
      <w:r>
        <w:t xml:space="preserve"> </w:t>
      </w:r>
      <w:r>
        <w:t xml:space="preserve">= 0,971; adulto,</w:t>
      </w:r>
      <w:r>
        <w:t xml:space="preserve"> </w:t>
      </w:r>
      <w:r>
        <w:rPr>
          <w:iCs/>
          <w:i/>
        </w:rPr>
        <w:t xml:space="preserve">p</w:t>
      </w:r>
      <w:r>
        <w:t xml:space="preserve"> </w:t>
      </w:r>
      <w:r>
        <w:t xml:space="preserve">= 0,293), y la diferencia entre el grupo juvenil expuesto a stevia y el expuesto a sacarosa no alcanzó la significancia (</w:t>
      </w:r>
      <w:r>
        <w:rPr>
          <w:iCs/>
          <w:i/>
        </w:rPr>
        <w:t xml:space="preserve">p</w:t>
      </w:r>
      <w:r>
        <w:t xml:space="preserve"> </w:t>
      </w:r>
      <w:r>
        <w:t xml:space="preserve">= 0,069).</w:t>
      </w:r>
    </w:p>
    <w:p>
      <w:pPr>
        <w:pStyle w:val="BodyText"/>
        <w:keepNext/>
        <w:jc w:val="center"/>
      </w:pPr>
      <w:r>
        <w:t xml:space="preserve">(A)</w:t>
      </w:r>
      <w:r>
        <w:t xml:space="preserve"> </w:t>
      </w:r>
      <w:r>
        <w:drawing>
          <wp:inline>
            <wp:extent cx="2764799" cy="1932857"/>
            <wp:effectExtent b="0" l="0" r="0" t="0"/>
            <wp:docPr descr="image" title="" id="1" name="Picture"/>
            <a:graphic>
              <a:graphicData uri="http://schemas.openxmlformats.org/drawingml/2006/picture">
                <pic:pic>
                  <pic:nvPicPr>
                    <pic:cNvPr descr="img/Fig5_DI_SLR_d_es.png" id="0" name="Picture"/>
                    <pic:cNvPicPr>
                      <a:picLocks noChangeArrowheads="1" noChangeAspect="1"/>
                    </pic:cNvPicPr>
                  </pic:nvPicPr>
                  <pic:blipFill>
                    <a:blip r:embed="rId67"/>
                    <a:stretch>
                      <a:fillRect/>
                    </a:stretch>
                  </pic:blipFill>
                  <pic:spPr bwMode="auto">
                    <a:xfrm>
                      <a:off x="0" y="0"/>
                      <a:ext cx="2764799" cy="1932857"/>
                    </a:xfrm>
                    <a:prstGeom prst="rect">
                      <a:avLst/>
                    </a:prstGeom>
                    <a:noFill/>
                    <a:ln w="9525">
                      <a:noFill/>
                      <a:headEnd/>
                      <a:tailEnd/>
                    </a:ln>
                  </pic:spPr>
                </pic:pic>
              </a:graphicData>
            </a:graphic>
          </wp:inline>
        </w:drawing>
      </w:r>
      <w:r>
        <w:t xml:space="preserve"> </w:t>
      </w:r>
      <w:r>
        <w:t xml:space="preserve">(B)</w:t>
      </w:r>
      <w:r>
        <w:t xml:space="preserve"> </w:t>
      </w:r>
      <w:r>
        <w:drawing>
          <wp:inline>
            <wp:extent cx="2764799" cy="1760839"/>
            <wp:effectExtent b="0" l="0" r="0" t="0"/>
            <wp:docPr descr="image" title="" id="1" name="Picture"/>
            <a:graphic>
              <a:graphicData uri="http://schemas.openxmlformats.org/drawingml/2006/picture">
                <pic:pic>
                  <pic:nvPicPr>
                    <pic:cNvPr descr="img/Fig5_DI_SLR_s_es.png" id="0" name="Picture"/>
                    <pic:cNvPicPr>
                      <a:picLocks noChangeArrowheads="1" noChangeAspect="1"/>
                    </pic:cNvPicPr>
                  </pic:nvPicPr>
                  <pic:blipFill>
                    <a:blip r:embed="rId68"/>
                    <a:stretch>
                      <a:fillRect/>
                    </a:stretch>
                  </pic:blipFill>
                  <pic:spPr bwMode="auto">
                    <a:xfrm>
                      <a:off x="0" y="0"/>
                      <a:ext cx="2764799" cy="1760839"/>
                    </a:xfrm>
                    <a:prstGeom prst="rect">
                      <a:avLst/>
                    </a:prstGeom>
                    <a:noFill/>
                    <a:ln w="9525">
                      <a:noFill/>
                      <a:headEnd/>
                      <a:tailEnd/>
                    </a:ln>
                  </pic:spPr>
                </pic:pic>
              </a:graphicData>
            </a:graphic>
          </wp:inline>
        </w:drawing>
      </w:r>
    </w:p>
    <w:p>
      <w:pPr>
        <w:pStyle w:val="BodyText"/>
        <w:spacing w:after="240"/>
      </w:pPr>
      <w:r>
        <w:rPr>
          <w:bCs/>
          <w:b/>
          <w:sz w:val="19"/>
        </w:rPr>
        <w:t xml:space="preserve">Figura 5.11.</w:t>
      </w:r>
      <w:r>
        <w:rPr>
          <w:sz w:val="19"/>
        </w:rPr>
        <w:t xml:space="preserve"> </w:t>
      </w:r>
      <w:r>
        <w:rPr>
          <w:sz w:val="19"/>
        </w:rPr>
        <w:t xml:space="preserve">Índice de discriminación (DI)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w:t>
      </w:r>
    </w:p>
    <w:p>
      <w:pPr>
        <w:pStyle w:val="BodyText"/>
        <w:keepNext/>
        <w:jc w:val="center"/>
      </w:pPr>
      <w:r>
        <w:t xml:space="preserve">(A)</w:t>
      </w:r>
      <w:r>
        <w:t xml:space="preserve"> </w:t>
      </w:r>
      <w:r>
        <w:drawing>
          <wp:inline>
            <wp:extent cx="2764799" cy="1846211"/>
            <wp:effectExtent b="0" l="0" r="0" t="0"/>
            <wp:docPr descr="image" title="" id="1" name="Picture"/>
            <a:graphic>
              <a:graphicData uri="http://schemas.openxmlformats.org/drawingml/2006/picture">
                <pic:pic>
                  <pic:nvPicPr>
                    <pic:cNvPr descr="img/Fig5_tasa_SLR_d_es.png" id="0" name="Picture"/>
                    <pic:cNvPicPr>
                      <a:picLocks noChangeArrowheads="1" noChangeAspect="1"/>
                    </pic:cNvPicPr>
                  </pic:nvPicPr>
                  <pic:blipFill>
                    <a:blip r:embed="rId69"/>
                    <a:stretch>
                      <a:fillRect/>
                    </a:stretch>
                  </pic:blipFill>
                  <pic:spPr bwMode="auto">
                    <a:xfrm>
                      <a:off x="0" y="0"/>
                      <a:ext cx="2764799" cy="1846211"/>
                    </a:xfrm>
                    <a:prstGeom prst="rect">
                      <a:avLst/>
                    </a:prstGeom>
                    <a:noFill/>
                    <a:ln w="9525">
                      <a:noFill/>
                      <a:headEnd/>
                      <a:tailEnd/>
                    </a:ln>
                  </pic:spPr>
                </pic:pic>
              </a:graphicData>
            </a:graphic>
          </wp:inline>
        </w:drawing>
      </w:r>
      <w:r>
        <w:t xml:space="preserve"> </w:t>
      </w:r>
      <w:r>
        <w:t xml:space="preserve">(B)</w:t>
      </w:r>
      <w:r>
        <w:t xml:space="preserve"> </w:t>
      </w:r>
      <w:r>
        <w:drawing>
          <wp:inline>
            <wp:extent cx="2764799" cy="1621894"/>
            <wp:effectExtent b="0" l="0" r="0" t="0"/>
            <wp:docPr descr="image" title="" id="1" name="Picture"/>
            <a:graphic>
              <a:graphicData uri="http://schemas.openxmlformats.org/drawingml/2006/picture">
                <pic:pic>
                  <pic:nvPicPr>
                    <pic:cNvPr descr="img/Fig5_tasa_SLR_s_es.png" id="0" name="Picture"/>
                    <pic:cNvPicPr>
                      <a:picLocks noChangeArrowheads="1" noChangeAspect="1"/>
                    </pic:cNvPicPr>
                  </pic:nvPicPr>
                  <pic:blipFill>
                    <a:blip r:embed="rId70"/>
                    <a:stretch>
                      <a:fillRect/>
                    </a:stretch>
                  </pic:blipFill>
                  <pic:spPr bwMode="auto">
                    <a:xfrm>
                      <a:off x="0" y="0"/>
                      <a:ext cx="2764799" cy="1621894"/>
                    </a:xfrm>
                    <a:prstGeom prst="rect">
                      <a:avLst/>
                    </a:prstGeom>
                    <a:noFill/>
                    <a:ln w="9525">
                      <a:noFill/>
                      <a:headEnd/>
                      <a:tailEnd/>
                    </a:ln>
                  </pic:spPr>
                </pic:pic>
              </a:graphicData>
            </a:graphic>
          </wp:inline>
        </w:drawing>
      </w:r>
    </w:p>
    <w:p>
      <w:pPr>
        <w:pStyle w:val="BodyText"/>
        <w:spacing w:after="240"/>
      </w:pPr>
      <w:r>
        <w:rPr>
          <w:bCs/>
          <w:b/>
          <w:sz w:val="19"/>
        </w:rPr>
        <w:t xml:space="preserve">Figura 5.12.</w:t>
      </w:r>
      <w:r>
        <w:rPr>
          <w:sz w:val="19"/>
        </w:rPr>
        <w:t xml:space="preserve"> </w:t>
      </w:r>
      <w:r>
        <w:rPr>
          <w:sz w:val="19"/>
        </w:rPr>
        <w:t xml:space="preserve">Tasa de exploración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 estadísticamente idénticos a los del DI (Figura 5.11) por tratarse de una transformación lineal.</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5.13 resume las diferencias entre grupos junto con sus intervalos de confianza.</w:t>
      </w:r>
    </w:p>
    <w:p>
      <w:pPr>
        <w:pStyle w:val="BodyText"/>
        <w:keepNext/>
        <w:jc w:val="center"/>
      </w:pPr>
      <w:r>
        <w:drawing>
          <wp:inline>
            <wp:extent cx="5753100" cy="2899166"/>
            <wp:effectExtent b="0" l="0" r="0" t="0"/>
            <wp:docPr descr="image" title="" id="1" name="Picture"/>
            <a:graphic>
              <a:graphicData uri="http://schemas.openxmlformats.org/drawingml/2006/picture">
                <pic:pic>
                  <pic:nvPicPr>
                    <pic:cNvPr descr="img/Fig5_estimacion_Tukey_SLR.png" id="0" name="Picture"/>
                    <pic:cNvPicPr>
                      <a:picLocks noChangeArrowheads="1" noChangeAspect="1"/>
                    </pic:cNvPicPr>
                  </pic:nvPicPr>
                  <pic:blipFill>
                    <a:blip r:embed="rId71"/>
                    <a:stretch>
                      <a:fillRect/>
                    </a:stretch>
                  </pic:blipFill>
                  <pic:spPr bwMode="auto">
                    <a:xfrm>
                      <a:off x="0" y="0"/>
                      <a:ext cx="5753100" cy="2899166"/>
                    </a:xfrm>
                    <a:prstGeom prst="rect">
                      <a:avLst/>
                    </a:prstGeom>
                    <a:noFill/>
                    <a:ln w="9525">
                      <a:noFill/>
                      <a:headEnd/>
                      <a:tailEnd/>
                    </a:ln>
                  </pic:spPr>
                </pic:pic>
              </a:graphicData>
            </a:graphic>
          </wp:inline>
        </w:drawing>
      </w:r>
    </w:p>
    <w:p>
      <w:pPr>
        <w:pStyle w:val="BodyText"/>
        <w:spacing w:after="240"/>
      </w:pPr>
      <w:r>
        <w:rPr>
          <w:bCs/>
          <w:b/>
          <w:sz w:val="19"/>
        </w:rPr>
        <w:t xml:space="preserve">Figura 5.13.</w:t>
      </w:r>
      <w:r>
        <w:rPr>
          <w:sz w:val="19"/>
        </w:rPr>
        <w:t xml:space="preserve"> </w:t>
      </w:r>
      <w:r>
        <w:rPr>
          <w:sz w:val="19"/>
        </w:rPr>
        <w:t xml:space="preserve">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Cs/>
          <w:i/>
          <w:sz w:val="19"/>
        </w:rPr>
        <w:t xml:space="preserve">p</w:t>
      </w:r>
      <w:r>
        <w:rPr>
          <w:sz w:val="19"/>
        </w:rPr>
        <w:t xml:space="preserve"> </w:t>
      </w:r>
      <w:r>
        <w:rPr>
          <w:sz w:val="19"/>
        </w:rPr>
        <w:t xml:space="preserve">&lt; 0,05). La línea punteada indica ausencia de diferencia.</w:t>
      </w:r>
    </w:p>
    <w:p>
      <w:pPr>
        <w:pStyle w:val="BodyText"/>
        <w:keepNext/>
      </w:pPr>
      <w:r>
        <w:rPr>
          <w:bCs/>
          <w:b/>
          <w:sz w:val="19"/>
        </w:rPr>
        <w:t xml:space="preserve">Tabla 5.3.</w:t>
      </w:r>
      <w:r>
        <w:rPr>
          <w:sz w:val="19"/>
        </w:rPr>
        <w:t xml:space="preserve"> </w:t>
      </w:r>
      <w:r>
        <w:rPr>
          <w:sz w:val="19"/>
        </w:rPr>
        <w:t xml:space="preserve">Resumen del ANOVA de dos vías (edad de exposición × tratamiento) para el DI en cada configuración de la prueba SLR. η</w:t>
      </w:r>
      <w:r>
        <w:rPr>
          <w:sz w:val="19"/>
          <w:vertAlign w:val="superscript"/>
        </w:rPr>
        <w:t xml:space="preserve">2</w:t>
      </w:r>
      <w:r>
        <w:rPr>
          <w:sz w:val="19"/>
          <w:vertAlign w:val="subscript"/>
        </w:rPr>
        <w:t xml:space="preserve">p</w:t>
      </w:r>
      <w:r>
        <w:rPr>
          <w:sz w:val="19"/>
        </w:rPr>
        <w:t xml:space="preserve">: eta cuadrado parcial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2000"/>
        <w:gridCol w:w="1178"/>
        <w:gridCol w:w="1178"/>
        <w:gridCol w:w="1178"/>
        <w:gridCol w:w="1178"/>
        <w:gridCol w:w="1178"/>
        <w:gridCol w:w="1178"/>
      </w:tblGrid>
      <w:tr>
        <w:trPr>
          <w:cantSplit/>
        </w:trPr>
        <w:tc>
          <w:tcPr>
            <w:tcW w:w="2000" w:type="dxa"/>
          </w:tcPr>
          <w:p>
            <w:pPr>
              <w:pStyle w:val="Compact"/>
              <w:keepNext/>
              <w:spacing w:before="20" w:after="20"/>
              <w:jc w:val="center"/>
            </w:pPr>
            <w:r>
              <w:rPr>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d-SLR</w:t>
            </w:r>
            <w:r>
              <w:rPr>
                <w:bCs/>
                <w:b/>
                <w:sz w:val="16"/>
              </w:rPr>
              <w:t xml:space="preserve"/>
            </w:r>
            <w:r>
              <w:rPr>
                <w:iCs/>
                <w:i/>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s-SLR</w:t>
            </w:r>
            <w:r>
              <w:rPr>
                <w:bCs/>
                <w:b/>
                <w:sz w:val="16"/>
              </w:rPr>
              <w:t xml:space="preserve"/>
            </w:r>
            <w:r>
              <w:rPr>
                <w:iCs/>
                <w:i/>
                <w:bCs/>
                <w:b/>
                <w:sz w:val="16"/>
              </w:rPr>
              <w:t xml:space="preserve"/>
            </w:r>
          </w:p>
        </w:tc>
      </w:tr>
      <w:tr>
        <w:trPr>
          <w:cantSplit/>
        </w:trPr>
        <w:tc>
          <w:tcPr>
            <w:tcW w:w="2000" w:type="dxa"/>
            <w:tcBorders>
              <w:bottom w:val="single" w:sz="8" w:space="0" w:color="000000"/>
            </w:tcBorders>
          </w:tcPr>
          <w:p>
            <w:pPr>
              <w:pStyle w:val="Compact"/>
              <w:keepNext/>
              <w:spacing w:before="20" w:after="20"/>
              <w:jc w:val="left"/>
            </w:pPr>
            <w:r>
              <w:rPr>
                <w:bCs/>
                <w:b/>
                <w:sz w:val="16"/>
              </w:rPr>
              <w:t xml:space="preserve">Fuente de variación</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2000" w:type="dxa"/>
          </w:tcPr>
          <w:p>
            <w:pPr>
              <w:pStyle w:val="Compact"/>
              <w:keepNext/>
              <w:spacing w:before="20" w:after="20"/>
              <w:jc w:val="left"/>
            </w:pPr>
            <w:r>
              <w:rPr>
                <w:sz w:val="16"/>
              </w:rPr>
              <w:t xml:space="preserve">Tratamiento</w:t>
            </w:r>
          </w:p>
        </w:tc>
        <w:tc>
          <w:tcPr>
            <w:tcW w:w="1178" w:type="dxa"/>
          </w:tcPr>
          <w:p>
            <w:pPr>
              <w:pStyle w:val="Compact"/>
              <w:keepNext/>
              <w:spacing w:before="20" w:after="20"/>
              <w:jc w:val="center"/>
            </w:pPr>
            <w:r>
              <w:rPr>
                <w:sz w:val="16"/>
              </w:rPr>
              <w:t xml:space="preserve">4,58 (2, 52)</w:t>
            </w:r>
          </w:p>
        </w:tc>
        <w:tc>
          <w:tcPr>
            <w:tcW w:w="1178" w:type="dxa"/>
          </w:tcPr>
          <w:p>
            <w:pPr>
              <w:pStyle w:val="Compact"/>
              <w:keepNext/>
              <w:spacing w:before="20" w:after="20"/>
              <w:jc w:val="center"/>
            </w:pPr>
            <w:r>
              <w:rPr>
                <w:bCs/>
                <w:b/>
                <w:sz w:val="16"/>
              </w:rPr>
              <w:t xml:space="preserve">0,015</w:t>
            </w:r>
          </w:p>
        </w:tc>
        <w:tc>
          <w:tcPr>
            <w:tcW w:w="1178" w:type="dxa"/>
          </w:tcPr>
          <w:p>
            <w:pPr>
              <w:pStyle w:val="Compact"/>
              <w:keepNext/>
              <w:spacing w:before="20" w:after="20"/>
              <w:jc w:val="center"/>
            </w:pPr>
            <w:r>
              <w:rPr>
                <w:sz w:val="16"/>
              </w:rPr>
              <w:t xml:space="preserve">0,150</w:t>
            </w:r>
          </w:p>
        </w:tc>
        <w:tc>
          <w:tcPr>
            <w:tcW w:w="1178" w:type="dxa"/>
          </w:tcPr>
          <w:p>
            <w:pPr>
              <w:pStyle w:val="Compact"/>
              <w:keepNext/>
              <w:spacing w:before="20" w:after="20"/>
              <w:jc w:val="center"/>
            </w:pPr>
            <w:r>
              <w:rPr>
                <w:sz w:val="16"/>
              </w:rPr>
              <w:t xml:space="preserve">6,67 (2, 53)</w:t>
            </w:r>
          </w:p>
        </w:tc>
        <w:tc>
          <w:tcPr>
            <w:tcW w:w="1178" w:type="dxa"/>
          </w:tcPr>
          <w:p>
            <w:pPr>
              <w:pStyle w:val="Compact"/>
              <w:keepNext/>
              <w:spacing w:before="20" w:after="20"/>
              <w:jc w:val="center"/>
            </w:pPr>
            <w:r>
              <w:rPr>
                <w:bCs/>
                <w:b/>
                <w:sz w:val="16"/>
              </w:rPr>
              <w:t xml:space="preserve">0,003</w:t>
            </w:r>
          </w:p>
        </w:tc>
        <w:tc>
          <w:tcPr>
            <w:tcW w:w="1178" w:type="dxa"/>
          </w:tcPr>
          <w:p>
            <w:pPr>
              <w:pStyle w:val="Compact"/>
              <w:keepNext/>
              <w:spacing w:before="20" w:after="20"/>
              <w:jc w:val="center"/>
            </w:pPr>
            <w:r>
              <w:rPr>
                <w:sz w:val="16"/>
              </w:rPr>
              <w:t xml:space="preserve">0,201</w:t>
            </w:r>
          </w:p>
        </w:tc>
      </w:tr>
      <w:tr>
        <w:trPr>
          <w:cantSplit/>
        </w:trPr>
        <w:tc>
          <w:tcPr>
            <w:tcW w:w="2000" w:type="dxa"/>
          </w:tcPr>
          <w:p>
            <w:pPr>
              <w:pStyle w:val="Compact"/>
              <w:keepNext/>
              <w:spacing w:before="20" w:after="20"/>
              <w:jc w:val="left"/>
            </w:pPr>
            <w:r>
              <w:rPr>
                <w:sz w:val="16"/>
              </w:rPr>
              <w:t xml:space="preserve">Edad</w:t>
            </w:r>
          </w:p>
        </w:tc>
        <w:tc>
          <w:tcPr>
            <w:tcW w:w="1178" w:type="dxa"/>
          </w:tcPr>
          <w:p>
            <w:pPr>
              <w:pStyle w:val="Compact"/>
              <w:keepNext/>
              <w:spacing w:before="20" w:after="20"/>
              <w:jc w:val="center"/>
            </w:pPr>
            <w:r>
              <w:rPr>
                <w:sz w:val="16"/>
              </w:rPr>
              <w:t xml:space="preserve">0,22 (1, 52)</w:t>
            </w:r>
          </w:p>
        </w:tc>
        <w:tc>
          <w:tcPr>
            <w:tcW w:w="1178" w:type="dxa"/>
          </w:tcPr>
          <w:p>
            <w:pPr>
              <w:pStyle w:val="Compact"/>
              <w:keepNext/>
              <w:spacing w:before="20" w:after="20"/>
              <w:jc w:val="center"/>
            </w:pPr>
            <w:r>
              <w:rPr>
                <w:sz w:val="16"/>
              </w:rPr>
              <w:t xml:space="preserve">0,642</w:t>
            </w:r>
          </w:p>
        </w:tc>
        <w:tc>
          <w:tcPr>
            <w:tcW w:w="1178" w:type="dxa"/>
          </w:tcPr>
          <w:p>
            <w:pPr>
              <w:pStyle w:val="Compact"/>
              <w:keepNext/>
              <w:spacing w:before="20" w:after="20"/>
              <w:jc w:val="center"/>
            </w:pPr>
            <w:r>
              <w:rPr>
                <w:sz w:val="16"/>
              </w:rPr>
              <w:t xml:space="preserve">0,004</w:t>
            </w:r>
          </w:p>
        </w:tc>
        <w:tc>
          <w:tcPr>
            <w:tcW w:w="1178" w:type="dxa"/>
          </w:tcPr>
          <w:p>
            <w:pPr>
              <w:pStyle w:val="Compact"/>
              <w:keepNext/>
              <w:spacing w:before="20" w:after="20"/>
              <w:jc w:val="center"/>
            </w:pPr>
            <w:r>
              <w:rPr>
                <w:sz w:val="16"/>
              </w:rPr>
              <w:t xml:space="preserve">0,08 (1, 53)</w:t>
            </w:r>
          </w:p>
        </w:tc>
        <w:tc>
          <w:tcPr>
            <w:tcW w:w="1178" w:type="dxa"/>
          </w:tcPr>
          <w:p>
            <w:pPr>
              <w:pStyle w:val="Compact"/>
              <w:keepNext/>
              <w:spacing w:before="20" w:after="20"/>
              <w:jc w:val="center"/>
            </w:pPr>
            <w:r>
              <w:rPr>
                <w:sz w:val="16"/>
              </w:rPr>
              <w:t xml:space="preserve">0,779</w:t>
            </w:r>
          </w:p>
        </w:tc>
        <w:tc>
          <w:tcPr>
            <w:tcW w:w="1178" w:type="dxa"/>
          </w:tcPr>
          <w:p>
            <w:pPr>
              <w:pStyle w:val="Compact"/>
              <w:keepNext/>
              <w:spacing w:before="20" w:after="20"/>
              <w:jc w:val="center"/>
            </w:pPr>
            <w:r>
              <w:rPr>
                <w:sz w:val="16"/>
              </w:rPr>
              <w:t xml:space="preserve">0,001</w:t>
            </w:r>
          </w:p>
        </w:tc>
      </w:tr>
      <w:tr>
        <w:trPr>
          <w:cantSplit/>
        </w:trPr>
        <w:tc>
          <w:tcPr>
            <w:tcW w:w="2000" w:type="dxa"/>
          </w:tcPr>
          <w:p>
            <w:pPr>
              <w:pStyle w:val="Compact"/>
              <w:spacing w:before="20" w:after="20"/>
              <w:jc w:val="left"/>
            </w:pPr>
            <w:r>
              <w:rPr>
                <w:sz w:val="16"/>
              </w:rPr>
              <w:t xml:space="preserve">Interacción</w:t>
            </w:r>
          </w:p>
        </w:tc>
        <w:tc>
          <w:tcPr>
            <w:tcW w:w="1178" w:type="dxa"/>
          </w:tcPr>
          <w:p>
            <w:pPr>
              <w:pStyle w:val="Compact"/>
              <w:spacing w:before="20" w:after="20"/>
              <w:jc w:val="center"/>
            </w:pPr>
            <w:r>
              <w:rPr>
                <w:sz w:val="16"/>
              </w:rPr>
              <w:t xml:space="preserve">2,04 (2, 52)</w:t>
            </w:r>
          </w:p>
        </w:tc>
        <w:tc>
          <w:tcPr>
            <w:tcW w:w="1178" w:type="dxa"/>
          </w:tcPr>
          <w:p>
            <w:pPr>
              <w:pStyle w:val="Compact"/>
              <w:spacing w:before="20" w:after="20"/>
              <w:jc w:val="center"/>
            </w:pPr>
            <w:r>
              <w:rPr>
                <w:sz w:val="16"/>
              </w:rPr>
              <w:t xml:space="preserve">0,140</w:t>
            </w:r>
          </w:p>
        </w:tc>
        <w:tc>
          <w:tcPr>
            <w:tcW w:w="1178" w:type="dxa"/>
          </w:tcPr>
          <w:p>
            <w:pPr>
              <w:pStyle w:val="Compact"/>
              <w:spacing w:before="20" w:after="20"/>
              <w:jc w:val="center"/>
            </w:pPr>
            <w:r>
              <w:rPr>
                <w:sz w:val="16"/>
              </w:rPr>
              <w:t xml:space="preserve">0,073</w:t>
            </w:r>
          </w:p>
        </w:tc>
        <w:tc>
          <w:tcPr>
            <w:tcW w:w="1178" w:type="dxa"/>
          </w:tcPr>
          <w:p>
            <w:pPr>
              <w:pStyle w:val="Compact"/>
              <w:spacing w:before="20" w:after="20"/>
              <w:jc w:val="center"/>
            </w:pPr>
            <w:r>
              <w:rPr>
                <w:sz w:val="16"/>
              </w:rPr>
              <w:t xml:space="preserve">0,53 (2, 53)</w:t>
            </w:r>
          </w:p>
        </w:tc>
        <w:tc>
          <w:tcPr>
            <w:tcW w:w="1178" w:type="dxa"/>
          </w:tcPr>
          <w:p>
            <w:pPr>
              <w:pStyle w:val="Compact"/>
              <w:spacing w:before="20" w:after="20"/>
              <w:jc w:val="center"/>
            </w:pPr>
            <w:r>
              <w:rPr>
                <w:sz w:val="16"/>
              </w:rPr>
              <w:t xml:space="preserve">0,591</w:t>
            </w:r>
          </w:p>
        </w:tc>
        <w:tc>
          <w:tcPr>
            <w:tcW w:w="1178" w:type="dxa"/>
          </w:tcPr>
          <w:p>
            <w:pPr>
              <w:pStyle w:val="Compact"/>
              <w:spacing w:before="20" w:after="20"/>
              <w:jc w:val="center"/>
            </w:pPr>
            <w:r>
              <w:rPr>
                <w:sz w:val="16"/>
              </w:rPr>
              <w:t xml:space="preserve">0,020</w:t>
            </w:r>
          </w:p>
        </w:tc>
      </w:tr>
    </w:tbl>
    <w:bookmarkEnd w:id="72"/>
    <w:bookmarkStart w:id="78" w:name="neurogénesis-hipocampal-pcna-y-dcx"/>
    <w:p>
      <w:pPr>
        <w:pStyle w:val="Heading2"/>
      </w:pPr>
      <w:r>
        <w:t xml:space="preserve">5.5 Neurogénesis hipocampal (PCNA y DCX)</w:t>
      </w:r>
    </w:p>
    <w:p>
      <w:pPr>
        <w:pStyle w:val="FirstParagraph"/>
      </w:pPr>
      <w:r>
        <w:t xml:space="preserve">La proliferación celular y la neurogénesis en el giro dentado se evaluaron mediante la inmunodetección de PCNA, marcador de células en proliferación, y de DCX, marcador de neuroblastos y neuronas inmaduras, en los animales de los grupos control y sacarosa (Figuras 5.14 y 5.15).</w:t>
      </w:r>
    </w:p>
    <w:p>
      <w:pPr>
        <w:pStyle w:val="BodyText"/>
      </w:pPr>
      <w:r>
        <w:t xml:space="preserve">Los animales expuestos a sacarosa presentaron menos células PCNA</w:t>
      </w:r>
      <w:r>
        <w:rPr>
          <w:vertAlign w:val="superscript"/>
        </w:rPr>
        <w:t xml:space="preserve">+</w:t>
      </w:r>
      <w:r>
        <w:t xml:space="preserve"> </w:t>
      </w:r>
      <w:r>
        <w:t xml:space="preserve">que los controles (ANOVA de dos vías,</w:t>
      </w:r>
      <w:r>
        <w:t xml:space="preserve"> </w:t>
      </w:r>
      <w:r>
        <w:rPr>
          <w:iCs/>
          <w:i/>
        </w:rPr>
        <w:t xml:space="preserve">F</w:t>
      </w:r>
      <w:r>
        <w:rPr>
          <w:vertAlign w:val="subscript"/>
        </w:rPr>
        <w:t xml:space="preserve">Tratamiento</w:t>
      </w:r>
      <w:r>
        <w:t xml:space="preserve">(1, 76) = 14,58;</w:t>
      </w:r>
      <w:r>
        <w:t xml:space="preserve"> </w:t>
      </w:r>
      <w:r>
        <w:rPr>
          <w:iCs/>
          <w:i/>
        </w:rPr>
        <w:t xml:space="preserve">p</w:t>
      </w:r>
      <w:r>
        <w:t xml:space="preserve"> </w:t>
      </w:r>
      <w:r>
        <w:t xml:space="preserve">= 0,0003; Figura 5.14A). Se observó además un efecto de la edad, con valores menores en los adultos (</w:t>
      </w:r>
      <w:r>
        <w:rPr>
          <w:iCs/>
          <w:i/>
        </w:rPr>
        <w:t xml:space="preserve">F</w:t>
      </w:r>
      <w:r>
        <w:rPr>
          <w:vertAlign w:val="subscript"/>
        </w:rPr>
        <w:t xml:space="preserve">Edad</w:t>
      </w:r>
      <w:r>
        <w:t xml:space="preserve">(1, 76) = 4,79;</w:t>
      </w:r>
      <w:r>
        <w:t xml:space="preserve"> </w:t>
      </w:r>
      <w:r>
        <w:rPr>
          <w:iCs/>
          <w:i/>
        </w:rPr>
        <w:t xml:space="preserve">p</w:t>
      </w:r>
      <w:r>
        <w:t xml:space="preserve"> </w:t>
      </w:r>
      <w:r>
        <w:t xml:space="preserve">= 0,032), sin interacción entre ambos factores (</w:t>
      </w:r>
      <w:r>
        <w:rPr>
          <w:iCs/>
          <w:i/>
        </w:rPr>
        <w:t xml:space="preserve">F</w:t>
      </w:r>
      <w:r>
        <w:rPr>
          <w:vertAlign w:val="subscript"/>
        </w:rPr>
        <w:t xml:space="preserve">Interacción</w:t>
      </w:r>
      <w:r>
        <w:t xml:space="preserve">(1, 76) = 0,15;</w:t>
      </w:r>
      <w:r>
        <w:t xml:space="preserve"> </w:t>
      </w:r>
      <w:r>
        <w:rPr>
          <w:iCs/>
          <w:i/>
        </w:rPr>
        <w:t xml:space="preserve">p</w:t>
      </w:r>
      <w:r>
        <w:t xml:space="preserve"> </w:t>
      </w:r>
      <w:r>
        <w:t xml:space="preserve">= 0,70). La reducción fue significativa en el grupo adulto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0,020), pero no en el juvenil (</w:t>
      </w:r>
      <w:r>
        <w:rPr>
          <w:iCs/>
          <w:i/>
        </w:rPr>
        <w:t xml:space="preserve">p</w:t>
      </w:r>
      <w:r>
        <w:t xml:space="preserve"> </w:t>
      </w:r>
      <w:r>
        <w:t xml:space="preserve">= 0,081). Dentro de cada tratamiento, los grupos juvenil y adulto no difirieron entre sí (control:</w:t>
      </w:r>
      <w:r>
        <w:t xml:space="preserve"> </w:t>
      </w:r>
      <w:r>
        <w:rPr>
          <w:iCs/>
          <w:i/>
        </w:rPr>
        <w:t xml:space="preserve">p</w:t>
      </w:r>
      <w:r>
        <w:t xml:space="preserve"> </w:t>
      </w:r>
      <w:r>
        <w:t xml:space="preserve">= 0,58; sacarosa:</w:t>
      </w:r>
      <w:r>
        <w:t xml:space="preserve"> </w:t>
      </w:r>
      <w:r>
        <w:rPr>
          <w:iCs/>
          <w:i/>
        </w:rPr>
        <w:t xml:space="preserve">p</w:t>
      </w:r>
      <w:r>
        <w:t xml:space="preserve"> </w:t>
      </w:r>
      <w:r>
        <w:t xml:space="preserve">= 0,27).</w:t>
      </w:r>
    </w:p>
    <w:p>
      <w:pPr>
        <w:pStyle w:val="BodyText"/>
      </w:pPr>
      <w:r>
        <w:t xml:space="preserve">En cambio, el número de células DCX</w:t>
      </w:r>
      <w:r>
        <w:rPr>
          <w:vertAlign w:val="superscript"/>
        </w:rPr>
        <w:t xml:space="preserve">+</w:t>
      </w:r>
      <w:r>
        <w:t xml:space="preserve"> </w:t>
      </w:r>
      <w:r>
        <w:t xml:space="preserve">no difirió entre grupos (</w:t>
      </w:r>
      <w:r>
        <w:rPr>
          <w:iCs/>
          <w:i/>
        </w:rPr>
        <w:t xml:space="preserve">F</w:t>
      </w:r>
      <w:r>
        <w:rPr>
          <w:vertAlign w:val="subscript"/>
        </w:rPr>
        <w:t xml:space="preserve">Tratamiento</w:t>
      </w:r>
      <w:r>
        <w:t xml:space="preserve">(1, 76) = 0,96;</w:t>
      </w:r>
      <w:r>
        <w:t xml:space="preserve"> </w:t>
      </w:r>
      <w:r>
        <w:rPr>
          <w:iCs/>
          <w:i/>
        </w:rPr>
        <w:t xml:space="preserve">p</w:t>
      </w:r>
      <w:r>
        <w:t xml:space="preserve"> </w:t>
      </w:r>
      <w:r>
        <w:t xml:space="preserve">= 0,33;</w:t>
      </w:r>
      <w:r>
        <w:t xml:space="preserve"> </w:t>
      </w:r>
      <w:r>
        <w:rPr>
          <w:iCs/>
          <w:i/>
        </w:rPr>
        <w:t xml:space="preserve">F</w:t>
      </w:r>
      <w:r>
        <w:rPr>
          <w:vertAlign w:val="subscript"/>
        </w:rPr>
        <w:t xml:space="preserve">Edad</w:t>
      </w:r>
      <w:r>
        <w:t xml:space="preserve">(1, 76) = 0,03;</w:t>
      </w:r>
      <w:r>
        <w:t xml:space="preserve"> </w:t>
      </w:r>
      <w:r>
        <w:rPr>
          <w:iCs/>
          <w:i/>
        </w:rPr>
        <w:t xml:space="preserve">p</w:t>
      </w:r>
      <w:r>
        <w:t xml:space="preserve"> </w:t>
      </w:r>
      <w:r>
        <w:t xml:space="preserve">= 0,87;</w:t>
      </w:r>
      <w:r>
        <w:t xml:space="preserve"> </w:t>
      </w:r>
      <w:r>
        <w:rPr>
          <w:iCs/>
          <w:i/>
        </w:rPr>
        <w:t xml:space="preserve">F</w:t>
      </w:r>
      <w:r>
        <w:rPr>
          <w:vertAlign w:val="subscript"/>
        </w:rPr>
        <w:t xml:space="preserve">Interacción</w:t>
      </w:r>
      <w:r>
        <w:t xml:space="preserve">(1, 76) = 3,22;</w:t>
      </w:r>
      <w:r>
        <w:t xml:space="preserve"> </w:t>
      </w:r>
      <w:r>
        <w:rPr>
          <w:iCs/>
          <w:i/>
        </w:rPr>
        <w:t xml:space="preserve">p</w:t>
      </w:r>
      <w:r>
        <w:t xml:space="preserve"> </w:t>
      </w:r>
      <w:r>
        <w:t xml:space="preserve">= 0,077; Figura 5.14B), y ninguna comparación de Tukey resultó significativa (control vs. sacarosa: juvenil,</w:t>
      </w:r>
      <w:r>
        <w:t xml:space="preserve"> </w:t>
      </w:r>
      <w:r>
        <w:rPr>
          <w:iCs/>
          <w:i/>
        </w:rPr>
        <w:t xml:space="preserve">p</w:t>
      </w:r>
      <w:r>
        <w:t xml:space="preserve"> </w:t>
      </w:r>
      <w:r>
        <w:t xml:space="preserve">= 0,94; adulto,</w:t>
      </w:r>
      <w:r>
        <w:t xml:space="preserve"> </w:t>
      </w:r>
      <w:r>
        <w:rPr>
          <w:iCs/>
          <w:i/>
        </w:rPr>
        <w:t xml:space="preserve">p</w:t>
      </w:r>
      <w:r>
        <w:t xml:space="preserve"> </w:t>
      </w:r>
      <w:r>
        <w:t xml:space="preserve">= 0,21).</w:t>
      </w:r>
    </w:p>
    <w:p>
      <w:pPr>
        <w:pStyle w:val="BodyText"/>
      </w:pPr>
      <w:r>
        <w:t xml:space="preserve">Las células doblemente marcadas (PCNA</w:t>
      </w:r>
      <w:r>
        <w:rPr>
          <w:vertAlign w:val="superscript"/>
        </w:rPr>
        <w:t xml:space="preserve">+</w:t>
      </w:r>
      <w:r>
        <w:t xml:space="preserve">/DCX</w:t>
      </w:r>
      <w:r>
        <w:rPr>
          <w:vertAlign w:val="superscript"/>
        </w:rPr>
        <w:t xml:space="preserve">+</w:t>
      </w:r>
      <w:r>
        <w:t xml:space="preserve">), que corresponden a neuroblastos en proliferación, disminuyeron en los animales expuestos a sacarosa en ambas edades (ANOVA de dos vías,</w:t>
      </w:r>
      <w:r>
        <w:t xml:space="preserve"> </w:t>
      </w:r>
      <w:r>
        <w:rPr>
          <w:iCs/>
          <w:i/>
        </w:rPr>
        <w:t xml:space="preserve">F</w:t>
      </w:r>
      <w:r>
        <w:rPr>
          <w:vertAlign w:val="subscript"/>
        </w:rPr>
        <w:t xml:space="preserve">Tratamiento</w:t>
      </w:r>
      <w:r>
        <w:t xml:space="preserve">(1, 76) = 38,35;</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76) = 1,19;</w:t>
      </w:r>
      <w:r>
        <w:t xml:space="preserve"> </w:t>
      </w:r>
      <w:r>
        <w:rPr>
          <w:iCs/>
          <w:i/>
        </w:rPr>
        <w:t xml:space="preserve">p</w:t>
      </w:r>
      <w:r>
        <w:t xml:space="preserve"> </w:t>
      </w:r>
      <w:r>
        <w:t xml:space="preserve">= 0,28;</w:t>
      </w:r>
      <w:r>
        <w:t xml:space="preserve"> </w:t>
      </w:r>
      <w:r>
        <w:rPr>
          <w:iCs/>
          <w:i/>
        </w:rPr>
        <w:t xml:space="preserve">F</w:t>
      </w:r>
      <w:r>
        <w:rPr>
          <w:vertAlign w:val="subscript"/>
        </w:rPr>
        <w:t xml:space="preserve">Interacción</w:t>
      </w:r>
      <w:r>
        <w:t xml:space="preserve">(1, 76) = 0,13;</w:t>
      </w:r>
      <w:r>
        <w:t xml:space="preserve"> </w:t>
      </w:r>
      <w:r>
        <w:rPr>
          <w:iCs/>
          <w:i/>
        </w:rPr>
        <w:t xml:space="preserve">p</w:t>
      </w:r>
      <w:r>
        <w:t xml:space="preserve"> </w:t>
      </w:r>
      <w:r>
        <w:t xml:space="preserve">= 0,72;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&lt; 0,0001; adulto,</w:t>
      </w:r>
      <w:r>
        <w:t xml:space="preserve"> </w:t>
      </w:r>
      <w:r>
        <w:rPr>
          <w:iCs/>
          <w:i/>
        </w:rPr>
        <w:t xml:space="preserve">p</w:t>
      </w:r>
      <w:r>
        <w:t xml:space="preserve"> </w:t>
      </w:r>
      <w:r>
        <w:t xml:space="preserve">= 0,0005; Figura 5.14C). En este marcador, la dispersión de los valores fue marcadamente menor en los grupos expuestos a sacarosa (Brown-Forsythe,</w:t>
      </w:r>
      <w:r>
        <w:t xml:space="preserve"> </w:t>
      </w:r>
      <w:r>
        <w:rPr>
          <w:iCs/>
          <w:i/>
        </w:rPr>
        <w:t xml:space="preserve">p</w:t>
      </w:r>
      <w:r>
        <w:t xml:space="preserve"> </w:t>
      </w:r>
      <w:r>
        <w:t xml:space="preserve">&lt; 0,0001).</w:t>
      </w:r>
    </w:p>
    <w:p>
      <w:pPr>
        <w:pStyle w:val="BodyText"/>
        <w:keepNext/>
        <w:jc w:val="center"/>
      </w:pPr>
      <w:r>
        <w:t xml:space="preserve">(A)</w:t>
      </w:r>
      <w:r>
        <w:t xml:space="preserve"> </w:t>
      </w:r>
      <w:r>
        <w:drawing>
          <wp:inline>
            <wp:extent cx="1843199" cy="1843199"/>
            <wp:effectExtent b="0" l="0" r="0" t="0"/>
            <wp:docPr descr="image" title="" id="1" name="Picture"/>
            <a:graphic>
              <a:graphicData uri="http://schemas.openxmlformats.org/drawingml/2006/picture">
                <pic:pic>
                  <pic:nvPicPr>
                    <pic:cNvPr descr="img/Fig5_IHC_pcna.png" id="0" name="Picture"/>
                    <pic:cNvPicPr>
                      <a:picLocks noChangeArrowheads="1" noChangeAspect="1"/>
                    </pic:cNvPicPr>
                  </pic:nvPicPr>
                  <pic:blipFill>
                    <a:blip r:embed="rId73"/>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43199"/>
            <wp:effectExtent b="0" l="0" r="0" t="0"/>
            <wp:docPr descr="image" title="" id="1" name="Picture"/>
            <a:graphic>
              <a:graphicData uri="http://schemas.openxmlformats.org/drawingml/2006/picture">
                <pic:pic>
                  <pic:nvPicPr>
                    <pic:cNvPr descr="img/Fig5_IHC_dcx.png" id="0" name="Picture"/>
                    <pic:cNvPicPr>
                      <a:picLocks noChangeArrowheads="1" noChangeAspect="1"/>
                    </pic:cNvPicPr>
                  </pic:nvPicPr>
                  <pic:blipFill>
                    <a:blip r:embed="rId74"/>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(C)</w:t>
      </w:r>
      <w:r>
        <w:t xml:space="preserve"> </w:t>
      </w:r>
      <w:r>
        <w:drawing>
          <wp:inline>
            <wp:extent cx="1843199" cy="1843199"/>
            <wp:effectExtent b="0" l="0" r="0" t="0"/>
            <wp:docPr descr="image" title="" id="1" name="Picture"/>
            <a:graphic>
              <a:graphicData uri="http://schemas.openxmlformats.org/drawingml/2006/picture">
                <pic:pic>
                  <pic:nvPicPr>
                    <pic:cNvPr descr="img/Fig5_IHC_pcna_dcx.png" id="0" name="Picture"/>
                    <pic:cNvPicPr>
                      <a:picLocks noChangeArrowheads="1" noChangeAspect="1"/>
                    </pic:cNvPicPr>
                  </pic:nvPicPr>
                  <pic:blipFill>
                    <a:blip r:embed="rId75"/>
                    <a:stretch>
                      <a:fillRect/>
                    </a:stretch>
                  </pic:blipFill>
                  <pic:spPr bwMode="auto">
                    <a:xfrm>
                      <a:off x="0" y="0"/>
                      <a:ext cx="1843199" cy="1843199"/>
                    </a:xfrm>
                    <a:prstGeom prst="rect">
                      <a:avLst/>
                    </a:prstGeom>
                    <a:noFill/>
                    <a:ln w="9525">
                      <a:noFill/>
                      <a:headEnd/>
                      <a:tailEnd/>
                    </a:ln>
                  </pic:spPr>
                </pic:pic>
              </a:graphicData>
            </a:graphic>
          </wp:inline>
        </w:drawing>
      </w:r>
    </w:p>
    <w:p>
      <w:pPr>
        <w:pStyle w:val="BodyText"/>
        <w:keepNext/>
        <w:jc w:val="center"/>
      </w:pPr>
      <w:r>
        <w:drawing>
          <wp:inline>
            <wp:extent cx="1259999" cy="551249"/>
            <wp:effectExtent b="0" l="0" r="0" t="0"/>
            <wp:docPr descr="image" title="" id="1" name="Picture"/>
            <a:graphic>
              <a:graphicData uri="http://schemas.openxmlformats.org/drawingml/2006/picture">
                <pic:pic>
                  <pic:nvPicPr>
                    <pic:cNvPr descr="img/Fig5_IHC_leyenda.png" id="0" name="Picture"/>
                    <pic:cNvPicPr>
                      <a:picLocks noChangeArrowheads="1" noChangeAspect="1"/>
                    </pic:cNvPicPr>
                  </pic:nvPicPr>
                  <pic:blipFill>
                    <a:blip r:embed="rId76"/>
                    <a:stretch>
                      <a:fillRect/>
                    </a:stretch>
                  </pic:blipFill>
                  <pic:spPr bwMode="auto">
                    <a:xfrm>
                      <a:off x="0" y="0"/>
                      <a:ext cx="1259999" cy="551249"/>
                    </a:xfrm>
                    <a:prstGeom prst="rect">
                      <a:avLst/>
                    </a:prstGeom>
                    <a:noFill/>
                    <a:ln w="9525">
                      <a:noFill/>
                      <a:headEnd/>
                      <a:tailEnd/>
                    </a:ln>
                  </pic:spPr>
                </pic:pic>
              </a:graphicData>
            </a:graphic>
          </wp:inline>
        </w:drawing>
      </w:r>
    </w:p>
    <w:p>
      <w:pPr>
        <w:pStyle w:val="BodyText"/>
        <w:spacing w:after="240"/>
      </w:pPr>
      <w:r>
        <w:rPr>
          <w:bCs/>
          <w:b/>
          <w:sz w:val="19"/>
        </w:rPr>
        <w:t xml:space="preserve">Figura 5.14.</w:t>
      </w:r>
      <w:r>
        <w:rPr>
          <w:sz w:val="19"/>
        </w:rPr>
        <w:t xml:space="preserve"> </w:t>
      </w:r>
      <w:r>
        <w:rPr>
          <w:sz w:val="19"/>
        </w:rPr>
        <w:t xml:space="preserve">Inmunocitoquímica del giro dentado en ratas expuestas a agua (control) o a sacarosa durante la ventana juvenil o adulta. (A) Células PCNA</w:t>
      </w:r>
      <w:r>
        <w:rPr>
          <w:sz w:val="19"/>
          <w:vertAlign w:val="superscript"/>
        </w:rPr>
        <w:t xml:space="preserve">+</w:t>
      </w:r>
      <w:r>
        <w:rPr>
          <w:sz w:val="19"/>
        </w:rPr>
        <w:t xml:space="preserve">. (B) Células DCX</w:t>
      </w:r>
      <w:r>
        <w:rPr>
          <w:sz w:val="19"/>
          <w:vertAlign w:val="superscript"/>
        </w:rPr>
        <w:t xml:space="preserve">+</w:t>
      </w:r>
      <w:r>
        <w:rPr>
          <w:sz w:val="19"/>
        </w:rPr>
        <w:t xml:space="preserve">. (C) Células PCNA</w:t>
      </w:r>
      <w:r>
        <w:rPr>
          <w:sz w:val="19"/>
          <w:vertAlign w:val="superscript"/>
        </w:rPr>
        <w:t xml:space="preserve">+</w:t>
      </w:r>
      <w:r>
        <w:rPr>
          <w:sz w:val="19"/>
        </w:rPr>
        <w:t xml:space="preserve">/DCX</w:t>
      </w:r>
      <w:r>
        <w:rPr>
          <w:sz w:val="19"/>
          <w:vertAlign w:val="superscript"/>
        </w:rPr>
        <w:t xml:space="preserve">+</w:t>
      </w:r>
      <w:r>
        <w:rPr>
          <w:sz w:val="19"/>
        </w:rPr>
        <w:t xml:space="preserve">. Las barras indican la media ± SEM (</w:t>
      </w:r>
      <w:r>
        <w:rPr>
          <w:iCs/>
          <w:i/>
          <w:sz w:val="19"/>
        </w:rPr>
        <w:t xml:space="preserve">n</w:t>
      </w:r>
      <w:r>
        <w:rPr>
          <w:sz w:val="19"/>
        </w:rPr>
        <w:t xml:space="preserve"> </w:t>
      </w:r>
      <w:r>
        <w:rPr>
          <w:sz w:val="19"/>
        </w:rPr>
        <w:t xml:space="preserve">= 20 cortes, provenientes de 4 animales por grupo). Azul: control; rojo: sacarosa. Se indican las comparaciones de Tukey significativas entre control y sacarosa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p>
    <w:p>
      <w:pPr>
        <w:pStyle w:val="BodyText"/>
        <w:keepNext/>
        <w:jc w:val="center"/>
      </w:pPr>
      <w:r>
        <w:drawing>
          <wp:inline>
            <wp:extent cx="2879999" cy="5961264"/>
            <wp:effectExtent b="0" l="0" r="0" t="0"/>
            <wp:docPr descr="image" title="" id="1" name="Picture"/>
            <a:graphic>
              <a:graphicData uri="http://schemas.openxmlformats.org/drawingml/2006/picture">
                <pic:pic>
                  <pic:nvPicPr>
                    <pic:cNvPr descr="img/Fig5_IHC_fotos.png" id="0" name="Picture"/>
                    <pic:cNvPicPr>
                      <a:picLocks noChangeArrowheads="1" noChangeAspect="1"/>
                    </pic:cNvPicPr>
                  </pic:nvPicPr>
                  <pic:blipFill>
                    <a:blip r:embed="rId77"/>
                    <a:stretch>
                      <a:fillRect/>
                    </a:stretch>
                  </pic:blipFill>
                  <pic:spPr bwMode="auto">
                    <a:xfrm>
                      <a:off x="0" y="0"/>
                      <a:ext cx="2879999" cy="5961264"/>
                    </a:xfrm>
                    <a:prstGeom prst="rect">
                      <a:avLst/>
                    </a:prstGeom>
                    <a:noFill/>
                    <a:ln w="9525">
                      <a:noFill/>
                      <a:headEnd/>
                      <a:tailEnd/>
                    </a:ln>
                  </pic:spPr>
                </pic:pic>
              </a:graphicData>
            </a:graphic>
          </wp:inline>
        </w:drawing>
      </w:r>
    </w:p>
    <w:p>
      <w:pPr>
        <w:pStyle w:val="BodyText"/>
        <w:spacing w:after="240"/>
      </w:pPr>
      <w:r>
        <w:rPr>
          <w:bCs/>
          <w:b/>
          <w:sz w:val="19"/>
        </w:rPr>
        <w:t xml:space="preserve">Figura 5.15.</w:t>
      </w:r>
      <w:r>
        <w:rPr>
          <w:sz w:val="19"/>
        </w:rPr>
        <w:t xml:space="preserve"> </w:t>
      </w:r>
      <w:r>
        <w:rPr>
          <w:sz w:val="19"/>
        </w:rPr>
        <w:t xml:space="preserve">Fotomicrografías representativas de la inmunorreactividad para PCNA (verde) y DCX (rojo) en el giro dentado de animales control y expuestos a sacarosa durante la ventana juvenil o adulta. Las flechas blancas señalan células PCNA</w:t>
      </w:r>
      <w:r>
        <w:rPr>
          <w:sz w:val="19"/>
          <w:vertAlign w:val="superscript"/>
        </w:rPr>
        <w:t xml:space="preserve">+</w:t>
      </w:r>
      <w:r>
        <w:rPr>
          <w:sz w:val="19"/>
        </w:rPr>
        <w:t xml:space="preserve">/DCX</w:t>
      </w:r>
      <w:r>
        <w:rPr>
          <w:sz w:val="19"/>
          <w:vertAlign w:val="superscript"/>
        </w:rPr>
        <w:t xml:space="preserve">+</w:t>
      </w:r>
      <w:r>
        <w:rPr>
          <w:sz w:val="19"/>
        </w:rPr>
        <w:t xml:space="preserve">, y los círculos muestran una ampliación de la zona indicada. Objetivo de 20×; barra de escala: 100 µm.</w:t>
      </w:r>
    </w:p>
    <w:p>
      <w:pPr>
        <w:pStyle w:val="BodyText"/>
      </w:pPr>
      <w:r>
        <w:t xml:space="preserve">En conjunto, estos resultados indican: (1) la exposición a sacarosa redujo la proliferación celular en el giro dentado, con una diferencia significativa respecto del control en el grupo adulto; (2) redujo el número de neuroblastos en proliferación (PCNA</w:t>
      </w:r>
      <w:r>
        <w:rPr>
          <w:vertAlign w:val="superscript"/>
        </w:rPr>
        <w:t xml:space="preserve">+</w:t>
      </w:r>
      <w:r>
        <w:t xml:space="preserve">/DCX</w:t>
      </w:r>
      <w:r>
        <w:rPr>
          <w:vertAlign w:val="superscript"/>
        </w:rPr>
        <w:t xml:space="preserve">+</w:t>
      </w:r>
      <w:r>
        <w:t xml:space="preserve">) en ambas edades; y (3) no modificó el número total de células DCX</w:t>
      </w:r>
      <w:r>
        <w:rPr>
          <w:vertAlign w:val="superscript"/>
        </w:rPr>
        <w:t xml:space="preserve">+</w:t>
      </w:r>
      <w:r>
        <w:t xml:space="preserve">. Como las células PCNA</w:t>
      </w:r>
      <w:r>
        <w:rPr>
          <w:vertAlign w:val="superscript"/>
        </w:rPr>
        <w:t xml:space="preserve">+</w:t>
      </w:r>
      <w:r>
        <w:t xml:space="preserve">/DCX</w:t>
      </w:r>
      <w:r>
        <w:rPr>
          <w:vertAlign w:val="superscript"/>
        </w:rPr>
        <w:t xml:space="preserve">+</w:t>
      </w:r>
      <w:r>
        <w:t xml:space="preserve"> </w:t>
      </w:r>
      <w:r>
        <w:t xml:space="preserve">son las que todavía se dividen dentro del linaje neuronal, su reducción sugiere que la sacarosa disminuye la generación de nuevas neuronas en el giro dentado, aun cuando el número total de neuronas inmaduras no cambie.</w:t>
      </w:r>
    </w:p>
    <w:bookmarkEnd w:id="78"/>
    <w:bookmarkStart w:id="81" w:name="análisis-multivariado-de-la-prueba-slr"/>
    <w:p>
      <w:pPr>
        <w:pStyle w:val="Heading2"/>
      </w:pPr>
      <w:r>
        <w:t xml:space="preserve">5.6 Análisis multivariado de la prueba SLR</w:t>
      </w:r>
    </w:p>
    <w:p>
      <w:pPr>
        <w:pStyle w:val="FirstParagraph"/>
      </w:pPr>
      <w:r>
        <w:t xml:space="preserve">Para evaluar si las métricas de la prueba SLR definen perfiles conductuales propios de cada grupo, se analizaron en conjunto cinco variables por animal: el tiempo de exploración de cada objeto en la fase de muestreo (A1, A2 y A3), la exploración total en la fase de prueba y el DI. Las dos primeras componentes principales explicaron el 69,3 % de la varianza (Figura 5.16).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casi independientes: explorar más no implicó discriminar mejor.</w:t>
      </w:r>
    </w:p>
    <w:p>
      <w:pPr>
        <w:pStyle w:val="BodyText"/>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w:t>
      </w:r>
      <w:r>
        <w:t xml:space="preserve"> </w:t>
      </w:r>
      <w:r>
        <w:rPr>
          <w:iCs/>
          <w:i/>
        </w:rPr>
        <w:t xml:space="preserve">F</w:t>
      </w:r>
      <w:r>
        <w:rPr>
          <w:vertAlign w:val="subscript"/>
        </w:rPr>
        <w:t xml:space="preserve">Interacción</w:t>
      </w:r>
      <w:r>
        <w:t xml:space="preserve">(2, 111) = 10,34;</w:t>
      </w:r>
      <w:r>
        <w:t xml:space="preserve"> </w:t>
      </w:r>
      <w:r>
        <w:rPr>
          <w:iCs/>
          <w:i/>
        </w:rPr>
        <w:t xml:space="preserve">p</w:t>
      </w:r>
      <w:r>
        <w:t xml:space="preserve"> </w:t>
      </w:r>
      <w:r>
        <w:t xml:space="preserve">= 0,0001;</w:t>
      </w:r>
      <w:r>
        <w:t xml:space="preserve"> </w:t>
      </w:r>
      <w:r>
        <w:rPr>
          <w:iCs/>
          <w:i/>
        </w:rPr>
        <w:t xml:space="preserve">F</w:t>
      </w:r>
      <w:r>
        <w:rPr>
          <w:vertAlign w:val="subscript"/>
        </w:rPr>
        <w:t xml:space="preserve">Tratamiento</w:t>
      </w:r>
      <w:r>
        <w:t xml:space="preserve">(2, 111) = 8,20;</w:t>
      </w:r>
      <w:r>
        <w:t xml:space="preserve"> </w:t>
      </w:r>
      <w:r>
        <w:rPr>
          <w:iCs/>
          <w:i/>
        </w:rPr>
        <w:t xml:space="preserve">p</w:t>
      </w:r>
      <w:r>
        <w:t xml:space="preserve"> </w:t>
      </w:r>
      <w:r>
        <w:t xml:space="preserve">= 0,0005;</w:t>
      </w:r>
      <w:r>
        <w:t xml:space="preserve"> </w:t>
      </w:r>
      <w:r>
        <w:rPr>
          <w:iCs/>
          <w:i/>
        </w:rPr>
        <w:t xml:space="preserve">F</w:t>
      </w:r>
      <w:r>
        <w:rPr>
          <w:vertAlign w:val="subscript"/>
        </w:rPr>
        <w:t xml:space="preserve">Edad</w:t>
      </w:r>
      <w:r>
        <w:t xml:space="preserve">(1, 111) = 0,06;</w:t>
      </w:r>
      <w:r>
        <w:t xml:space="preserve"> </w:t>
      </w:r>
      <w:r>
        <w:rPr>
          <w:iCs/>
          <w:i/>
        </w:rPr>
        <w:t xml:space="preserve">p</w:t>
      </w:r>
      <w:r>
        <w:t xml:space="preserve"> </w:t>
      </w:r>
      <w:r>
        <w:t xml:space="preserve">= 0,81; Figura 5.16A). En cambio, los animales expuestos a sacarosa presentaron los valores más bajos de CP2 en ambas edades (</w:t>
      </w:r>
      <w:r>
        <w:rPr>
          <w:iCs/>
          <w:i/>
        </w:rPr>
        <w:t xml:space="preserve">F</w:t>
      </w:r>
      <w:r>
        <w:rPr>
          <w:vertAlign w:val="subscript"/>
        </w:rPr>
        <w:t xml:space="preserve">Tratamiento</w:t>
      </w:r>
      <w:r>
        <w:t xml:space="preserve">(2, 111) = 6,38;</w:t>
      </w:r>
      <w:r>
        <w:t xml:space="preserve"> </w:t>
      </w:r>
      <w:r>
        <w:rPr>
          <w:iCs/>
          <w:i/>
        </w:rPr>
        <w:t xml:space="preserve">p</w:t>
      </w:r>
      <w:r>
        <w:t xml:space="preserve"> </w:t>
      </w:r>
      <w:r>
        <w:t xml:space="preserve">= 0,0024;</w:t>
      </w:r>
      <w:r>
        <w:t xml:space="preserve"> </w:t>
      </w:r>
      <w:r>
        <w:rPr>
          <w:iCs/>
          <w:i/>
        </w:rPr>
        <w:t xml:space="preserve">F</w:t>
      </w:r>
      <w:r>
        <w:rPr>
          <w:vertAlign w:val="subscript"/>
        </w:rPr>
        <w:t xml:space="preserve">Edad</w:t>
      </w:r>
      <w:r>
        <w:t xml:space="preserve">(1, 111) = 0,38;</w:t>
      </w:r>
      <w:r>
        <w:t xml:space="preserve"> </w:t>
      </w:r>
      <w:r>
        <w:rPr>
          <w:iCs/>
          <w:i/>
        </w:rPr>
        <w:t xml:space="preserve">p</w:t>
      </w:r>
      <w:r>
        <w:t xml:space="preserve"> </w:t>
      </w:r>
      <w:r>
        <w:t xml:space="preserve">= 0,54;</w:t>
      </w:r>
      <w:r>
        <w:t xml:space="preserve"> </w:t>
      </w:r>
      <w:r>
        <w:rPr>
          <w:iCs/>
          <w:i/>
        </w:rPr>
        <w:t xml:space="preserve">F</w:t>
      </w:r>
      <w:r>
        <w:rPr>
          <w:vertAlign w:val="subscript"/>
        </w:rPr>
        <w:t xml:space="preserve">Interacción</w:t>
      </w:r>
      <w:r>
        <w:t xml:space="preserve">(2, 111) = 0,62;</w:t>
      </w:r>
      <w:r>
        <w:t xml:space="preserve"> </w:t>
      </w:r>
      <w:r>
        <w:rPr>
          <w:iCs/>
          <w:i/>
        </w:rPr>
        <w:t xml:space="preserve">p</w:t>
      </w:r>
      <w:r>
        <w:t xml:space="preserve"> </w:t>
      </w:r>
      <w:r>
        <w:t xml:space="preserve">= 0,54), lo que reproduce en el espacio multivariado el déficit de discriminación de la sacarosa. Los grupos expuestos a stevia se ubicaron en CP2 junto a los controles. Ninguna de las dos componentes difirió entre la cohorte de 2026 y las de 2024–2025 (prueba</w:t>
      </w:r>
      <w:r>
        <w:t xml:space="preserve"> </w:t>
      </w:r>
      <w:r>
        <w:rPr>
          <w:iCs/>
          <w:i/>
        </w:rPr>
        <w:t xml:space="preserve">t</w:t>
      </w:r>
      <w:r>
        <w:t xml:space="preserve">; CP1:</w:t>
      </w:r>
      <w:r>
        <w:t xml:space="preserve"> </w:t>
      </w:r>
      <w:r>
        <w:rPr>
          <w:iCs/>
          <w:i/>
        </w:rPr>
        <w:t xml:space="preserve">p</w:t>
      </w:r>
      <w:r>
        <w:t xml:space="preserve"> </w:t>
      </w:r>
      <w:r>
        <w:t xml:space="preserve">= 0,37; CP2:</w:t>
      </w:r>
      <w:r>
        <w:t xml:space="preserve"> </w:t>
      </w:r>
      <w:r>
        <w:rPr>
          <w:iCs/>
          <w:i/>
        </w:rPr>
        <w:t xml:space="preserve">p</w:t>
      </w:r>
      <w:r>
        <w:t xml:space="preserve"> </w:t>
      </w:r>
      <w:r>
        <w:t xml:space="preserve">= 0,32).</w:t>
      </w:r>
    </w:p>
    <w:p>
      <w:pPr>
        <w:pStyle w:val="BodyText"/>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conductuales separados según la exposición.</w:t>
      </w:r>
    </w:p>
    <w:p>
      <w:pPr>
        <w:pStyle w:val="BodyText"/>
      </w:pPr>
      <w:r>
        <w:t xml:space="preserve">El clasificador Random Forest predijo el grupo experimental por encima del azar (exactitud balanceada = 0,30 ± 0,08, frente a un azar de 0,17; prueba de permutación,</w:t>
      </w:r>
      <w:r>
        <w:t xml:space="preserve"> </w:t>
      </w:r>
      <w:r>
        <w:rPr>
          <w:iCs/>
          <w:i/>
        </w:rPr>
        <w:t xml:space="preserve">p</w:t>
      </w:r>
      <w:r>
        <w:t xml:space="preserve"> </w:t>
      </w:r>
      <w:r>
        <w:t xml:space="preserve">= 0,006; Figura 5.17A).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5.17B). Al restringir la clasificación a dos tratamientos, el modelo distinguió a los controles tanto de los animales expuestos a sacarosa (exactitud balanceada = 0,67 ± 0,09;</w:t>
      </w:r>
      <w:r>
        <w:t xml:space="preserve"> </w:t>
      </w:r>
      <w:r>
        <w:rPr>
          <w:iCs/>
          <w:i/>
        </w:rPr>
        <w:t xml:space="preserve">p</w:t>
      </w:r>
      <w:r>
        <w:t xml:space="preserve"> </w:t>
      </w:r>
      <w:r>
        <w:t xml:space="preserve">= 0,010) como de los expuestos a stevia (0,67 ± 0,10;</w:t>
      </w:r>
      <w:r>
        <w:t xml:space="preserve"> </w:t>
      </w:r>
      <w:r>
        <w:rPr>
          <w:iCs/>
          <w:i/>
        </w:rPr>
        <w:t xml:space="preserve">p</w:t>
      </w:r>
      <w:r>
        <w:t xml:space="preserve"> </w:t>
      </w:r>
      <w:r>
        <w:t xml:space="preserve">= 0,002), pero no discriminó los tres tratamientos a la vez (0,46 ± 0,08, frente a un azar de 0,33;</w:t>
      </w:r>
      <w:r>
        <w:t xml:space="preserve"> </w:t>
      </w:r>
      <w:r>
        <w:rPr>
          <w:iCs/>
          <w:i/>
        </w:rPr>
        <w:t xml:space="preserve">p</w:t>
      </w:r>
      <w:r>
        <w:t xml:space="preserve"> </w:t>
      </w:r>
      <w:r>
        <w:t xml:space="preserve">= 0,080). Al incluir la distancia recorrida en la fase de muestreo, la exactitud para los seis grupos aumentó a 0,39 ± 0,10 (</w:t>
      </w:r>
      <w:r>
        <w:rPr>
          <w:iCs/>
          <w:i/>
        </w:rPr>
        <w:t xml:space="preserve">p</w:t>
      </w:r>
      <w:r>
        <w:t xml:space="preserve"> </w:t>
      </w:r>
      <w:r>
        <w:t xml:space="preserve">= 0,002), pero esa misma variable permitió identificar la cohorte de 2026 con una exactitud de 0,83 ± 0,08 (</w:t>
      </w:r>
      <w:r>
        <w:rPr>
          <w:iCs/>
          <w:i/>
        </w:rPr>
        <w:t xml:space="preserve">p</w:t>
      </w:r>
      <w:r>
        <w:t xml:space="preserve"> </w:t>
      </w:r>
      <w:r>
        <w:t xml:space="preserve">= 0,002), frente a 0,62 ± 0,09 sin ella (</w:t>
      </w:r>
      <w:r>
        <w:rPr>
          <w:iCs/>
          <w:i/>
        </w:rPr>
        <w:t xml:space="preserve">p</w:t>
      </w:r>
      <w:r>
        <w:t xml:space="preserve"> </w:t>
      </w:r>
      <w:r>
        <w:t xml:space="preserve">= 0,066), lo que justificó excluirla del análisis principal.</w:t>
      </w:r>
    </w:p>
    <w:p>
      <w:pPr>
        <w:pStyle w:val="BodyText"/>
        <w:keepNext/>
        <w:jc w:val="center"/>
      </w:pPr>
      <w:r>
        <w:drawing>
          <wp:inline>
            <wp:extent cx="5753100" cy="2649453"/>
            <wp:effectExtent b="0" l="0" r="0" t="0"/>
            <wp:docPr descr="image" title="" id="1" name="Picture"/>
            <a:graphic>
              <a:graphicData uri="http://schemas.openxmlformats.org/drawingml/2006/picture">
                <pic:pic>
                  <pic:nvPicPr>
                    <pic:cNvPr descr="img/Fig5_ML_pca.png" id="0" name="Picture"/>
                    <pic:cNvPicPr>
                      <a:picLocks noChangeArrowheads="1" noChangeAspect="1"/>
                    </pic:cNvPicPr>
                  </pic:nvPicPr>
                  <pic:blipFill>
                    <a:blip r:embed="rId79"/>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spacing w:after="240"/>
      </w:pPr>
      <w:r>
        <w:rPr>
          <w:bCs/>
          <w:b/>
          <w:sz w:val="19"/>
        </w:rPr>
        <w:t xml:space="preserve">Figura 5.16.</w:t>
      </w:r>
      <w:r>
        <w:rPr>
          <w:sz w:val="19"/>
        </w:rPr>
        <w:t xml:space="preserve"> </w:t>
      </w:r>
      <w:r>
        <w:rPr>
          <w:sz w:val="19"/>
        </w:rPr>
        <w:t xml:space="preserve">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exploración de los objetos; valores altos de CP2, mayor DI. (B) Cargas de cada variable en CP1 y CP2: cuánto contribuye cada variable a cada componente (las barras largas indican las variables que la definen; el signo, si aumenta o disminuye con ella). Azul: control; rojo: sacarosa; verde: stevia.</w:t>
      </w:r>
      <w:r>
        <w:rPr>
          <w:sz w:val="19"/>
        </w:rPr>
        <w:t xml:space="preserve"> </w:t>
      </w:r>
      <w:r>
        <w:rPr>
          <w:iCs/>
          <w:i/>
          <w:sz w:val="19"/>
        </w:rPr>
        <w:t xml:space="preserve">n</w:t>
      </w:r>
      <w:r>
        <w:rPr>
          <w:sz w:val="19"/>
        </w:rPr>
        <w:t xml:space="preserve"> </w:t>
      </w:r>
      <w:r>
        <w:rPr>
          <w:sz w:val="19"/>
        </w:rPr>
        <w:t xml:space="preserve">= 117 animales (18–20 por grupo, d-SLR y s-SLR combinadas).</w:t>
      </w:r>
    </w:p>
    <w:p>
      <w:pPr>
        <w:pStyle w:val="BodyText"/>
        <w:keepNext/>
        <w:jc w:val="center"/>
      </w:pPr>
      <w:r>
        <w:drawing>
          <wp:inline>
            <wp:extent cx="5753100" cy="2573755"/>
            <wp:effectExtent b="0" l="0" r="0" t="0"/>
            <wp:docPr descr="image" title="" id="1" name="Picture"/>
            <a:graphic>
              <a:graphicData uri="http://schemas.openxmlformats.org/drawingml/2006/picture">
                <pic:pic>
                  <pic:nvPicPr>
                    <pic:cNvPr descr="img/Fig5_ML_rf.png" id="0" name="Picture"/>
                    <pic:cNvPicPr>
                      <a:picLocks noChangeArrowheads="1" noChangeAspect="1"/>
                    </pic:cNvPicPr>
                  </pic:nvPicPr>
                  <pic:blipFill>
                    <a:blip r:embed="rId80"/>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spacing w:after="240"/>
      </w:pPr>
      <w:r>
        <w:rPr>
          <w:bCs/>
          <w:b/>
          <w:sz w:val="19"/>
        </w:rPr>
        <w:t xml:space="preserve">Figura 5.17.</w:t>
      </w:r>
      <w:r>
        <w:rPr>
          <w:sz w:val="19"/>
        </w:rPr>
        <w:t xml:space="preserve"> </w:t>
      </w:r>
      <w:r>
        <w:rPr>
          <w:sz w:val="19"/>
        </w:rPr>
        <w:t xml:space="preserve">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Cs/>
          <w:i/>
          <w:sz w:val="19"/>
        </w:rPr>
        <w:t xml:space="preserve">n</w:t>
      </w:r>
      <w:r>
        <w:rPr>
          <w:sz w:val="19"/>
        </w:rPr>
        <w:t xml:space="preserve"> </w:t>
      </w:r>
      <w:r>
        <w:rPr>
          <w:sz w:val="19"/>
        </w:rPr>
        <w:t xml:space="preserve">= 117 animales.</w:t>
      </w:r>
    </w:p>
    <w:p>
      <w:pPr>
        <w:pStyle w:val="BodyText"/>
      </w:pPr>
      <w:r>
        <w:t xml:space="preserve">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diferencian de los demás grupos.</w:t>
      </w:r>
    </w:p>
    <w:bookmarkEnd w:id="81"/>
    <w:bookmarkEnd w:id="82"/>
    <w:bookmarkStart w:id="91" w:name="discusión"/>
    <w:p>
      <w:pPr>
        <w:pStyle w:val="Heading1"/>
      </w:pPr>
      <w:r>
        <w:t xml:space="preserve">6. Discusión</w:t>
      </w:r>
    </w:p>
    <w:bookmarkStart w:id="83" w:name="síntesis-de-los-hallazgos"/>
    <w:p>
      <w:pPr>
        <w:pStyle w:val="Heading2"/>
      </w:pPr>
      <w:r>
        <w:t xml:space="preserve">6.1 Síntesis de los hallazgos</w:t>
      </w:r>
    </w:p>
    <w:p>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[1, 2]. Los animales expuestos a stevia exploraron más las zonas centrales del</w:t>
      </w:r>
      <w:r>
        <w:t xml:space="preserve"> </w:t>
      </w:r>
      <w:r>
        <w:rPr>
          <w:iCs/>
          <w:i/>
        </w:rPr>
        <w:t xml:space="preserve">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w:t>
      </w:r>
      <w:r>
        <w:t xml:space="preserve"> </w:t>
      </w:r>
      <w:r>
        <w:rPr>
          <w:iCs/>
          <w:i/>
        </w:rPr>
        <w:t xml:space="preserve">open field</w:t>
      </w:r>
      <w:r>
        <w:t xml:space="preserve">, no lograron discriminar el objeto novedoso en ninguna de las demoras del NOR y discriminaron peor la posición novedosa en ambas configuraciones de la SLR, y los expuestos a sacarosa en ambas edades presentaron menos neuroblastos en proliferación en el giro dentado. Estos resultados respaldan la hipótesis de que la stevia no reproduce los efectos adversos de la sacarosa (§1.4), pero muestran que no está exenta de efectos a largo plazo: produce alteraciones de la conducta distintas y más sutiles que las de la sacarosa.</w:t>
      </w:r>
    </w:p>
    <w:bookmarkEnd w:id="83"/>
    <w:bookmarkStart w:id="84" w:name="consumo-de-líquidos-1"/>
    <w:p>
      <w:pPr>
        <w:pStyle w:val="Heading2"/>
      </w:pPr>
      <w:r>
        <w:t xml:space="preserve">6.2 Consumo de líquidos</w:t>
      </w:r>
    </w:p>
    <w:p>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consumieron cantidades considerablemente superiores de sacarosa y de stevia por unidad de peso corporal que los adultos. Asimismo, la ingesta de stevia superó la ingesta diaria admisible de glucósidos de esteviol, de 4 mg/kg de peso corporal por día expresada como equivalentes de esteviol [19], y este exceso fue más pronunciado durante la etapa juvenil. Según la composición del extracto (Tabla 4.1, con los factores de conversión a esteviol de 0,40 para el esteviósido y de 0,33 para los rebaudiósidos A y C [19]), la bebida al 4 % contenía alrededor de 0,08 mg/mL de equivalentes de esteviol; con un consumo medio de 0,24 y 0,09 mL/g de peso corporal por día, los animales juveniles ingirieron alrededor de 20 mg/kg/día (unas cinco veces la ingesta diaria admisible) y los adultos, alrededor de 7 mg/kg/día (1,8 veces).</w:t>
      </w:r>
    </w:p>
    <w:p>
      <w:pPr>
        <w:pStyle w:val="BodyText"/>
      </w:pPr>
      <w:r>
        <w:t xml:space="preserve">Los animales prefirieron la sacarosa más que la stevia en ambas edades. Este resultado es compatible con la propuesta de que el sabor dulce disociado del aporte calórico se procesa de forma distinta en los circuitos de recompensa [20], y con el hallazgo de que el consumo de stevia aumenta la expresión de ΔFosB, un marcador de activación sostenida, en el núcleo accumbens, el caudado-putamen y la corteza prefrontal, regiones del sistema de recompensa; en ese trabajo, la cría en un ambiente enriquecido redujo tanto el consumo de stevia como ese aumento de ΔFosB [21]. Una menor preferencia por la solución no calórica puede considerarse un aspecto favorable de la stevia, ya que sugiere un menor potencial para promover un consumo excesivo; de hecho, los animales consumieron menos stevia que sacarosa en ambas ventanas de edad (§5.1.1).</w:t>
      </w:r>
    </w:p>
    <w:p>
      <w:pPr>
        <w:pStyle w:val="BodyText"/>
      </w:pPr>
      <w:r>
        <w:t xml:space="preserve">Una vez retirados los edulcorantes,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con frustración, como fue descripto previamente por el laboratorio [1]. Por el contrario, los juveniles expuestos a stevia bebieron menos agua que su control de edad durante los primeros nueve días, y más entre los días 11 y 25. Por otro lado, los adultos expuestos a stevia o a sacarosa no presentaron diferencias respecto de su control de edad en ningún momento, lo que refuerza la mayor sensibilidad de la ventana juvenil.</w:t>
      </w:r>
    </w:p>
    <w:bookmarkEnd w:id="84"/>
    <w:bookmarkStart w:id="85" w:name="Xbe6db9f52668e63da41a503be782c14d7927980"/>
    <w:p>
      <w:pPr>
        <w:pStyle w:val="Heading2"/>
      </w:pPr>
      <w:r>
        <w:t xml:space="preserve">6.3 Conducta tipo ansiosa y exploración en el</w:t>
      </w:r>
      <w:r>
        <w:t xml:space="preserve"> </w:t>
      </w:r>
      <w:r>
        <w:rPr>
          <w:iCs/>
          <w:i/>
        </w:rPr>
        <w:t xml:space="preserve">open field</w:t>
      </w:r>
    </w:p>
    <w:p>
      <w:pPr>
        <w:pStyle w:val="FirstParagraph"/>
      </w:pPr>
      <w:r>
        <w:t xml:space="preserve">En el</w:t>
      </w:r>
      <w:r>
        <w:t xml:space="preserve"> </w:t>
      </w:r>
      <w:r>
        <w:rPr>
          <w:iCs/>
          <w:i/>
        </w:rPr>
        <w:t xml:space="preserve">open field</w:t>
      </w:r>
      <w:r>
        <w:t xml:space="preserve">, los animales expuestos a sacarosa durante la etapa juvenil ingresaron menos veces a las zonas centrales, recorrieron en ellas menor distancia, visitaron menos zonas y realizaron menos</w:t>
      </w:r>
      <w:r>
        <w:t xml:space="preserve"> </w:t>
      </w:r>
      <w:r>
        <w:rPr>
          <w:iCs/>
          <w:i/>
        </w:rPr>
        <w:t xml:space="preserve">rearing</w:t>
      </w:r>
      <w:r>
        <w:t xml:space="preserve">, mientras que los expuestos a sacarosa durante la adultez no difirieron de su control (§5.2), lo que indica que el consumo temprano de una bebida azucarada promueve un perfil ansioso a largo plazo, como fue descripto anteriormente [1].</w:t>
      </w:r>
    </w:p>
    <w:p>
      <w:pPr>
        <w:pStyle w:val="BodyText"/>
      </w:pPr>
      <w:r>
        <w:t xml:space="preserve">A pesar de que no se registraron diferencias en la distancia total recorrida entre los grupos, los animales que bebieron stevia visitaron más zonas que sus controles de edad y que los grupos expuestos a sacarosa. Principalmente, los animales expuestos a stevia ingresaron más veces a las zonas centrales y recorrieron en ellas mayor distancia que el resto de los grupos, independientemente de la edad en la que se produjo el consumo.</w:t>
      </w:r>
    </w:p>
    <w:p>
      <w:pPr>
        <w:pStyle w:val="BodyText"/>
      </w:pPr>
      <w:r>
        <w:t xml:space="preserve">Estudios previos del laboratorio mostraron que el consumo temprano de stevia (decocción al 0,5 % v/v) no produce cambios en la conducta tipo ansiosa de ratas macho juveniles cuando se evalúa a corto plazo, al finalizar la exposición [22, 23]</w:t>
      </w:r>
      <w:r>
        <w:t xml:space="preserve"> </w:t>
      </w:r>
      <w:r>
        <w:rPr>
          <w:bCs/>
          <w:b/>
        </w:rPr>
        <w:t xml:space="preserve">[CONFIRMAR: coautores y revista del manuscrito de Marchena et al.]</w:t>
      </w:r>
      <w:r>
        <w:t xml:space="preserve">. Esto sugiere que la abstinencia de la bebida endulzada con stevia, algunas alteraciones neurobiológicas, o ambas, serían responsables de los cambios a largo plazo en la conducta de tipo ansioso. Lo mismo ocurre con la sacarosa, cuyos efectos sobre la conducta tipo ansiosa evaluados a corto plazo [6, 24] difieren de los descriptos a largo plazo [1]. De manera similar, en ratas macho con acceso a stevia durante la adolescencia y evaluadas al finalizar el consumo, la stevia aumentó la locomoción en el</w:t>
      </w:r>
      <w:r>
        <w:t xml:space="preserve"> </w:t>
      </w:r>
      <w:r>
        <w:rPr>
          <w:iCs/>
          <w:i/>
        </w:rPr>
        <w:t xml:space="preserve">open field</w:t>
      </w:r>
      <w:r>
        <w:t xml:space="preserve"> </w:t>
      </w:r>
      <w:r>
        <w:t xml:space="preserve">[25], mientras que en este trabajo, a largo plazo, no modificó la distancia total recorrida y aumentó la exploración de las zonas centrales. Por otra parte, resultados previos del laboratorio demostraron que la exposición temprana al mismo extracto acuoso en ratas hembra juveniles disminuye las conductas de tipo ansioso en el laberinto en cruz elevado [3]. Estos hallazgos sugieren la existencia de diferencias sexuales en la respuesta conductual al extracto. En este contexto, sería de interés investigar si los efectos ansiolíticos observados en las hembras persisten a largo plazo y si la edad de exposición influye en su magnitud y persistencia.</w:t>
      </w:r>
    </w:p>
    <w:p>
      <w:pPr>
        <w:pStyle w:val="BodyText"/>
      </w:pPr>
      <w:r>
        <w:t xml:space="preserve">Estos resultados están en línea con los que demuestran efectos ansiolíticos de la stevia en ratas diabéticas [26]. Los animales expuestos a stevia realizaron, además, menos</w:t>
      </w:r>
      <w:r>
        <w:t xml:space="preserve"> </w:t>
      </w:r>
      <w:r>
        <w:rPr>
          <w:iCs/>
          <w:i/>
        </w:rPr>
        <w:t xml:space="preserve">rearing</w:t>
      </w:r>
      <w:r>
        <w:t xml:space="preserve"> </w:t>
      </w:r>
      <w:r>
        <w:t xml:space="preserve">(los juveniles respecto del control y los adultos en el tiempo dedicado), una conducta exploratoria vertical asociada a la novedad y al hipocampo [8]; sin embargo, este cambio no se acompañó de una menor exploración de la arena, sino de una mayor exploración del centro. En conjunto, estos resultados indican que la stevia no reproduce el perfil ansioso de la sacarosa a largo plazo y que, por el contrario, se asocia con una mayor exploración de los espacios abiertos.</w:t>
      </w:r>
    </w:p>
    <w:bookmarkEnd w:id="85"/>
    <w:bookmarkStart w:id="86" w:name="memoria-de-reconocimiento-de-objetos"/>
    <w:p>
      <w:pPr>
        <w:pStyle w:val="Heading2"/>
      </w:pPr>
      <w:r>
        <w:t xml:space="preserve">6.4 Memoria de reconocimiento de objetos</w:t>
      </w:r>
    </w:p>
    <w:p>
      <w:pPr>
        <w:pStyle w:val="FirstParagraph"/>
      </w:pPr>
      <w:r>
        <w:t xml:space="preserve">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descripto previamente [2].</w:t>
      </w:r>
    </w:p>
    <w:p>
      <w:pPr>
        <w:pStyle w:val="BodyText"/>
      </w:pPr>
      <w:r>
        <w:t xml:space="preserve">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pPr>
        <w:pStyle w:val="BodyText"/>
      </w:pPr>
      <w:r>
        <w:t xml:space="preserve">De manera similar a lo observado en el</w:t>
      </w:r>
      <w:r>
        <w:t xml:space="preserve"> </w:t>
      </w:r>
      <w:r>
        <w:rPr>
          <w:iCs/>
          <w:i/>
        </w:rPr>
        <w:t xml:space="preserve">open field</w:t>
      </w:r>
      <w:r>
        <w:t xml:space="preserve">, estudios previos del laboratorio indican que el consumo agudo de stevia durante la etapa juvenil no produce alteraciones en la memoria de localización de objetos (prueba NOL), una memoria dependiente del hipocampo [22, 23]. Además, estos animales presentaron modificaciones en la expresión de calretinina (CR), un marcador de determinadas poblaciones de interneuronas GABAérgicas, en la corteza prefrontal medial [23]. Las interneuronas que expresan parvalbúmina (PV) y CR son importantes reguladoras de la actividad de los circuitos neuronales y desempeñan funciones relevantes en procesos cognitivos como la memoria y la sincronización de las redes neuronales [27, 28]. En este sentido, estudios previos demostraron que la disminución de la expresión de PV en el hipocampo y en la corteza prefrontal tras el consumo de sacarosa se asocia con alteraciones de la memoria y de las conductas de tipo ansioso [1, 29–31].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pPr>
        <w:pStyle w:val="BodyText"/>
      </w:pPr>
      <w:r>
        <w:t xml:space="preserve">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[32]. En cambio, Tsan et al., que administraron edulcorantes de bajas calorías (acesulfamo de potasio, sacarina o stevia) desde la etapa juvenil y evaluaron la memoria dependiente del hipocampo durante el período de consumo, describieron un deterioro al analizar los tres edulcorantes en conjunto, pero no al analizar la stevia por separado [33]. A largo plazo, solo se describió que el consumo materno de stevia durante la gestación y la lactancia se asocia con un peor desempeño de memoria en la descendencia macho adulta [34]. Este trabajo aporta, por lo tanto, evidencia de que el consumo de stevia en la etapa juvenil o en la adultez produce alteraciones de la memoria de reconocimiento que persisten después de finalizado el consumo, aunque más limitadas que las de la sacarosa.</w:t>
      </w:r>
    </w:p>
    <w:p>
      <w:pPr>
        <w:pStyle w:val="BodyText"/>
      </w:pPr>
      <w:r>
        <w:t xml:space="preserve">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[35], y los glucósidos de esteviol presentan actividad antioxidante [36], revirtieron el deterioro de la memoria inducido por escopolamina [37] y modularon la plasticidad sináptica hipocampal en un modelo de desorden metabólico [38]. Estas propiedades podrían contribuir a que la stevia no produjera un deterioro sostenido de la memoria de reconocimiento.</w:t>
      </w:r>
    </w:p>
    <w:bookmarkEnd w:id="86"/>
    <w:bookmarkStart w:id="87" w:name="Xa69d358d6a5b9d31515259c5445516064b70d4b"/>
    <w:p>
      <w:pPr>
        <w:pStyle w:val="Heading2"/>
      </w:pPr>
      <w:r>
        <w:t xml:space="preserve">6.5 Separación de patrones espaciales y neurogénesis</w:t>
      </w:r>
    </w:p>
    <w:p>
      <w:pPr>
        <w:pStyle w:val="FirstParagraph"/>
      </w:pPr>
      <w:r>
        <w:t xml:space="preserve">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[11]. También concuerda con la alteración selectiva de la memoria de lugar descripta tras una exposición breve a azúcar [39, 40] y con el deterioro de la separación de patrones asociado a una menor neurogénesis tras una alteración nutricional temprana [9]. Que en los adultos el déficit apareciera solo en la configuración más exigente sugiere que la exposición adulta a sacarosa compromete específicamente la separación de patrones, mientras que la exposición juvenil produce una alteración más amplia de la memoria espacial.</w:t>
      </w:r>
    </w:p>
    <w:p>
      <w:pPr>
        <w:pStyle w:val="BodyText"/>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edulcorantes; sin embargo, como los animales expuestos a sacarosa exploraron más, y no menos, que los controles, el déficit de discriminación de la sacarosa no se explica por una exploración insuficiente durante la codificación.</w:t>
      </w:r>
    </w:p>
    <w:p>
      <w:pPr>
        <w:pStyle w:val="BodyText"/>
      </w:pPr>
      <w:r>
        <w:t xml:space="preserve">En concordancia con los resultados de la SLR, los animales expuestos a sacarosa presentaron alteraciones en el proceso de neurogénesis. La exposición a sacarosa redujo el número de células PCNA</w:t>
      </w:r>
      <w:r>
        <w:rPr>
          <w:vertAlign w:val="superscript"/>
        </w:rPr>
        <w:t xml:space="preserve">+</w:t>
      </w:r>
      <w:r>
        <w:t xml:space="preserve"> </w:t>
      </w:r>
      <w:r>
        <w:t xml:space="preserve">en el giro dentado, con una diferencia significativa en el grupo adulto, y redujo el número de neuroblastos en proliferación (PCNA</w:t>
      </w:r>
      <w:r>
        <w:rPr>
          <w:vertAlign w:val="superscript"/>
        </w:rPr>
        <w:t xml:space="preserve">+</w:t>
      </w:r>
      <w:r>
        <w:t xml:space="preserve">/DCX</w:t>
      </w:r>
      <w:r>
        <w:rPr>
          <w:vertAlign w:val="superscript"/>
        </w:rPr>
        <w:t xml:space="preserve">+</w:t>
      </w:r>
      <w:r>
        <w:t xml:space="preserve">) independientemente de la edad en la que se produjo el consumo, sin modificar el número total de células DCX</w:t>
      </w:r>
      <w:r>
        <w:rPr>
          <w:vertAlign w:val="superscript"/>
        </w:rPr>
        <w:t xml:space="preserve">+</w:t>
      </w:r>
      <w:r>
        <w:t xml:space="preserve"> </w:t>
      </w:r>
      <w:r>
        <w:t xml:space="preserve">(§5.5). Estos resultados indican que la sacarosa afecta la etapa proliferativa del linaje neuronal [41] y que esa alteración persiste 25 días después de finalizado el consumo. Reichelt et al. también encontraron menos células PCNA</w:t>
      </w:r>
      <w:r>
        <w:rPr>
          <w:vertAlign w:val="superscript"/>
        </w:rPr>
        <w:t xml:space="preserve">+</w:t>
      </w:r>
      <w:r>
        <w:t xml:space="preserve"> </w:t>
      </w:r>
      <w:r>
        <w:t xml:space="preserve">en el giro dentado de ratas macho jóvenes con acceso diario a sacarosa al 10 % durante 28 días, aunque las evaluaron mientras aún consumían la solución y encontraron, además, menos células DCX</w:t>
      </w:r>
      <w:r>
        <w:rPr>
          <w:vertAlign w:val="superscript"/>
        </w:rPr>
        <w:t xml:space="preserve">+</w:t>
      </w:r>
      <w:r>
        <w:t xml:space="preserve"> </w:t>
      </w:r>
      <w:r>
        <w:t xml:space="preserve">[11]. En este trabajo, en cambio, el número total de células DCX</w:t>
      </w:r>
      <w:r>
        <w:rPr>
          <w:vertAlign w:val="superscript"/>
        </w:rPr>
        <w:t xml:space="preserve">+</w:t>
      </w:r>
      <w:r>
        <w:t xml:space="preserve"> </w:t>
      </w:r>
      <w:r>
        <w:t xml:space="preserve">no se modificó, como en el trabajo de Xu y Reichelt, en el que la sacarosa sola no modificó la DCX del giro dentado [30]; esto podría indicar que, a largo plazo, la alteración se restringe a la etapa proliferativa. Además, en ratas hembra, el consumo de sacarosa al 25 % durante doce semanas a partir del destete redujo la expresión hipocampal de</w:t>
      </w:r>
      <w:r>
        <w:t xml:space="preserve"> </w:t>
      </w:r>
      <w:r>
        <w:rPr>
          <w:iCs/>
          <w:i/>
        </w:rPr>
        <w:t xml:space="preserve">Neurod1</w:t>
      </w:r>
      <w:r>
        <w:t xml:space="preserve">, un gen vinculado a la diferenciación neuronal [42]. En cambio, Sánchez-Huerta et al. encontraron un aumento de la proliferación en la zona subgranular del giro dentado ventral tras el consumo de sacarosa iniciado en la adolescencia tardía [24], lo que sugiere que el efecto sobre la proliferación depende de la edad de inicio de la exposición.</w:t>
      </w:r>
    </w:p>
    <w:p>
      <w:pPr>
        <w:pStyle w:val="BodyText"/>
      </w:pPr>
      <w:r>
        <w:t xml:space="preserve">La reducción de los neuroblastos en proliferación se observó en ambas edades, al igual que el déficit de la sacarosa en la s-SLR. La separación de patrones depende de la neurogénesis del giro dentado: cuando la neurogénesis disminuye, los animales dejan de discriminar ubicaciones cercanas, que exigen mayor separación de patrones, pero siguen discriminando ubicaciones alejadas [11, 12]. Por eso, Reichelt et al. propusieron que la menor proliferación inducida por la sacarosa subyace al déficit en la s-SLR [11]. El déficit en la s-SLR y la reducción de los neuroblastos en proliferación constituyen, entonces, dos maneras de observar un mismo efecto de la sacarosa: la alteración de la neurogénesis hipocampal. En cambio, no está claro hasta qué punto la memoria de reconocimiento de objetos depende de la neurogénesis; de hecho, los adultos expuestos a sacarosa presentaron menos proliferación sin alteraciones en el NOR, lo que sugiere que esta prueba depende en menor medida de este proceso. La cuantificación de estos marcadores en los animales expuestos a stevia permitirá determinar si la preservación de la separación de patrones observada en esos grupos se acompaña de una neurogénesis conservada.</w:t>
      </w:r>
    </w:p>
    <w:bookmarkEnd w:id="87"/>
    <w:bookmarkStart w:id="88" w:name="análisis-multivariado"/>
    <w:p>
      <w:pPr>
        <w:pStyle w:val="Heading2"/>
      </w:pPr>
      <w:r>
        <w:t xml:space="preserve">6.6 Análisis multivariado</w:t>
      </w:r>
    </w:p>
    <w:p>
      <w:pPr>
        <w:pStyle w:val="FirstParagraph"/>
      </w:pPr>
      <w:r>
        <w:t xml:space="preserve">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Cs/>
          <w:i/>
        </w:rPr>
        <w:t xml:space="preserve">open field</w:t>
      </w:r>
      <w:r>
        <w:t xml:space="preserve"> </w:t>
      </w:r>
      <w:r>
        <w:t xml:space="preserve">(§6.3).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[43, 44].</w:t>
      </w:r>
    </w:p>
    <w:bookmarkEnd w:id="88"/>
    <w:bookmarkStart w:id="89" w:name="ventana-etaria"/>
    <w:p>
      <w:pPr>
        <w:pStyle w:val="Heading2"/>
      </w:pPr>
      <w:r>
        <w:t xml:space="preserve">6.7 Ventana etaria</w:t>
      </w:r>
    </w:p>
    <w:p>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w:t>
      </w:r>
      <w:r>
        <w:t xml:space="preserve"> </w:t>
      </w:r>
      <w:r>
        <w:rPr>
          <w:iCs/>
          <w:i/>
        </w:rPr>
        <w:t xml:space="preserve">open field</w:t>
      </w:r>
      <w:r>
        <w:t xml:space="preserve">, solo la exposición juvenil a sacarosa aumentó la conducta tipo ansiosa; y en la SLR, la exposición juvenil a sacarosa afectó ambas configuraciones, mientras que la adulta afectó solo la más exigente.</w:t>
      </w:r>
    </w:p>
    <w:p>
      <w:pPr>
        <w:pStyle w:val="BodyText"/>
      </w:pPr>
      <w:r>
        <w:t xml:space="preserve">En conjunto, estos resultados sugieren que la etapa juvenil constituye una ventana de especial vulnerabilidad frente a los efectos del consumo de endulzantes. Este período se caracteriza por 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bookmarkEnd w:id="89"/>
    <w:bookmarkStart w:id="90" w:name="en-resumen"/>
    <w:p>
      <w:pPr>
        <w:pStyle w:val="Heading2"/>
      </w:pPr>
      <w:r>
        <w:t xml:space="preserve">6.8 En resumen</w:t>
      </w:r>
    </w:p>
    <w:p>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giro dentado.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pPr>
        <w:pStyle w:val="BodyText"/>
      </w:pPr>
      <w:r>
        <w:t xml:space="preserve">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reconocimiento, observadas tanto en animales juveniles como adultos. Si bien estos efectos fueron de menor magnitud que los asociados al consumo de sacarosa, su presencia en ambas etapas de la vida, sumada a los efectos sobre la fertilidad descriptos en ratas hembra [3], pone de manifiesto que la stevia no está exenta de efectos. En este sentido, resulta fundamental continuar investigando sus posibles consecuencias neurobiológicas y cognitivas a largo plazo, así como profundizar en la evaluación de la seguridad de su consumo en las distintas etapas de la vida.</w:t>
      </w:r>
    </w:p>
    <w:bookmarkEnd w:id="90"/>
    <w:bookmarkEnd w:id="91"/>
    <w:bookmarkStart w:id="92" w:name="referencias-bibliográficas"/>
    <w:p>
      <w:pPr>
        <w:pStyle w:val="Heading1"/>
      </w:pPr>
      <w:r>
        <w:t xml:space="preserve">Referencias bibliográficas</w:t>
      </w:r>
    </w:p>
    <w:p>
      <w:pPr>
        <w:pStyle w:val="FirstParagraph"/>
        <w:spacing w:after="80"/>
        <w:jc w:val="left"/>
      </w:pPr>
      <w:r>
        <w:rPr>
          <w:sz w:val="19"/>
        </w:rPr>
        <w:t xml:space="preserve">[1] M. S. Kruse et al.,</w:t>
      </w:r>
      <w:r>
        <w:rPr>
          <w:sz w:val="19"/>
        </w:rPr>
        <w:t xml:space="preserve"> </w:t>
      </w:r>
      <w:r>
        <w:rPr>
          <w:sz w:val="19"/>
        </w:rPr>
        <w:t xml:space="preserve">“</w:t>
      </w:r>
      <w:r>
        <w:rPr>
          <w:sz w:val="19"/>
        </w:rPr>
        <w:t xml:space="preserve">Sucrose exposure in juvenile rats produces long-term changes in fear memory and anxiety-like behavior,</w:t>
      </w:r>
      <w:r>
        <w:rPr>
          <w:sz w:val="19"/>
        </w:rPr>
        <w:t xml:space="preserve">”</w:t>
      </w:r>
      <w:r>
        <w:rPr>
          <w:sz w:val="19"/>
        </w:rPr>
        <w:t xml:space="preserve"> </w:t>
      </w:r>
      <w:r>
        <w:rPr>
          <w:sz w:val="19"/>
        </w:rPr>
        <w:t xml:space="preserve">Psychoneuroendocrinology, vol. 104, pp. 300–307, Jun. 2019. doi: 10.1016/j.psyneuen.2019.03.005</w:t>
      </w:r>
    </w:p>
    <w:p>
      <w:pPr>
        <w:pStyle w:val="BodyText"/>
        <w:spacing w:after="80"/>
        <w:jc w:val="left"/>
      </w:pPr>
      <w:r>
        <w:rPr>
          <w:sz w:val="19"/>
        </w:rPr>
        <w:t xml:space="preserve">[2] H. Coirini et al.,</w:t>
      </w:r>
      <w:r>
        <w:rPr>
          <w:sz w:val="19"/>
        </w:rPr>
        <w:t xml:space="preserve"> </w:t>
      </w:r>
      <w:r>
        <w:rPr>
          <w:sz w:val="19"/>
        </w:rPr>
        <w:t xml:space="preserve">“</w:t>
      </w:r>
      <w:r>
        <w:rPr>
          <w:sz w:val="19"/>
        </w:rPr>
        <w:t xml:space="preserve">Long-Term Memory Function Impairments following Sucrose Exposure in Juvenile versus Adult Rats,</w:t>
      </w:r>
      <w:r>
        <w:rPr>
          <w:sz w:val="19"/>
        </w:rPr>
        <w:t xml:space="preserve">”</w:t>
      </w:r>
      <w:r>
        <w:rPr>
          <w:sz w:val="19"/>
        </w:rPr>
        <w:t xml:space="preserve"> </w:t>
      </w:r>
      <w:r>
        <w:rPr>
          <w:sz w:val="19"/>
        </w:rPr>
        <w:t xml:space="preserve">Biomedicines, vol. 10, no. 11, Nov. 2022, Art. no. 2723. doi: 10.3390/biomedicines10112723 [Online]. Available: https://www.mdpi.com/2227-9059/10/11/2723</w:t>
      </w:r>
    </w:p>
    <w:p>
      <w:pPr>
        <w:pStyle w:val="BodyText"/>
        <w:spacing w:after="80"/>
        <w:jc w:val="left"/>
      </w:pPr>
      <w:r>
        <w:rPr>
          <w:sz w:val="19"/>
        </w:rPr>
        <w:t xml:space="preserve">[3] M. S. Kruse, H. Coirini, and M. Rey,</w:t>
      </w:r>
      <w:r>
        <w:rPr>
          <w:sz w:val="19"/>
        </w:rPr>
        <w:t xml:space="preserve"> </w:t>
      </w:r>
      <w:r>
        <w:rPr>
          <w:sz w:val="19"/>
        </w:rPr>
        <w:t xml:space="preserve">“</w:t>
      </w:r>
      <w:r>
        <w:rPr>
          <w:sz w:val="19"/>
        </w:rPr>
        <w:t xml:space="preserve">Early Consumption of Stevia rebaudiana Bertoni on Rat Females: Actions on Their Fertility, Progeny, and Behavior,</w:t>
      </w:r>
      <w:r>
        <w:rPr>
          <w:sz w:val="19"/>
        </w:rPr>
        <w:t xml:space="preserve">”</w:t>
      </w:r>
      <w:r>
        <w:rPr>
          <w:sz w:val="19"/>
        </w:rPr>
        <w:t xml:space="preserve"> </w:t>
      </w:r>
      <w:r>
        <w:rPr>
          <w:sz w:val="19"/>
        </w:rPr>
        <w:t xml:space="preserve">J. Nutr., vol. 155, no. 6, pp. 1839–1850, Jun. 2025. doi: 10.1016/j.tjnut.2025.04.023 [Online]. Available: https://www.sciencedirect.com/science/article/abs/pii/S0022316625002688</w:t>
      </w:r>
    </w:p>
    <w:p>
      <w:pPr>
        <w:pStyle w:val="BodyText"/>
        <w:spacing w:after="80"/>
        <w:jc w:val="left"/>
      </w:pPr>
      <w:r>
        <w:rPr>
          <w:sz w:val="19"/>
        </w:rPr>
        <w:t xml:space="preserve">[4] M. R. Sharma, R. Mogra, and B. Upadhyay,</w:t>
      </w:r>
      <w:r>
        <w:rPr>
          <w:sz w:val="19"/>
        </w:rPr>
        <w:t xml:space="preserve"> </w:t>
      </w:r>
      <w:r>
        <w:rPr>
          <w:sz w:val="19"/>
        </w:rPr>
        <w:t xml:space="preserve">“</w:t>
      </w:r>
      <w:r>
        <w:rPr>
          <w:sz w:val="19"/>
        </w:rPr>
        <w:t xml:space="preserve">Effect of Stevia Extract Intervention on Lipid Profile,</w:t>
      </w:r>
      <w:r>
        <w:rPr>
          <w:sz w:val="19"/>
        </w:rPr>
        <w:t xml:space="preserve">”</w:t>
      </w:r>
      <w:r>
        <w:rPr>
          <w:sz w:val="19"/>
        </w:rPr>
        <w:t xml:space="preserve"> </w:t>
      </w:r>
      <w:r>
        <w:rPr>
          <w:sz w:val="19"/>
        </w:rPr>
        <w:t xml:space="preserve">Stud. Ethno-Med., vol. 3, no. 2, pp. 137–140, 2009. doi: 10.1080/09735070.2009.11886351</w:t>
      </w:r>
    </w:p>
    <w:p>
      <w:pPr>
        <w:pStyle w:val="BodyText"/>
        <w:spacing w:after="80"/>
        <w:jc w:val="left"/>
      </w:pPr>
      <w:r>
        <w:rPr>
          <w:sz w:val="19"/>
        </w:rPr>
        <w:t xml:space="preserve">[5] L. Celaya, P. Martina, and N. Kolb-Koslobsky,</w:t>
      </w:r>
      <w:r>
        <w:rPr>
          <w:sz w:val="19"/>
        </w:rPr>
        <w:t xml:space="preserve"> </w:t>
      </w:r>
      <w:r>
        <w:rPr>
          <w:sz w:val="19"/>
        </w:rPr>
        <w:t xml:space="preserve">“</w:t>
      </w:r>
      <w:r>
        <w:rPr>
          <w:sz w:val="19"/>
        </w:rPr>
        <w:t xml:space="preserve">Infusions prepared with Stevia rebaudiana: application of a simplex centroid mixture design for the study of natural sweeteners and phenolic compounds,</w:t>
      </w:r>
      <w:r>
        <w:rPr>
          <w:sz w:val="19"/>
        </w:rPr>
        <w:t xml:space="preserve">”</w:t>
      </w:r>
      <w:r>
        <w:rPr>
          <w:sz w:val="19"/>
        </w:rPr>
        <w:t xml:space="preserve"> </w:t>
      </w:r>
      <w:r>
        <w:rPr>
          <w:sz w:val="19"/>
        </w:rPr>
        <w:t xml:space="preserve">J. Food Sci. Technol., vol. 59, no. 1, pp. 55–64, 2022. doi: 10.1007/s13197-021-04979-9</w:t>
      </w:r>
    </w:p>
    <w:p>
      <w:pPr>
        <w:pStyle w:val="BodyText"/>
        <w:spacing w:after="80"/>
        <w:jc w:val="left"/>
      </w:pPr>
      <w:r>
        <w:rPr>
          <w:sz w:val="19"/>
        </w:rPr>
        <w:t xml:space="preserve">[6] M. Rey et al.,</w:t>
      </w:r>
      <w:r>
        <w:rPr>
          <w:sz w:val="19"/>
        </w:rPr>
        <w:t xml:space="preserve"> </w:t>
      </w:r>
      <w:r>
        <w:rPr>
          <w:sz w:val="19"/>
        </w:rPr>
        <w:t xml:space="preserve">“</w:t>
      </w:r>
      <w:r>
        <w:rPr>
          <w:sz w:val="19"/>
        </w:rPr>
        <w:t xml:space="preserve">Effects of metformin on behavioral alterations produced by chronic sucrose consumption in male rats,</w:t>
      </w:r>
      <w:r>
        <w:rPr>
          <w:sz w:val="19"/>
        </w:rPr>
        <w:t xml:space="preserve">”</w:t>
      </w:r>
      <w:r>
        <w:rPr>
          <w:sz w:val="19"/>
        </w:rPr>
        <w:t xml:space="preserve"> </w:t>
      </w:r>
      <w:r>
        <w:rPr>
          <w:sz w:val="19"/>
        </w:rPr>
        <w:t xml:space="preserve">J. Neuroendocrinol., vol. 36, no. 2, Feb. 2024, Art. no. e13362. doi: 10.1111/jne.13362 [Online]. Available: http://www.ncbi.nlm.nih.gov/pubmed/38148478</w:t>
      </w:r>
    </w:p>
    <w:p>
      <w:pPr>
        <w:pStyle w:val="BodyText"/>
        <w:spacing w:after="80"/>
        <w:jc w:val="left"/>
      </w:pPr>
      <w:r>
        <w:rPr>
          <w:sz w:val="19"/>
        </w:rPr>
        <w:t xml:space="preserve">[7] E. Yildiz-Ozturk, A. Nalbantsoy, O. Tag, and O. Yesil-Celiktas,</w:t>
      </w:r>
      <w:r>
        <w:rPr>
          <w:sz w:val="19"/>
        </w:rPr>
        <w:t xml:space="preserve"> </w:t>
      </w:r>
      <w:r>
        <w:rPr>
          <w:sz w:val="19"/>
        </w:rPr>
        <w:t xml:space="preserve">“</w:t>
      </w:r>
      <w:r>
        <w:rPr>
          <w:sz w:val="19"/>
        </w:rPr>
        <w:t xml:space="preserve">A comparative study on extraction processes of Stevia rebaudiana leaves with emphasis on antioxidant, cytotoxic and nitric oxide inhibition activities,</w:t>
      </w:r>
      <w:r>
        <w:rPr>
          <w:sz w:val="19"/>
        </w:rPr>
        <w:t xml:space="preserve">”</w:t>
      </w:r>
      <w:r>
        <w:rPr>
          <w:sz w:val="19"/>
        </w:rPr>
        <w:t xml:space="preserve"> </w:t>
      </w:r>
      <w:r>
        <w:rPr>
          <w:sz w:val="19"/>
        </w:rPr>
        <w:t xml:space="preserve">Ind. Crops Prod., vol. 77, pp. 961–971, 2015. doi: 10.1016/j.indcrop.2015.10.010</w:t>
      </w:r>
    </w:p>
    <w:p>
      <w:pPr>
        <w:pStyle w:val="BodyText"/>
        <w:spacing w:after="80"/>
        <w:jc w:val="left"/>
      </w:pPr>
      <w:r>
        <w:rPr>
          <w:sz w:val="19"/>
        </w:rPr>
        <w:t xml:space="preserve">[8] C. Lever, S. Burton, and J. O’Keefe,</w:t>
      </w:r>
      <w:r>
        <w:rPr>
          <w:sz w:val="19"/>
        </w:rPr>
        <w:t xml:space="preserve"> </w:t>
      </w:r>
      <w:r>
        <w:rPr>
          <w:sz w:val="19"/>
        </w:rPr>
        <w:t xml:space="preserve">“</w:t>
      </w:r>
      <w:r>
        <w:rPr>
          <w:sz w:val="19"/>
        </w:rPr>
        <w:t xml:space="preserve">Rearing on hind legs, environmental novelty, and the hippocampal formation,</w:t>
      </w:r>
      <w:r>
        <w:rPr>
          <w:sz w:val="19"/>
        </w:rPr>
        <w:t xml:space="preserve">”</w:t>
      </w:r>
      <w:r>
        <w:rPr>
          <w:sz w:val="19"/>
        </w:rPr>
        <w:t xml:space="preserve"> </w:t>
      </w:r>
      <w:r>
        <w:rPr>
          <w:sz w:val="19"/>
        </w:rPr>
        <w:t xml:space="preserve">Rev. Neurosci., vol. 17, no. 1–2, 2006. doi: 10.1515/revneuro.2006.17.1-2.111</w:t>
      </w:r>
    </w:p>
    <w:p>
      <w:pPr>
        <w:pStyle w:val="BodyText"/>
        <w:spacing w:after="80"/>
        <w:jc w:val="left"/>
      </w:pPr>
      <w:r>
        <w:rPr>
          <w:sz w:val="19"/>
        </w:rPr>
        <w:t xml:space="preserve">[9] G. Pérez-García, O. Guzmán-Quevedo, R. Da Silva Aragão, and F. Bolaños-Jiménez,</w:t>
      </w:r>
      <w:r>
        <w:rPr>
          <w:sz w:val="19"/>
        </w:rPr>
        <w:t xml:space="preserve"> </w:t>
      </w:r>
      <w:r>
        <w:rPr>
          <w:sz w:val="19"/>
        </w:rPr>
        <w:t xml:space="preserve">“</w:t>
      </w:r>
      <w:r>
        <w:rPr>
          <w:sz w:val="19"/>
        </w:rPr>
        <w:t xml:space="preserve">Early malnutrition results in long-lasting impairments in pattern-separation for overlapping novel object and novel location memories and reduced hippocampal neurogenesis,</w:t>
      </w:r>
      <w:r>
        <w:rPr>
          <w:sz w:val="19"/>
        </w:rPr>
        <w:t xml:space="preserve">”</w:t>
      </w:r>
      <w:r>
        <w:rPr>
          <w:sz w:val="19"/>
        </w:rPr>
        <w:t xml:space="preserve"> </w:t>
      </w:r>
      <w:r>
        <w:rPr>
          <w:sz w:val="19"/>
        </w:rPr>
        <w:t xml:space="preserve">Sci. Rep., vol. 6, Feb. 2016, Art. no. 21275. doi: 10.1038/srep21275 [Online]. Available: https://pubmed.ncbi.nlm.nih.gov/26882991/</w:t>
      </w:r>
    </w:p>
    <w:p>
      <w:pPr>
        <w:pStyle w:val="BodyText"/>
        <w:spacing w:after="80"/>
        <w:jc w:val="left"/>
      </w:pPr>
      <w:r>
        <w:rPr>
          <w:sz w:val="19"/>
        </w:rPr>
        <w:t xml:space="preserve">[10] M. Leger et al.,</w:t>
      </w:r>
      <w:r>
        <w:rPr>
          <w:sz w:val="19"/>
        </w:rPr>
        <w:t xml:space="preserve"> </w:t>
      </w:r>
      <w:r>
        <w:rPr>
          <w:sz w:val="19"/>
        </w:rPr>
        <w:t xml:space="preserve">“</w:t>
      </w:r>
      <w:r>
        <w:rPr>
          <w:sz w:val="19"/>
        </w:rPr>
        <w:t xml:space="preserve">Object recognition test in mice,</w:t>
      </w:r>
      <w:r>
        <w:rPr>
          <w:sz w:val="19"/>
        </w:rPr>
        <w:t xml:space="preserve">”</w:t>
      </w:r>
      <w:r>
        <w:rPr>
          <w:sz w:val="19"/>
        </w:rPr>
        <w:t xml:space="preserve"> </w:t>
      </w:r>
      <w:r>
        <w:rPr>
          <w:sz w:val="19"/>
        </w:rPr>
        <w:t xml:space="preserve">Nat. Protoc., vol. 8, no. 12, pp. 2531–2537, Dec. 2013. doi: 10.1038/nprot.2013.155 [Online]. Available: http://www.ncbi.nlm.nih.gov/pubmed/24263092</w:t>
      </w:r>
    </w:p>
    <w:p>
      <w:pPr>
        <w:pStyle w:val="BodyText"/>
        <w:spacing w:after="80"/>
        <w:jc w:val="left"/>
      </w:pPr>
      <w:r>
        <w:rPr>
          <w:sz w:val="19"/>
        </w:rPr>
        <w:t xml:space="preserve">[11] A. C. Reichelt, M. J. Morris, and R. F. Westbrook,</w:t>
      </w:r>
      <w:r>
        <w:rPr>
          <w:sz w:val="19"/>
        </w:rPr>
        <w:t xml:space="preserve"> </w:t>
      </w:r>
      <w:r>
        <w:rPr>
          <w:sz w:val="19"/>
        </w:rPr>
        <w:t xml:space="preserve">“</w:t>
      </w:r>
      <w:r>
        <w:rPr>
          <w:sz w:val="19"/>
        </w:rPr>
        <w:t xml:space="preserve">Daily access to sucrose impairs aspects of spatial memory tasks reliant on pattern separation and neural proliferation in rats,</w:t>
      </w:r>
      <w:r>
        <w:rPr>
          <w:sz w:val="19"/>
        </w:rPr>
        <w:t xml:space="preserve">”</w:t>
      </w:r>
      <w:r>
        <w:rPr>
          <w:sz w:val="19"/>
        </w:rPr>
        <w:t xml:space="preserve"> </w:t>
      </w:r>
      <w:r>
        <w:rPr>
          <w:sz w:val="19"/>
        </w:rPr>
        <w:t xml:space="preserve">Learn. Mem., vol. 23, no. 7, pp. 386–390, Jul. 2016. doi: 10.1101/lm.042416.116 [Online]. Available: http://www.ncbi.nlm.nih.gov/pubmed/27317199</w:t>
      </w:r>
    </w:p>
    <w:p>
      <w:pPr>
        <w:pStyle w:val="BodyText"/>
        <w:spacing w:after="80"/>
        <w:jc w:val="left"/>
      </w:pPr>
      <w:r>
        <w:rPr>
          <w:sz w:val="19"/>
        </w:rPr>
        <w:t xml:space="preserve">[12] A. C. Reichelt et al.,</w:t>
      </w:r>
      <w:r>
        <w:rPr>
          <w:sz w:val="19"/>
        </w:rPr>
        <w:t xml:space="preserve"> </w:t>
      </w:r>
      <w:r>
        <w:rPr>
          <w:sz w:val="19"/>
        </w:rPr>
        <w:t xml:space="preserve">“</w:t>
      </w:r>
      <w:r>
        <w:rPr>
          <w:sz w:val="19"/>
        </w:rPr>
        <w:t xml:space="preserve">The spontaneous location recognition task for assessing spatial pattern separation and memory across a delay in rats and mice,</w:t>
      </w:r>
      <w:r>
        <w:rPr>
          <w:sz w:val="19"/>
        </w:rPr>
        <w:t xml:space="preserve">”</w:t>
      </w:r>
      <w:r>
        <w:rPr>
          <w:sz w:val="19"/>
        </w:rPr>
        <w:t xml:space="preserve"> </w:t>
      </w:r>
      <w:r>
        <w:rPr>
          <w:sz w:val="19"/>
        </w:rPr>
        <w:t xml:space="preserve">Nat. Protoc., vol. 16, no. 12, pp. 5616–5633, Dec. 2021. doi: 10.1038/s41596-021-00627-w [Online]. Available: https://www.nature.com/articles/s41596-021-00627-w</w:t>
      </w:r>
    </w:p>
    <w:p>
      <w:pPr>
        <w:pStyle w:val="BodyText"/>
        <w:spacing w:after="80"/>
        <w:jc w:val="left"/>
      </w:pPr>
      <w:r>
        <w:rPr>
          <w:sz w:val="19"/>
        </w:rPr>
        <w:t xml:space="preserve">[13] M. S. Kruse, M. Rey, M. C. Vega, and H. Coirini,</w:t>
      </w:r>
      <w:r>
        <w:rPr>
          <w:sz w:val="19"/>
        </w:rPr>
        <w:t xml:space="preserve"> </w:t>
      </w:r>
      <w:r>
        <w:rPr>
          <w:sz w:val="19"/>
        </w:rPr>
        <w:t xml:space="preserve">“</w:t>
      </w:r>
      <w:r>
        <w:rPr>
          <w:sz w:val="19"/>
        </w:rPr>
        <w:t xml:space="preserve">Alterations of LXR𝛼and LXR𝛽expression in the hypothalamus of glucose-intolerant rats,</w:t>
      </w:r>
      <w:r>
        <w:rPr>
          <w:sz w:val="19"/>
        </w:rPr>
        <w:t xml:space="preserve">”</w:t>
      </w:r>
      <w:r>
        <w:rPr>
          <w:sz w:val="19"/>
        </w:rPr>
        <w:t xml:space="preserve"> </w:t>
      </w:r>
      <w:r>
        <w:rPr>
          <w:sz w:val="19"/>
        </w:rPr>
        <w:t xml:space="preserve">J. Endocrinol., vol. 215, no. 1, pp. 51–58, Oct. 2012. doi: 10.1530/JOE-12-0088 [Online]. Available: https://pubmed.ncbi.nlm.nih.gov/22836489/</w:t>
      </w:r>
    </w:p>
    <w:p>
      <w:pPr>
        <w:pStyle w:val="BodyText"/>
        <w:spacing w:after="80"/>
        <w:jc w:val="left"/>
      </w:pPr>
      <w:r>
        <w:rPr>
          <w:sz w:val="19"/>
        </w:rPr>
        <w:t xml:space="preserve">[14] G. Paxinos and C. Watson, The Rat Brain in Stereotaxic Coordinates, 2nd. Sydney, Australia: Academic Press, 1986.</w:t>
      </w:r>
    </w:p>
    <w:p>
      <w:pPr>
        <w:pStyle w:val="BodyText"/>
        <w:spacing w:after="80"/>
        <w:jc w:val="left"/>
      </w:pPr>
      <w:r>
        <w:rPr>
          <w:sz w:val="19"/>
        </w:rPr>
        <w:t xml:space="preserve">[15] J. Charan and N. D. Kantharia,</w:t>
      </w:r>
      <w:r>
        <w:rPr>
          <w:sz w:val="19"/>
        </w:rPr>
        <w:t xml:space="preserve"> </w:t>
      </w:r>
      <w:r>
        <w:rPr>
          <w:sz w:val="19"/>
        </w:rPr>
        <w:t xml:space="preserve">“</w:t>
      </w:r>
      <w:r>
        <w:rPr>
          <w:sz w:val="19"/>
        </w:rPr>
        <w:t xml:space="preserve">How to calculate sample size in animal studies?,</w:t>
      </w:r>
      <w:r>
        <w:rPr>
          <w:sz w:val="19"/>
        </w:rPr>
        <w:t xml:space="preserve">”</w:t>
      </w:r>
      <w:r>
        <w:rPr>
          <w:sz w:val="19"/>
        </w:rPr>
        <w:t xml:space="preserve"> </w:t>
      </w:r>
      <w:r>
        <w:rPr>
          <w:sz w:val="19"/>
        </w:rPr>
        <w:t xml:space="preserve">J. Pharmacol. Pharmacother., vol. 4, no. 4, pp. 303–306, Oct. 2013. doi: 10.4103/0976-500X.119726 [Online]. Available: http://www.ncbi.nlm.nih.gov/pubmed/24250214</w:t>
      </w:r>
    </w:p>
    <w:p>
      <w:pPr>
        <w:pStyle w:val="BodyText"/>
        <w:spacing w:after="80"/>
        <w:jc w:val="left"/>
      </w:pPr>
      <w:r>
        <w:rPr>
          <w:sz w:val="19"/>
        </w:rPr>
        <w:t xml:space="preserve">[16] I. T. Jolliffe and J. Cadima,</w:t>
      </w:r>
      <w:r>
        <w:rPr>
          <w:sz w:val="19"/>
        </w:rPr>
        <w:t xml:space="preserve"> </w:t>
      </w:r>
      <w:r>
        <w:rPr>
          <w:sz w:val="19"/>
        </w:rPr>
        <w:t xml:space="preserve">“</w:t>
      </w:r>
      <w:r>
        <w:rPr>
          <w:sz w:val="19"/>
        </w:rPr>
        <w:t xml:space="preserve">Principal component analysis: a review and recent developments,</w:t>
      </w:r>
      <w:r>
        <w:rPr>
          <w:sz w:val="19"/>
        </w:rPr>
        <w:t xml:space="preserve">”</w:t>
      </w:r>
      <w:r>
        <w:rPr>
          <w:sz w:val="19"/>
        </w:rPr>
        <w:t xml:space="preserve"> </w:t>
      </w:r>
      <w:r>
        <w:rPr>
          <w:sz w:val="19"/>
        </w:rPr>
        <w:t xml:space="preserve">Philos. Trans. R. Soc. A, vol. 374, no. 2065, Apr. 2016, Art. no. 20150202. doi: 10.1098/rsta.2015.0202 [Online]. Available: https://royalsocietypublishing.org/doi/10.1098/rsta.2015.0202</w:t>
      </w:r>
    </w:p>
    <w:p>
      <w:pPr>
        <w:pStyle w:val="BodyText"/>
        <w:spacing w:after="80"/>
        <w:jc w:val="left"/>
      </w:pPr>
      <w:r>
        <w:rPr>
          <w:sz w:val="19"/>
        </w:rPr>
        <w:t xml:space="preserve">[17] J. H. Ward Jr.,</w:t>
      </w:r>
      <w:r>
        <w:rPr>
          <w:sz w:val="19"/>
        </w:rPr>
        <w:t xml:space="preserve"> </w:t>
      </w:r>
      <w:r>
        <w:rPr>
          <w:sz w:val="19"/>
        </w:rPr>
        <w:t xml:space="preserve">“</w:t>
      </w:r>
      <w:r>
        <w:rPr>
          <w:sz w:val="19"/>
        </w:rPr>
        <w:t xml:space="preserve">Hierarchical grouping to optimize an objective function,</w:t>
      </w:r>
      <w:r>
        <w:rPr>
          <w:sz w:val="19"/>
        </w:rPr>
        <w:t xml:space="preserve">”</w:t>
      </w:r>
      <w:r>
        <w:rPr>
          <w:sz w:val="19"/>
        </w:rPr>
        <w:t xml:space="preserve"> </w:t>
      </w:r>
      <w:r>
        <w:rPr>
          <w:sz w:val="19"/>
        </w:rPr>
        <w:t xml:space="preserve">J. Amer. Statist. Assoc., vol. 58, no. 301, pp. 236–244, Mar. 1963. doi: 10.1080/01621459.1963.10500845 [Online]. Available: https://www.tandfonline.com/doi/abs/10.1080/01621459.1963.10500845</w:t>
      </w:r>
    </w:p>
    <w:p>
      <w:pPr>
        <w:pStyle w:val="BodyText"/>
        <w:spacing w:after="80"/>
        <w:jc w:val="left"/>
      </w:pPr>
      <w:r>
        <w:rPr>
          <w:sz w:val="19"/>
        </w:rPr>
        <w:t xml:space="preserve">[18] L. Breiman,</w:t>
      </w:r>
      <w:r>
        <w:rPr>
          <w:sz w:val="19"/>
        </w:rPr>
        <w:t xml:space="preserve"> </w:t>
      </w:r>
      <w:r>
        <w:rPr>
          <w:sz w:val="19"/>
        </w:rPr>
        <w:t xml:space="preserve">“</w:t>
      </w:r>
      <w:r>
        <w:rPr>
          <w:sz w:val="19"/>
        </w:rPr>
        <w:t xml:space="preserve">Random forests,</w:t>
      </w:r>
      <w:r>
        <w:rPr>
          <w:sz w:val="19"/>
        </w:rPr>
        <w:t xml:space="preserve">”</w:t>
      </w:r>
      <w:r>
        <w:rPr>
          <w:sz w:val="19"/>
        </w:rPr>
        <w:t xml:space="preserve"> </w:t>
      </w:r>
      <w:r>
        <w:rPr>
          <w:sz w:val="19"/>
        </w:rPr>
        <w:t xml:space="preserve">Mach. Learn., vol. 45, no. 1, pp. 5–32, Oct. 2001. doi: 10.1023/A:1010933404324 [Online]. Available: https://link.springer.com/article/10.1023/A:1010933404324</w:t>
      </w:r>
    </w:p>
    <w:p>
      <w:pPr>
        <w:pStyle w:val="BodyText"/>
        <w:spacing w:after="80"/>
        <w:jc w:val="left"/>
      </w:pPr>
      <w:r>
        <w:rPr>
          <w:sz w:val="19"/>
        </w:rPr>
        <w:t xml:space="preserve">[19] EFSA Panel on Food Additives and Nutrient Sources added to Food (ANS),</w:t>
      </w:r>
      <w:r>
        <w:rPr>
          <w:sz w:val="19"/>
        </w:rPr>
        <w:t xml:space="preserve"> </w:t>
      </w:r>
      <w:r>
        <w:rPr>
          <w:sz w:val="19"/>
        </w:rPr>
        <w:t xml:space="preserve">“</w:t>
      </w:r>
      <w:r>
        <w:rPr>
          <w:sz w:val="19"/>
        </w:rPr>
        <w:t xml:space="preserve">Scientific opinion on the safety of steviol glycosides for the proposed uses as a food additive,</w:t>
      </w:r>
      <w:r>
        <w:rPr>
          <w:sz w:val="19"/>
        </w:rPr>
        <w:t xml:space="preserve">”</w:t>
      </w:r>
      <w:r>
        <w:rPr>
          <w:sz w:val="19"/>
        </w:rPr>
        <w:t xml:space="preserve"> </w:t>
      </w:r>
      <w:r>
        <w:rPr>
          <w:sz w:val="19"/>
        </w:rPr>
        <w:t xml:space="preserve">EFSA J., vol. 8, no. 4, 2010, Art. no. 1537. doi: 10.2903/j.efsa.2010.1537</w:t>
      </w:r>
    </w:p>
    <w:p>
      <w:pPr>
        <w:pStyle w:val="BodyText"/>
        <w:spacing w:after="80"/>
        <w:jc w:val="left"/>
      </w:pPr>
      <w:r>
        <w:rPr>
          <w:sz w:val="19"/>
        </w:rPr>
        <w:t xml:space="preserve">[20] A. G. Yunker, R. Patel, and K. A. Page,</w:t>
      </w:r>
      <w:r>
        <w:rPr>
          <w:sz w:val="19"/>
        </w:rPr>
        <w:t xml:space="preserve"> </w:t>
      </w:r>
      <w:r>
        <w:rPr>
          <w:sz w:val="19"/>
        </w:rPr>
        <w:t xml:space="preserve">“</w:t>
      </w:r>
      <w:r>
        <w:rPr>
          <w:sz w:val="19"/>
        </w:rPr>
        <w:t xml:space="preserve">Effects of non-nutritive sweeteners on sweet taste processing and neuroendocrine regulation of eating behavior,</w:t>
      </w:r>
      <w:r>
        <w:rPr>
          <w:sz w:val="19"/>
        </w:rPr>
        <w:t xml:space="preserve">”</w:t>
      </w:r>
      <w:r>
        <w:rPr>
          <w:sz w:val="19"/>
        </w:rPr>
        <w:t xml:space="preserve"> </w:t>
      </w:r>
      <w:r>
        <w:rPr>
          <w:sz w:val="19"/>
        </w:rPr>
        <w:t xml:space="preserve">Curr. Nutr. Rep., vol. 9, no. 3, pp. 278–289, Sep. 2020. doi: 10.1007/s13668-020-00323-3 [Online]. Available: https://pubmed.ncbi.nlm.nih.gov/32588329/</w:t>
      </w:r>
    </w:p>
    <w:p>
      <w:pPr>
        <w:pStyle w:val="BodyText"/>
        <w:spacing w:after="80"/>
        <w:jc w:val="left"/>
      </w:pPr>
      <w:r>
        <w:rPr>
          <w:sz w:val="19"/>
        </w:rPr>
        <w:t xml:space="preserve">[21] I. D. Salinas-Velarde et al.,</w:t>
      </w:r>
      <w:r>
        <w:rPr>
          <w:sz w:val="19"/>
        </w:rPr>
        <w:t xml:space="preserve"> </w:t>
      </w:r>
      <w:r>
        <w:rPr>
          <w:sz w:val="19"/>
        </w:rPr>
        <w:t xml:space="preserve">“</w:t>
      </w:r>
      <w:r>
        <w:rPr>
          <w:sz w:val="19"/>
        </w:rPr>
        <w:t xml:space="preserve">Lower ΔFosB expression in the dopaminergic system after stevia consumption in rats housed under environmental enrichment conditions,</w:t>
      </w:r>
      <w:r>
        <w:rPr>
          <w:sz w:val="19"/>
        </w:rPr>
        <w:t xml:space="preserve">”</w:t>
      </w:r>
      <w:r>
        <w:rPr>
          <w:sz w:val="19"/>
        </w:rPr>
        <w:t xml:space="preserve"> </w:t>
      </w:r>
      <w:r>
        <w:rPr>
          <w:sz w:val="19"/>
        </w:rPr>
        <w:t xml:space="preserve">Brain Res. Bull., vol. 177, pp. 172–180, 2021. doi: 10.1016/j.brainresbull.2021.10.001</w:t>
      </w:r>
    </w:p>
    <w:p>
      <w:pPr>
        <w:pStyle w:val="BodyText"/>
        <w:spacing w:after="80"/>
        <w:jc w:val="left"/>
      </w:pPr>
      <w:r>
        <w:rPr>
          <w:sz w:val="19"/>
        </w:rPr>
        <w:t xml:space="preserve">[22] H. Coirini, M. Rey, A. Marchena, P. Lence,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Medicina (B. Aires), vol. 83, no. Supl. V, p. 148, 2023, Resumen 182, Reunión Conjunta SAIC SAB AAFE AACYTAL 2023, Mar del Plata, Argentina.</w:t>
      </w:r>
    </w:p>
    <w:p>
      <w:pPr>
        <w:pStyle w:val="BodyText"/>
        <w:spacing w:after="80"/>
        <w:jc w:val="left"/>
      </w:pPr>
      <w:r>
        <w:rPr>
          <w:sz w:val="19"/>
        </w:rPr>
        <w:t xml:space="preserve">[23] A. Marchena et al.,</w:t>
      </w:r>
      <w:r>
        <w:rPr>
          <w:sz w:val="19"/>
        </w:rPr>
        <w:t xml:space="preserve"> </w:t>
      </w:r>
      <w:r>
        <w:rPr>
          <w:sz w:val="19"/>
        </w:rPr>
        <w:t xml:space="preserve">“</w:t>
      </w:r>
      <w:r>
        <w:rPr>
          <w:sz w:val="19"/>
        </w:rPr>
        <w:t xml:space="preserve">Early-life stevia and sucrose consumption differentially affect metabolic homeostasis and neurobiological outcomes in rats,</w:t>
      </w:r>
      <w:r>
        <w:rPr>
          <w:sz w:val="19"/>
        </w:rPr>
        <w:t xml:space="preserve">”</w:t>
      </w:r>
      <w:r>
        <w:rPr>
          <w:sz w:val="19"/>
        </w:rPr>
        <w:t xml:space="preserve"> </w:t>
      </w:r>
      <w:r>
        <w:rPr>
          <w:sz w:val="19"/>
        </w:rPr>
        <w:t xml:space="preserve">Manuscrito enviado para publicación.</w:t>
      </w:r>
    </w:p>
    <w:p>
      <w:pPr>
        <w:pStyle w:val="BodyText"/>
        <w:spacing w:after="80"/>
        <w:jc w:val="left"/>
      </w:pPr>
      <w:r>
        <w:rPr>
          <w:sz w:val="19"/>
        </w:rPr>
        <w:t xml:space="preserve">[24] K. Sánchez-Huerta et al.,</w:t>
      </w:r>
      <w:r>
        <w:rPr>
          <w:sz w:val="19"/>
        </w:rPr>
        <w:t xml:space="preserve"> </w:t>
      </w:r>
      <w:r>
        <w:rPr>
          <w:sz w:val="19"/>
        </w:rPr>
        <w:t xml:space="preserve">“</w:t>
      </w:r>
      <w:r>
        <w:rPr>
          <w:sz w:val="19"/>
        </w:rPr>
        <w:t xml:space="preserve">Sucrose consumption during late adolescence impairs adult neurogenesis of the ventral dentate gyrus without inducing an anxiety-like behavior,</w:t>
      </w:r>
      <w:r>
        <w:rPr>
          <w:sz w:val="19"/>
        </w:rPr>
        <w:t xml:space="preserve">”</w:t>
      </w:r>
      <w:r>
        <w:rPr>
          <w:sz w:val="19"/>
        </w:rPr>
        <w:t xml:space="preserve"> </w:t>
      </w:r>
      <w:r>
        <w:rPr>
          <w:sz w:val="19"/>
        </w:rPr>
        <w:t xml:space="preserve">Int. J. Mol. Sci., vol. 23, no. 22, Nov. 2022, Art. no. 14176. doi: 10.3390/ijms232214176 [Online].Available: https://www.ncbi.nlm.nih.gov/pmc/articles/PMC9695980/</w:t>
      </w:r>
    </w:p>
    <w:p>
      <w:pPr>
        <w:pStyle w:val="BodyText"/>
        <w:spacing w:after="80"/>
        <w:jc w:val="left"/>
      </w:pPr>
      <w:r>
        <w:rPr>
          <w:sz w:val="19"/>
        </w:rPr>
        <w:t xml:space="preserve">[25] J. L. Rico, L. Aya-Ramos, and Z. Dueñas,</w:t>
      </w:r>
      <w:r>
        <w:rPr>
          <w:sz w:val="19"/>
        </w:rPr>
        <w:t xml:space="preserve"> </w:t>
      </w:r>
      <w:r>
        <w:rPr>
          <w:sz w:val="19"/>
        </w:rPr>
        <w:t xml:space="preserve">“</w:t>
      </w:r>
      <w:r>
        <w:rPr>
          <w:sz w:val="19"/>
        </w:rPr>
        <w:t xml:space="preserve">Effects of early-life stress followed by access to stevia or sucralose during adolescence on weight gain, glycemia, and anxiety-related behaviors in male and female rats,</w:t>
      </w:r>
      <w:r>
        <w:rPr>
          <w:sz w:val="19"/>
        </w:rPr>
        <w:t xml:space="preserve">”</w:t>
      </w:r>
      <w:r>
        <w:rPr>
          <w:sz w:val="19"/>
        </w:rPr>
        <w:t xml:space="preserve"> </w:t>
      </w:r>
      <w:r>
        <w:rPr>
          <w:sz w:val="19"/>
        </w:rPr>
        <w:t xml:space="preserve">Physiol. Behav., vol. 280, 2024, Art. no. 114529. doi: 10.1016/j.physbeh.2024.114529</w:t>
      </w:r>
    </w:p>
    <w:p>
      <w:pPr>
        <w:pStyle w:val="BodyText"/>
        <w:spacing w:after="80"/>
        <w:jc w:val="left"/>
      </w:pPr>
      <w:r>
        <w:rPr>
          <w:sz w:val="19"/>
        </w:rPr>
        <w:t xml:space="preserve">[26] F. Khakpai, M. Naseroleslami, M. Moheb-Alian, E. Ghanimati, F. Abdollah-pour, and N. Mousavi-Niri,</w:t>
      </w:r>
      <w:r>
        <w:rPr>
          <w:sz w:val="19"/>
        </w:rPr>
        <w:t xml:space="preserve"> </w:t>
      </w:r>
      <w:r>
        <w:rPr>
          <w:sz w:val="19"/>
        </w:rPr>
        <w:t xml:space="preserve">“</w:t>
      </w:r>
      <w:r>
        <w:rPr>
          <w:sz w:val="19"/>
        </w:rPr>
        <w:t xml:space="preserve">Intra-gastrically administration of Stevia and particularly Nano-Stevia reversed the hyperglycemia, anxiety, and memory impairment in streptozotocin-induced diabetic rats,</w:t>
      </w:r>
      <w:r>
        <w:rPr>
          <w:sz w:val="19"/>
        </w:rPr>
        <w:t xml:space="preserve">”</w:t>
      </w:r>
      <w:r>
        <w:rPr>
          <w:sz w:val="19"/>
        </w:rPr>
        <w:t xml:space="preserve"> </w:t>
      </w:r>
      <w:r>
        <w:rPr>
          <w:sz w:val="19"/>
        </w:rPr>
        <w:t xml:space="preserve">Physiol. Behav., vol. 263, 2023, Art. no. 114100. doi: 10.1016/j.physbeh.2023.114100</w:t>
      </w:r>
    </w:p>
    <w:p>
      <w:pPr>
        <w:pStyle w:val="BodyText"/>
        <w:spacing w:after="80"/>
        <w:jc w:val="left"/>
      </w:pPr>
      <w:r>
        <w:rPr>
          <w:sz w:val="19"/>
        </w:rPr>
        <w:t xml:space="preserve">[27] D. Bosch and I. Ehrlich,</w:t>
      </w:r>
      <w:r>
        <w:rPr>
          <w:sz w:val="19"/>
        </w:rPr>
        <w:t xml:space="preserve"> </w:t>
      </w:r>
      <w:r>
        <w:rPr>
          <w:sz w:val="19"/>
        </w:rPr>
        <w:t xml:space="preserve">“</w:t>
      </w:r>
      <w:r>
        <w:rPr>
          <w:sz w:val="19"/>
        </w:rPr>
        <w:t xml:space="preserve">Postnatal maturation of GABAergic modulation of sensory inputs onto lateral amygdala principal neurons,</w:t>
      </w:r>
      <w:r>
        <w:rPr>
          <w:sz w:val="19"/>
        </w:rPr>
        <w:t xml:space="preserve">”</w:t>
      </w:r>
      <w:r>
        <w:rPr>
          <w:sz w:val="19"/>
        </w:rPr>
        <w:t xml:space="preserve"> </w:t>
      </w:r>
      <w:r>
        <w:rPr>
          <w:sz w:val="19"/>
        </w:rPr>
        <w:t xml:space="preserve">J. Physiol., vol. 593, no. 19, pp. 4387–4409, 2015. doi: 10.1113/JP270645</w:t>
      </w:r>
    </w:p>
    <w:p>
      <w:pPr>
        <w:pStyle w:val="BodyText"/>
        <w:spacing w:after="80"/>
        <w:jc w:val="left"/>
      </w:pPr>
      <w:r>
        <w:rPr>
          <w:sz w:val="19"/>
        </w:rPr>
        <w:t xml:space="preserve">[28] N. Ognjanovski et al.,</w:t>
      </w:r>
      <w:r>
        <w:rPr>
          <w:sz w:val="19"/>
        </w:rPr>
        <w:t xml:space="preserve"> </w:t>
      </w:r>
      <w:r>
        <w:rPr>
          <w:sz w:val="19"/>
        </w:rPr>
        <w:t xml:space="preserve">“</w:t>
      </w:r>
      <w:r>
        <w:rPr>
          <w:sz w:val="19"/>
        </w:rPr>
        <w:t xml:space="preserve">Parvalbumin-expressing interneurons coordinate hippocampal network dynamics required for memory consolidation,</w:t>
      </w:r>
      <w:r>
        <w:rPr>
          <w:sz w:val="19"/>
        </w:rPr>
        <w:t xml:space="preserve">”</w:t>
      </w:r>
      <w:r>
        <w:rPr>
          <w:sz w:val="19"/>
        </w:rPr>
        <w:t xml:space="preserve"> </w:t>
      </w:r>
      <w:r>
        <w:rPr>
          <w:sz w:val="19"/>
        </w:rPr>
        <w:t xml:space="preserve">Nat. Commun., vol. 8, 2017, Art. no. 15039. doi: 10.1038/ncomms15039</w:t>
      </w:r>
    </w:p>
    <w:p>
      <w:pPr>
        <w:pStyle w:val="BodyText"/>
        <w:spacing w:after="80"/>
        <w:jc w:val="left"/>
      </w:pPr>
      <w:r>
        <w:rPr>
          <w:sz w:val="19"/>
        </w:rPr>
        <w:t xml:space="preserve">[29] A. C. Reichelt, S. Killcross, L. D. Hambly, M. J. Morris, and R. F. Westbrook,</w:t>
      </w:r>
      <w:r>
        <w:rPr>
          <w:sz w:val="19"/>
        </w:rPr>
        <w:t xml:space="preserve"> </w:t>
      </w:r>
      <w:r>
        <w:rPr>
          <w:sz w:val="19"/>
        </w:rPr>
        <w:t xml:space="preserve">“</w:t>
      </w:r>
      <w:r>
        <w:rPr>
          <w:sz w:val="19"/>
        </w:rPr>
        <w:t xml:space="preserve">Impact of adolescent sucrose access on cognitive control, recognition memory, and parvalbumin immunoreactivity,</w:t>
      </w:r>
      <w:r>
        <w:rPr>
          <w:sz w:val="19"/>
        </w:rPr>
        <w:t xml:space="preserve">”</w:t>
      </w:r>
      <w:r>
        <w:rPr>
          <w:sz w:val="19"/>
        </w:rPr>
        <w:t xml:space="preserve"> </w:t>
      </w:r>
      <w:r>
        <w:rPr>
          <w:sz w:val="19"/>
        </w:rPr>
        <w:t xml:space="preserve">Learn. Mem., vol. 22, no. 4, pp. 215–224, 2015. doi: 10.1101/lm.038000.114</w:t>
      </w:r>
    </w:p>
    <w:p>
      <w:pPr>
        <w:pStyle w:val="BodyText"/>
        <w:spacing w:after="80"/>
        <w:jc w:val="left"/>
      </w:pPr>
      <w:r>
        <w:rPr>
          <w:sz w:val="19"/>
        </w:rPr>
        <w:t xml:space="preserve">[30] T. J. Xu and A. C. Reichelt,</w:t>
      </w:r>
      <w:r>
        <w:rPr>
          <w:sz w:val="19"/>
        </w:rPr>
        <w:t xml:space="preserve"> </w:t>
      </w:r>
      <w:r>
        <w:rPr>
          <w:sz w:val="19"/>
        </w:rPr>
        <w:t xml:space="preserve">“</w:t>
      </w:r>
      <w:r>
        <w:rPr>
          <w:sz w:val="19"/>
        </w:rPr>
        <w:t xml:space="preserve">Sucrose or sucrose and caffeine differentially impact memory and anxiety-like behaviours, and alter hippocampal parvalbumin and doublecortin,</w:t>
      </w:r>
      <w:r>
        <w:rPr>
          <w:sz w:val="19"/>
        </w:rPr>
        <w:t xml:space="preserve">”</w:t>
      </w:r>
      <w:r>
        <w:rPr>
          <w:sz w:val="19"/>
        </w:rPr>
        <w:t xml:space="preserve"> </w:t>
      </w:r>
      <w:r>
        <w:rPr>
          <w:sz w:val="19"/>
        </w:rPr>
        <w:t xml:space="preserve">Neuropharmacology, vol. 137, pp. 24–32, 2018. doi: 10.1016/j.neuropharm.2018.04.012</w:t>
      </w:r>
    </w:p>
    <w:p>
      <w:pPr>
        <w:pStyle w:val="BodyText"/>
        <w:spacing w:after="80"/>
        <w:jc w:val="left"/>
      </w:pPr>
      <w:r>
        <w:rPr>
          <w:sz w:val="19"/>
        </w:rPr>
        <w:t xml:space="preserve">[31] A. C. Reichelt, G. D. Gibson, K. N. Abbott, and D. J. Hare,</w:t>
      </w:r>
      <w:r>
        <w:rPr>
          <w:sz w:val="19"/>
        </w:rPr>
        <w:t xml:space="preserve"> </w:t>
      </w:r>
      <w:r>
        <w:rPr>
          <w:sz w:val="19"/>
        </w:rPr>
        <w:t xml:space="preserve">“</w:t>
      </w:r>
      <w:r>
        <w:rPr>
          <w:sz w:val="19"/>
        </w:rPr>
        <w:t xml:space="preserve">A high-fat high-sugar diet in adolescent rats impairs social memory and alters chemical markers characteristic of atypical neuroplasticity and parvalbumin interneuron depletion in the medial prefrontal cortex,</w:t>
      </w:r>
      <w:r>
        <w:rPr>
          <w:sz w:val="19"/>
        </w:rPr>
        <w:t xml:space="preserve">”</w:t>
      </w:r>
      <w:r>
        <w:rPr>
          <w:sz w:val="19"/>
        </w:rPr>
        <w:t xml:space="preserve"> </w:t>
      </w:r>
      <w:r>
        <w:rPr>
          <w:sz w:val="19"/>
        </w:rPr>
        <w:t xml:space="preserve">Food Funct., vol. 10, no. 4, pp. 1985–1998, 2019. doi: 10.1039/c8fo02118j</w:t>
      </w:r>
    </w:p>
    <w:p>
      <w:pPr>
        <w:pStyle w:val="BodyText"/>
        <w:spacing w:after="80"/>
        <w:jc w:val="left"/>
      </w:pPr>
      <w:r>
        <w:rPr>
          <w:sz w:val="19"/>
        </w:rPr>
        <w:t xml:space="preserve">[32] E. I. Morales-Ríos, J. García-Machorro, A. Briones-Aranda, R. Gómez-Pliego, and J. Espinosa-Raya,</w:t>
      </w:r>
      <w:r>
        <w:rPr>
          <w:sz w:val="19"/>
        </w:rPr>
        <w:t xml:space="preserve"> </w:t>
      </w:r>
      <w:r>
        <w:rPr>
          <w:sz w:val="19"/>
        </w:rPr>
        <w:t xml:space="preserve">“</w:t>
      </w:r>
      <w:r>
        <w:rPr>
          <w:sz w:val="19"/>
        </w:rPr>
        <w:t xml:space="preserve">Effect of long-term intake of nutritive and non-nutritive sweeteners on metabolic health and cognition in adult male rats,</w:t>
      </w:r>
      <w:r>
        <w:rPr>
          <w:sz w:val="19"/>
        </w:rPr>
        <w:t xml:space="preserve">”</w:t>
      </w:r>
      <w:r>
        <w:rPr>
          <w:sz w:val="19"/>
        </w:rPr>
        <w:t xml:space="preserve"> </w:t>
      </w:r>
      <w:r>
        <w:rPr>
          <w:sz w:val="19"/>
        </w:rPr>
        <w:t xml:space="preserve">J. Med. Food, vol. 25, no. 11, pp. 1059–1065, 2022. doi: 10.1089/jmf.2022.0016</w:t>
      </w:r>
    </w:p>
    <w:p>
      <w:pPr>
        <w:pStyle w:val="BodyText"/>
        <w:spacing w:after="80"/>
        <w:jc w:val="left"/>
      </w:pPr>
      <w:r>
        <w:rPr>
          <w:sz w:val="19"/>
        </w:rPr>
        <w:t xml:space="preserve">[33] L. Tsan et al.,</w:t>
      </w:r>
      <w:r>
        <w:rPr>
          <w:sz w:val="19"/>
        </w:rPr>
        <w:t xml:space="preserve"> </w:t>
      </w:r>
      <w:r>
        <w:rPr>
          <w:sz w:val="19"/>
        </w:rPr>
        <w:t xml:space="preserve">“</w:t>
      </w:r>
      <w:r>
        <w:rPr>
          <w:sz w:val="19"/>
        </w:rPr>
        <w:t xml:space="preserve">Early-life low-calorie sweetener consumption disrupts glucose regulation, sugar-motivated behavior, and memory function in rats,</w:t>
      </w:r>
      <w:r>
        <w:rPr>
          <w:sz w:val="19"/>
        </w:rPr>
        <w:t xml:space="preserve">”</w:t>
      </w:r>
      <w:r>
        <w:rPr>
          <w:sz w:val="19"/>
        </w:rPr>
        <w:t xml:space="preserve"> </w:t>
      </w:r>
      <w:r>
        <w:rPr>
          <w:sz w:val="19"/>
        </w:rPr>
        <w:t xml:space="preserve">JCI Insight, vol. 7, no. 20, Oct. 2022, Art. no. e157714. doi: 10.1172/jci.insight.157714 [Online]. Available: https://www.ncbi.nlm.nih.gov/pmc/articles/PMC9714783/</w:t>
      </w:r>
    </w:p>
    <w:p>
      <w:pPr>
        <w:pStyle w:val="BodyText"/>
        <w:spacing w:after="80"/>
        <w:jc w:val="left"/>
      </w:pPr>
      <w:r>
        <w:rPr>
          <w:sz w:val="19"/>
        </w:rPr>
        <w:t xml:space="preserve">[34] A. L. de la Garza et al.,</w:t>
      </w:r>
      <w:r>
        <w:rPr>
          <w:sz w:val="19"/>
        </w:rPr>
        <w:t xml:space="preserve"> </w:t>
      </w:r>
      <w:r>
        <w:rPr>
          <w:sz w:val="19"/>
        </w:rPr>
        <w:t xml:space="preserve">“</w:t>
      </w:r>
      <w:r>
        <w:rPr>
          <w:sz w:val="19"/>
        </w:rPr>
        <w:t xml:space="preserve">Maternal sweeteners intake modulates gut microbiota and exacerbates learning and memory processes in adult male offspring,</w:t>
      </w:r>
      <w:r>
        <w:rPr>
          <w:sz w:val="19"/>
        </w:rPr>
        <w:t xml:space="preserve">”</w:t>
      </w:r>
      <w:r>
        <w:rPr>
          <w:sz w:val="19"/>
        </w:rPr>
        <w:t xml:space="preserve"> </w:t>
      </w:r>
      <w:r>
        <w:rPr>
          <w:sz w:val="19"/>
        </w:rPr>
        <w:t xml:space="preserve">Front. Pediatr., vol. 9, Jan. 2022, Art. no. 746437. doi: 10.3389/fped.2021.746437</w:t>
      </w:r>
    </w:p>
    <w:p>
      <w:pPr>
        <w:pStyle w:val="BodyText"/>
        <w:spacing w:after="80"/>
        <w:jc w:val="left"/>
      </w:pPr>
      <w:r>
        <w:rPr>
          <w:sz w:val="19"/>
        </w:rPr>
        <w:t xml:space="preserve">[35] Y. Pozdnyakova and A. Murzatayeva,</w:t>
      </w:r>
      <w:r>
        <w:rPr>
          <w:sz w:val="19"/>
        </w:rPr>
        <w:t xml:space="preserve"> </w:t>
      </w:r>
      <w:r>
        <w:rPr>
          <w:sz w:val="19"/>
        </w:rPr>
        <w:t xml:space="preserve">“</w:t>
      </w:r>
      <w:r>
        <w:rPr>
          <w:sz w:val="19"/>
        </w:rPr>
        <w:t xml:space="preserve">Neuroprotective potential of Stevia rebaudiana and Stachys sieboldii: Effects on oxidative stress and locomotor activity in male rats fed a high-fat, high-sucrose diet,</w:t>
      </w:r>
      <w:r>
        <w:rPr>
          <w:sz w:val="19"/>
        </w:rPr>
        <w:t xml:space="preserve">”</w:t>
      </w:r>
      <w:r>
        <w:rPr>
          <w:sz w:val="19"/>
        </w:rPr>
        <w:t xml:space="preserve"> </w:t>
      </w:r>
      <w:r>
        <w:rPr>
          <w:sz w:val="19"/>
        </w:rPr>
        <w:t xml:space="preserve">Biology (Basel), vol. 14, no. 4, Mar. 2025, Art. no. 359. doi: 10.3390/biology14040359 [Online]. Available: https://www.mdpi.com/2079-7737/14/4/359</w:t>
      </w:r>
    </w:p>
    <w:p>
      <w:pPr>
        <w:pStyle w:val="BodyText"/>
        <w:spacing w:after="80"/>
        <w:jc w:val="left"/>
      </w:pPr>
      <w:r>
        <w:rPr>
          <w:sz w:val="19"/>
        </w:rPr>
        <w:t xml:space="preserve">[36] C. Prata et al.,</w:t>
      </w:r>
      <w:r>
        <w:rPr>
          <w:sz w:val="19"/>
        </w:rPr>
        <w:t xml:space="preserve"> </w:t>
      </w:r>
      <w:r>
        <w:rPr>
          <w:sz w:val="19"/>
        </w:rPr>
        <w:t xml:space="preserve">“</w:t>
      </w:r>
      <w:r>
        <w:rPr>
          <w:sz w:val="19"/>
        </w:rPr>
        <w:t xml:space="preserve">Glycosides from Stevia rebaudiana Bertoni possess insulin-mimetic and antioxidant activities in rat cardiac fibroblasts,</w:t>
      </w:r>
      <w:r>
        <w:rPr>
          <w:sz w:val="19"/>
        </w:rPr>
        <w:t xml:space="preserve">”</w:t>
      </w:r>
      <w:r>
        <w:rPr>
          <w:sz w:val="19"/>
        </w:rPr>
        <w:t xml:space="preserve"> </w:t>
      </w:r>
      <w:r>
        <w:rPr>
          <w:sz w:val="19"/>
        </w:rPr>
        <w:t xml:space="preserve">Oxid. Med. Cell. Longev., vol. 2017, Aug. 2017, Art. no. 3724545. doi: 10.1155/2017/3724545 [Online]. Available: https://www.ncbi.nlm.nih.gov/pmc/articles/PMC5602648/</w:t>
      </w:r>
    </w:p>
    <w:p>
      <w:pPr>
        <w:pStyle w:val="BodyText"/>
        <w:spacing w:after="80"/>
        <w:jc w:val="left"/>
      </w:pPr>
      <w:r>
        <w:rPr>
          <w:sz w:val="19"/>
        </w:rPr>
        <w:t xml:space="preserve">[37] D. Sharma, M. Puri, A. K. Tiwary, N. Singh, and A. S. Jaggi,</w:t>
      </w:r>
      <w:r>
        <w:rPr>
          <w:sz w:val="19"/>
        </w:rPr>
        <w:t xml:space="preserve"> </w:t>
      </w:r>
      <w:r>
        <w:rPr>
          <w:sz w:val="19"/>
        </w:rPr>
        <w:t xml:space="preserve">“</w:t>
      </w:r>
      <w:r>
        <w:rPr>
          <w:sz w:val="19"/>
        </w:rPr>
        <w:t xml:space="preserve">Antiamnesic effect of stevioside in scopolamine-treated rats,</w:t>
      </w:r>
      <w:r>
        <w:rPr>
          <w:sz w:val="19"/>
        </w:rPr>
        <w:t xml:space="preserve">”</w:t>
      </w:r>
      <w:r>
        <w:rPr>
          <w:sz w:val="19"/>
        </w:rPr>
        <w:t xml:space="preserve"> </w:t>
      </w:r>
      <w:r>
        <w:rPr>
          <w:sz w:val="19"/>
        </w:rPr>
        <w:t xml:space="preserve">Indian J. Pharmacol., vol. 42, no. 3, pp. 164–167, 2010. doi: 10.4103/0253-7613.66840</w:t>
      </w:r>
    </w:p>
    <w:p>
      <w:pPr>
        <w:pStyle w:val="BodyText"/>
        <w:spacing w:after="80"/>
        <w:jc w:val="left"/>
      </w:pPr>
      <w:r>
        <w:rPr>
          <w:sz w:val="19"/>
        </w:rPr>
        <w:t xml:space="preserve">[38] V. A. Chavushyan et al.,</w:t>
      </w:r>
      <w:r>
        <w:rPr>
          <w:sz w:val="19"/>
        </w:rPr>
        <w:t xml:space="preserve"> </w:t>
      </w:r>
      <w:r>
        <w:rPr>
          <w:sz w:val="19"/>
        </w:rPr>
        <w:t xml:space="preserve">“</w:t>
      </w:r>
      <w:r>
        <w:rPr>
          <w:sz w:val="19"/>
        </w:rPr>
        <w:t xml:space="preserve">Effects of stevia on synaptic plasticity and NADPH oxidase level of CNS in conditions of metabolic disorders caused by fructose,</w:t>
      </w:r>
      <w:r>
        <w:rPr>
          <w:sz w:val="19"/>
        </w:rPr>
        <w:t xml:space="preserve">”</w:t>
      </w:r>
      <w:r>
        <w:rPr>
          <w:sz w:val="19"/>
        </w:rPr>
        <w:t xml:space="preserve"> </w:t>
      </w:r>
      <w:r>
        <w:rPr>
          <w:sz w:val="19"/>
        </w:rPr>
        <w:t xml:space="preserve">BMC Complement. Altern. Med., vol. 17, Dec. 2017, Art. no. 540. doi: 10.1186/s12906-017-2049-9</w:t>
      </w:r>
    </w:p>
    <w:p>
      <w:pPr>
        <w:pStyle w:val="BodyText"/>
        <w:spacing w:after="80"/>
        <w:jc w:val="left"/>
      </w:pPr>
      <w:r>
        <w:rPr>
          <w:sz w:val="19"/>
        </w:rPr>
        <w:t xml:space="preserve">[39] J. E. Beilharz, J. Maniam, and M. J. Morris,</w:t>
      </w:r>
      <w:r>
        <w:rPr>
          <w:sz w:val="19"/>
        </w:rPr>
        <w:t xml:space="preserve"> </w:t>
      </w:r>
      <w:r>
        <w:rPr>
          <w:sz w:val="19"/>
        </w:rPr>
        <w:t xml:space="preserve">“</w:t>
      </w:r>
      <w:r>
        <w:rPr>
          <w:sz w:val="19"/>
        </w:rPr>
        <w:t xml:space="preserve">Short exposure to a diet rich in both fat and sugar or sugar alone impairs place, but not object recognition memory in rats,</w:t>
      </w:r>
      <w:r>
        <w:rPr>
          <w:sz w:val="19"/>
        </w:rPr>
        <w:t xml:space="preserve">”</w:t>
      </w:r>
      <w:r>
        <w:rPr>
          <w:sz w:val="19"/>
        </w:rPr>
        <w:t xml:space="preserve"> </w:t>
      </w:r>
      <w:r>
        <w:rPr>
          <w:sz w:val="19"/>
        </w:rPr>
        <w:t xml:space="preserve">Brain Behav. Immun., vol. 37, pp. 134–141, 2014. doi: 10.1016/j.bbi.2013.11.016</w:t>
      </w:r>
    </w:p>
    <w:p>
      <w:pPr>
        <w:pStyle w:val="BodyText"/>
        <w:spacing w:after="80"/>
        <w:jc w:val="left"/>
      </w:pPr>
      <w:r>
        <w:rPr>
          <w:sz w:val="19"/>
        </w:rPr>
        <w:t xml:space="preserve">[40] J. E. Beilharz, J. Maniam, and M. J. Morris,</w:t>
      </w:r>
      <w:r>
        <w:rPr>
          <w:sz w:val="19"/>
        </w:rPr>
        <w:t xml:space="preserve"> </w:t>
      </w:r>
      <w:r>
        <w:rPr>
          <w:sz w:val="19"/>
        </w:rPr>
        <w:t xml:space="preserve">“</w:t>
      </w:r>
      <w:r>
        <w:rPr>
          <w:sz w:val="19"/>
        </w:rPr>
        <w:t xml:space="preserve">Short-term exposure to a diet high in fat and sugar, or liquid sugar, selectively impairs hippocampal-dependent memory, with differential impacts on inflammation,</w:t>
      </w:r>
      <w:r>
        <w:rPr>
          <w:sz w:val="19"/>
        </w:rPr>
        <w:t xml:space="preserve">”</w:t>
      </w:r>
      <w:r>
        <w:rPr>
          <w:sz w:val="19"/>
        </w:rPr>
        <w:t xml:space="preserve"> </w:t>
      </w:r>
      <w:r>
        <w:rPr>
          <w:sz w:val="19"/>
        </w:rPr>
        <w:t xml:space="preserve">Behav. Brain Res., vol. 306, pp. 1–7, 2016. doi: 10.1016/j.bbr.2016.03.018</w:t>
      </w:r>
    </w:p>
    <w:p>
      <w:pPr>
        <w:pStyle w:val="BodyText"/>
        <w:spacing w:after="80"/>
        <w:jc w:val="left"/>
      </w:pPr>
      <w:r>
        <w:rPr>
          <w:sz w:val="19"/>
        </w:rPr>
        <w:t xml:space="preserve">[41] G. Kempermann, H. Song, and F. H. Gage,</w:t>
      </w:r>
      <w:r>
        <w:rPr>
          <w:sz w:val="19"/>
        </w:rPr>
        <w:t xml:space="preserve"> </w:t>
      </w:r>
      <w:r>
        <w:rPr>
          <w:sz w:val="19"/>
        </w:rPr>
        <w:t xml:space="preserve">“</w:t>
      </w:r>
      <w:r>
        <w:rPr>
          <w:sz w:val="19"/>
        </w:rPr>
        <w:t xml:space="preserve">Neurogenesis in the adult hippocampus,</w:t>
      </w:r>
      <w:r>
        <w:rPr>
          <w:sz w:val="19"/>
        </w:rPr>
        <w:t xml:space="preserve">”</w:t>
      </w:r>
      <w:r>
        <w:rPr>
          <w:sz w:val="19"/>
        </w:rPr>
        <w:t xml:space="preserve"> </w:t>
      </w:r>
      <w:r>
        <w:rPr>
          <w:sz w:val="19"/>
        </w:rPr>
        <w:t xml:space="preserve">Cold Spring Harb. Perspect. Biol., vol. 7, no. 9, a018812, 2015. doi: 10.1101/cshperspect.a018812</w:t>
      </w:r>
    </w:p>
    <w:p>
      <w:pPr>
        <w:pStyle w:val="BodyText"/>
        <w:spacing w:after="80"/>
        <w:jc w:val="left"/>
      </w:pPr>
      <w:r>
        <w:rPr>
          <w:sz w:val="19"/>
        </w:rPr>
        <w:t xml:space="preserve">[42] J. Maniam, C. P. Antoniadis, N. A. Youngson, J. K. Sinha, and M. J. Morris,</w:t>
      </w:r>
      <w:r>
        <w:rPr>
          <w:sz w:val="19"/>
        </w:rPr>
        <w:t xml:space="preserve"> </w:t>
      </w:r>
      <w:r>
        <w:rPr>
          <w:sz w:val="19"/>
        </w:rPr>
        <w:t xml:space="preserve">“</w:t>
      </w:r>
      <w:r>
        <w:rPr>
          <w:sz w:val="19"/>
        </w:rPr>
        <w:t xml:space="preserve">Sugar consumption produces effects similar to early life stress exposure on hippocampal markers of neurogenesis and stress response,</w:t>
      </w:r>
      <w:r>
        <w:rPr>
          <w:sz w:val="19"/>
        </w:rPr>
        <w:t xml:space="preserve">”</w:t>
      </w:r>
      <w:r>
        <w:rPr>
          <w:sz w:val="19"/>
        </w:rPr>
        <w:t xml:space="preserve"> </w:t>
      </w:r>
      <w:r>
        <w:rPr>
          <w:sz w:val="19"/>
        </w:rPr>
        <w:t xml:space="preserve">Front. Mol. Neurosci., vol. 8, Jan. 2016, Art. no. 86. doi: 10.3389/fnmol.2015.00086 [Online]. Available: https://www.ncbi.nlm.nih.gov/pmc/articles/PMC4717325/</w:t>
      </w:r>
    </w:p>
    <w:p>
      <w:pPr>
        <w:pStyle w:val="BodyText"/>
        <w:spacing w:after="80"/>
        <w:jc w:val="left"/>
      </w:pPr>
      <w:r>
        <w:rPr>
          <w:sz w:val="19"/>
        </w:rPr>
        <w:t xml:space="preserve">[43] D. A. Lukovikov et al.,</w:t>
      </w:r>
      <w:r>
        <w:rPr>
          <w:sz w:val="19"/>
        </w:rPr>
        <w:t xml:space="preserve"> </w:t>
      </w:r>
      <w:r>
        <w:rPr>
          <w:sz w:val="19"/>
        </w:rPr>
        <w:t xml:space="preserve">“</w:t>
      </w:r>
      <w:r>
        <w:rPr>
          <w:sz w:val="19"/>
        </w:rPr>
        <w:t xml:space="preserve">Automated phenotyping of rodent behavior in the Cylinder Exploration Test using machine learning,</w:t>
      </w:r>
      <w:r>
        <w:rPr>
          <w:sz w:val="19"/>
        </w:rPr>
        <w:t xml:space="preserve">”</w:t>
      </w:r>
      <w:r>
        <w:rPr>
          <w:sz w:val="19"/>
        </w:rPr>
        <w:t xml:space="preserve"> </w:t>
      </w:r>
      <w:r>
        <w:rPr>
          <w:sz w:val="19"/>
        </w:rPr>
        <w:t xml:space="preserve">Neuroscience, vol. 601, pp. 169–178, May 2026. doi: 10.1016/j.neuroscience.2026.02.048 [Online]. Available: https://pubmed.ncbi.nlm.nih.gov/41780714/</w:t>
      </w:r>
    </w:p>
    <w:p>
      <w:pPr>
        <w:pStyle w:val="BodyText"/>
        <w:spacing w:after="80"/>
        <w:jc w:val="left"/>
      </w:pPr>
      <w:r>
        <w:rPr>
          <w:sz w:val="19"/>
        </w:rPr>
        <w:t xml:space="preserve">[44] A. Gerós, A. Magalhães, and P. Aguiar,</w:t>
      </w:r>
      <w:r>
        <w:rPr>
          <w:sz w:val="19"/>
        </w:rPr>
        <w:t xml:space="preserve"> </w:t>
      </w:r>
      <w:r>
        <w:rPr>
          <w:sz w:val="19"/>
        </w:rPr>
        <w:t xml:space="preserve">“</w:t>
      </w:r>
      <w:r>
        <w:rPr>
          <w:sz w:val="19"/>
        </w:rPr>
        <w:t xml:space="preserve">Improved 3D tracking and automated classification of rodents’ behavioral activity using depth-sensing cameras,</w:t>
      </w:r>
      <w:r>
        <w:rPr>
          <w:sz w:val="19"/>
        </w:rPr>
        <w:t xml:space="preserve">”</w:t>
      </w:r>
      <w:r>
        <w:rPr>
          <w:sz w:val="19"/>
        </w:rPr>
        <w:t xml:space="preserve"> </w:t>
      </w:r>
      <w:r>
        <w:rPr>
          <w:sz w:val="19"/>
        </w:rPr>
        <w:t xml:space="preserve">Behav. Res. Methods, vol. 52, no. 5, pp. 2156–2167, Oct. 2020. doi: 10.3758/s13428-020-01381-9 [Online]. Available: https://link.springer.com/article/10.3758/s13428-020-01381-9</w:t>
      </w:r>
    </w:p>
    <w:bookmarkEnd w:id="92"/>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180" w:line="276" w:lineRule="auto"/>
      <w:jc w:val="both"/>
    </w:pPr>
    <w:qFormat/>
    <w:rPr>
      <w:sz w:val="22"/>
    </w:rPr>
  </w:style>
  <w:style w:customStyle="1" w:styleId="FirstParagraph" w:type="paragraph">
    <w:name w:val="First Paragraph"/>
    <w:basedOn w:val="BodyText"/>
    <w:next w:val="BodyText"/>
    <w:qFormat/>
    <w:pPr>
      <w:spacing w:after="120" w:line="276" w:lineRule="auto"/>
      <w:jc w:val="both"/>
    </w:pPr>
    <w:rPr>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8" Type="http://schemas.openxmlformats.org/officeDocument/2006/relationships/image" Target="media/rId28.png"/><Relationship Id="rId27" Type="http://schemas.openxmlformats.org/officeDocument/2006/relationships/image" Target="media/rId27.png"/><Relationship Id="rId24" Type="http://schemas.openxmlformats.org/officeDocument/2006/relationships/image" Target="media/rId24.png"/><Relationship Id="rId30" Type="http://schemas.openxmlformats.org/officeDocument/2006/relationships/image" Target="media/rId30.png"/><Relationship Id="rId31" Type="http://schemas.openxmlformats.org/officeDocument/2006/relationships/image" Target="media/rId31.png"/><Relationship Id="rId67" Type="http://schemas.openxmlformats.org/officeDocument/2006/relationships/image" Target="media/rId67.png"/><Relationship Id="rId68" Type="http://schemas.openxmlformats.org/officeDocument/2006/relationships/image" Target="media/rId68.png"/><Relationship Id="rId74" Type="http://schemas.openxmlformats.org/officeDocument/2006/relationships/image" Target="media/rId74.png"/><Relationship Id="rId77" Type="http://schemas.openxmlformats.org/officeDocument/2006/relationships/image" Target="media/rId77.png"/><Relationship Id="rId76" Type="http://schemas.openxmlformats.org/officeDocument/2006/relationships/image" Target="media/rId76.png"/><Relationship Id="rId73" Type="http://schemas.openxmlformats.org/officeDocument/2006/relationships/image" Target="media/rId73.png"/><Relationship Id="rId75" Type="http://schemas.openxmlformats.org/officeDocument/2006/relationships/image" Target="media/rId75.png"/><Relationship Id="rId79" Type="http://schemas.openxmlformats.org/officeDocument/2006/relationships/image" Target="media/rId79.png"/><Relationship Id="rId80" Type="http://schemas.openxmlformats.org/officeDocument/2006/relationships/image" Target="media/rId80.png"/><Relationship Id="rId59" Type="http://schemas.openxmlformats.org/officeDocument/2006/relationships/image" Target="media/rId59.png"/><Relationship Id="rId60" Type="http://schemas.openxmlformats.org/officeDocument/2006/relationships/image" Target="media/rId60.png"/><Relationship Id="rId61" Type="http://schemas.openxmlformats.org/officeDocument/2006/relationships/image" Target="media/rId61.png"/><Relationship Id="rId62" Type="http://schemas.openxmlformats.org/officeDocument/2006/relationships/image" Target="media/rId62.png"/><Relationship Id="rId49" Type="http://schemas.openxmlformats.org/officeDocument/2006/relationships/image" Target="media/rId49.png"/><Relationship Id="rId54" Type="http://schemas.openxmlformats.org/officeDocument/2006/relationships/image" Target="media/rId54.png"/><Relationship Id="rId51" Type="http://schemas.openxmlformats.org/officeDocument/2006/relationships/image" Target="media/rId51.png"/><Relationship Id="rId53" Type="http://schemas.openxmlformats.org/officeDocument/2006/relationships/image" Target="media/rId53.png"/><Relationship Id="rId50" Type="http://schemas.openxmlformats.org/officeDocument/2006/relationships/image" Target="media/rId50.png"/><Relationship Id="rId56" Type="http://schemas.openxmlformats.org/officeDocument/2006/relationships/image" Target="media/rId56.png"/><Relationship Id="rId57" Type="http://schemas.openxmlformats.org/officeDocument/2006/relationships/image" Target="media/rId57.png"/><Relationship Id="rId52" Type="http://schemas.openxmlformats.org/officeDocument/2006/relationships/image" Target="media/rId52.png"/><Relationship Id="rId65" Type="http://schemas.openxmlformats.org/officeDocument/2006/relationships/image" Target="media/rId65.png"/><Relationship Id="rId64" Type="http://schemas.openxmlformats.org/officeDocument/2006/relationships/image" Target="media/rId64.png"/><Relationship Id="rId46" Type="http://schemas.openxmlformats.org/officeDocument/2006/relationships/image" Target="media/rId46.png"/><Relationship Id="rId43" Type="http://schemas.openxmlformats.org/officeDocument/2006/relationships/image" Target="media/rId43.png"/><Relationship Id="rId42" Type="http://schemas.openxmlformats.org/officeDocument/2006/relationships/image" Target="media/rId42.png"/><Relationship Id="rId44" Type="http://schemas.openxmlformats.org/officeDocument/2006/relationships/image" Target="media/rId44.png"/><Relationship Id="rId71" Type="http://schemas.openxmlformats.org/officeDocument/2006/relationships/image" Target="media/rId71.png"/><Relationship Id="rId66" Type="http://schemas.openxmlformats.org/officeDocument/2006/relationships/image" Target="media/rId66.png"/><Relationship Id="rId41" Type="http://schemas.openxmlformats.org/officeDocument/2006/relationships/image" Target="media/rId41.png"/><Relationship Id="rId55" Type="http://schemas.openxmlformats.org/officeDocument/2006/relationships/image" Target="media/rId55.png"/><Relationship Id="rId69" Type="http://schemas.openxmlformats.org/officeDocument/2006/relationships/image" Target="media/rId69.png"/><Relationship Id="rId70" Type="http://schemas.openxmlformats.org/officeDocument/2006/relationships/image" Target="media/rId70.png"/><Relationship Id="rId21" Type="http://schemas.openxmlformats.org/officeDocument/2006/relationships/image" Target="media/rId21.png"/><Relationship Id="rId35" Type="http://schemas.openxmlformats.org/officeDocument/2006/relationships/hyperlink" Target="http://imagej.nih.gov/ij"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imagej.nih.gov/i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2026-10-21T12:59:30Z</dcterms:created>
  <dcterms:modified xsi:type="dcterms:W3CDTF">2026-10-21T12:59:30Z</dcterms:modified>
</cp:coreProperties>
</file>

<file path=docProps/custom.xml><?xml version="1.0" encoding="utf-8"?>
<Properties xmlns="http://schemas.openxmlformats.org/officeDocument/2006/custom-properties" xmlns:vt="http://schemas.openxmlformats.org/officeDocument/2006/docPropsVTypes"/>
</file>