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Efectos neurobiológicos a largo plazo de la exposición a</w:t>
      </w:r>
      <w:r>
        <w:rPr>
          <w:bCs/>
          <w:b/>
          <w:sz w:val="28"/>
        </w:rPr>
        <w:t xml:space="preserve"> </w:t>
      </w:r>
      <w:r>
        <w:rPr>
          <w:iCs/>
          <w:i/>
          <w:bCs/>
          <w:b/>
          <w:sz w:val="28"/>
        </w:rPr>
        <w:t xml:space="preserve">Stevia rebaudiana</w:t>
      </w:r>
      <w:r>
        <w:rPr>
          <w:bCs/>
          <w:b/>
          <w:sz w:val="28"/>
        </w:rPr>
        <w:t xml:space="preserve"> </w:t>
      </w:r>
      <w:r>
        <w:rPr>
          <w:bCs/>
          <w:b/>
          <w:sz w:val="28"/>
        </w:rPr>
        <w:t xml:space="preserve">durante la etapa juvenil y la adultez</w:t>
      </w:r>
    </w:p>
    <w:p>
      <w:pPr>
        <w:pStyle w:val="BodyText"/>
        <w:jc w:val="center"/>
      </w:pPr>
      <w:r>
        <w:t xml:space="preserve">Resumen, Materiales y métodos, Resultados y Discusión</w:t>
      </w:r>
    </w:p>
    <w:p>
      <w:pPr>
        <w:pStyle w:val="BodyText"/>
        <w:jc w:val="center"/>
      </w:pPr>
      <w:r>
        <w:t xml:space="preserve">Thiago Sayegh — IByME-CONICET. Versión para revisión de la Dra. M. S. Kruse, 21 de octubre de 2026</w:t>
      </w:r>
    </w:p>
    <w:p>
      <w:pPr>
        <w:pStyle w:val="BodyText"/>
      </w:pPr>
      <w:r>
        <w:rPr>
          <w:bCs/>
          <w:b/>
        </w:rPr>
        <w:t xml:space="preserve">Cómo leer este documento.</w:t>
      </w:r>
      <w:r>
        <w:t xml:space="preserve"> </w:t>
      </w:r>
      <w:r>
        <w:t xml:space="preserve">Son el Resumen y las secciones 4, 5 y 6 de la tesis, seguidos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20" w:name="resumen"/>
    <w:p>
      <w:pPr>
        <w:pStyle w:val="Heading1"/>
      </w:pPr>
      <w:r>
        <w:t xml:space="preserve">Resumen</w:t>
      </w:r>
    </w:p>
    <w:p>
      <w:pPr>
        <w:pStyle w:val="FirstParagraph"/>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BodyText"/>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BodyText"/>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0"/>
    <w:bookmarkStart w:id="40" w:name="materiales-y-métodos"/>
    <w:p>
      <w:pPr>
        <w:pStyle w:val="Heading1"/>
      </w:pPr>
      <w:r>
        <w:t xml:space="preserve">4. Materiales y métodos</w:t>
      </w:r>
    </w:p>
    <w:bookmarkStart w:id="22"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a 4 animales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los grupos control y sacarosa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1"/>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(control) o la opción de beber, además de agua, una solución de sacarosa al 10 % o un extracto de stevia al 4 %. Luego, todos los animales bebieron únicamente agua durante otros 25 días, tras lo cual se realizaron las pruebas conductuales y los estudios de inmunocitoquímica.</w:t>
      </w:r>
    </w:p>
    <w:bookmarkEnd w:id="22"/>
    <w:bookmarkStart w:id="23"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3"/>
    <w:bookmarkStart w:id="34"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5"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4"/>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5"/>
    <w:bookmarkStart w:id="29"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3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Las sesiones T1 a T4 se grabaron en video y se analizaron los cruces de línea con el software AnyMaze© (Stoelting Co., Wood Dale, IL, EE. UU.). El tiempo que las ratas dedicaron a explorar cada objeto durante T1 a T4 fue registrado manualmente por un único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 Esquema cedido por la Dra. M. S. Kruse.</w:t>
      </w:r>
    </w:p>
    <w:p>
      <w:pPr>
        <w:pStyle w:val="BodyText"/>
        <w:keepNext/>
        <w:jc w:val="center"/>
      </w:pPr>
      <w:r>
        <w:t xml:space="preserve">(A)</w:t>
      </w:r>
      <w:r>
        <w:t xml:space="preserve"> </w:t>
      </w:r>
      <w:r>
        <w:drawing>
          <wp:inline>
            <wp:extent cx="2188799" cy="1294518"/>
            <wp:effectExtent b="0" l="0" r="0" t="0"/>
            <wp:docPr descr="image" title="" id="1" name="Picture"/>
            <a:graphic>
              <a:graphicData uri="http://schemas.openxmlformats.org/drawingml/2006/picture">
                <pic:pic>
                  <pic:nvPicPr>
                    <pic:cNvPr descr="img/Fig4_NOR_objetos_iguales_recortada.png" id="0" name="Picture"/>
                    <pic:cNvPicPr>
                      <a:picLocks noChangeArrowheads="1" noChangeAspect="1"/>
                    </pic:cNvPicPr>
                  </pic:nvPicPr>
                  <pic:blipFill>
                    <a:blip r:embed="rId27"/>
                    <a:stretch>
                      <a:fillRect/>
                    </a:stretch>
                  </pic:blipFill>
                  <pic:spPr bwMode="auto">
                    <a:xfrm>
                      <a:off x="0" y="0"/>
                      <a:ext cx="2188799" cy="1294518"/>
                    </a:xfrm>
                    <a:prstGeom prst="rect">
                      <a:avLst/>
                    </a:prstGeom>
                    <a:noFill/>
                    <a:ln w="9525">
                      <a:noFill/>
                      <a:headEnd/>
                      <a:tailEnd/>
                    </a:ln>
                  </pic:spPr>
                </pic:pic>
              </a:graphicData>
            </a:graphic>
          </wp:inline>
        </w:drawing>
      </w:r>
      <w:r>
        <w:t xml:space="preserve"> </w:t>
      </w:r>
      <w:r>
        <w:t xml:space="preserve">(B)</w:t>
      </w:r>
      <w:r>
        <w:t xml:space="preserve"> </w:t>
      </w:r>
      <w:r>
        <w:drawing>
          <wp:inline>
            <wp:extent cx="2188799" cy="1294518"/>
            <wp:effectExtent b="0" l="0" r="0" t="0"/>
            <wp:docPr descr="image" title="" id="1" name="Picture"/>
            <a:graphic>
              <a:graphicData uri="http://schemas.openxmlformats.org/drawingml/2006/picture">
                <pic:pic>
                  <pic:nvPicPr>
                    <pic:cNvPr descr="img/Fig4_NOR_objetos_diferentes_recortada.png" id="0" name="Picture"/>
                    <pic:cNvPicPr>
                      <a:picLocks noChangeArrowheads="1" noChangeAspect="1"/>
                    </pic:cNvPicPr>
                  </pic:nvPicPr>
                  <pic:blipFill>
                    <a:blip r:embed="rId28"/>
                    <a:stretch>
                      <a:fillRect/>
                    </a:stretch>
                  </pic:blipFill>
                  <pic:spPr bwMode="auto">
                    <a:xfrm>
                      <a:off x="0" y="0"/>
                      <a:ext cx="2188799" cy="1294518"/>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9"/>
    <w:bookmarkStart w:id="32"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30"/>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1"/>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2"/>
    <w:bookmarkStart w:id="33"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la velocidad media, los cruces de línea (</w:t>
      </w:r>
      <w:r>
        <w:rPr>
          <w:iCs/>
          <w:i/>
        </w:rPr>
        <w:t xml:space="preserve">line crossings</w:t>
      </w:r>
      <w:r>
        <w:t xml:space="preserve">) sobre una grilla virtual y, mediante zonas definidas por el usuario —regiones de interés trazadas alrededor de cada objeto o sector de la arena—, el número de entradas y el tiempo de permanencia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3"/>
    <w:bookmarkEnd w:id="34"/>
    <w:bookmarkStart w:id="37"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que se incubaron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 Todos los portaobjetos se codificaron y fueron analizados por dos observadores independientes que desconocían el tratamiento.</w:t>
      </w:r>
    </w:p>
    <w:bookmarkStart w:id="36"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5">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independientes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6"/>
    <w:bookmarkEnd w:id="37"/>
    <w:bookmarkStart w:id="38"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como factor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exploración de los objetos en las fases de muestreo del NOR (T1) y de la SLR (día 1) se analizó mediante un ANOVA mixto de tres factores,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los mismos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8"/>
    <w:bookmarkStart w:id="39"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9"/>
    <w:bookmarkEnd w:id="40"/>
    <w:bookmarkStart w:id="82" w:name="resultados"/>
    <w:p>
      <w:pPr>
        <w:pStyle w:val="Heading1"/>
      </w:pPr>
      <w:r>
        <w:t xml:space="preserve">5. Resultados</w:t>
      </w:r>
    </w:p>
    <w:bookmarkStart w:id="48" w:name="consumo-de-líquidos"/>
    <w:p>
      <w:pPr>
        <w:pStyle w:val="Heading2"/>
      </w:pPr>
      <w:r>
        <w:t xml:space="preserve">5.1 Consumo de líquidos</w:t>
      </w:r>
    </w:p>
    <w:bookmarkStart w:id="45"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solo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a la que estuvieron expuestos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1"/>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sacarosa; verde: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t xml:space="preserve">(A)</w:t>
      </w:r>
      <w:r>
        <w:t xml:space="preserve"> </w:t>
      </w:r>
      <w:r>
        <w:drawing>
          <wp:inline>
            <wp:extent cx="2217599" cy="1832524"/>
            <wp:effectExtent b="0" l="0" r="0" t="0"/>
            <wp:docPr descr="image" title="" id="1" name="Picture"/>
            <a:graphic>
              <a:graphicData uri="http://schemas.openxmlformats.org/drawingml/2006/picture">
                <pic:pic>
                  <pic:nvPicPr>
                    <pic:cNvPr descr="img/Fig5_consumo_liquidos_juvenil_es.png" id="0" name="Picture"/>
                    <pic:cNvPicPr>
                      <a:picLocks noChangeArrowheads="1" noChangeAspect="1"/>
                    </pic:cNvPicPr>
                  </pic:nvPicPr>
                  <pic:blipFill>
                    <a:blip r:embed="rId42"/>
                    <a:stretch>
                      <a:fillRect/>
                    </a:stretch>
                  </pic:blipFill>
                  <pic:spPr bwMode="auto">
                    <a:xfrm>
                      <a:off x="0" y="0"/>
                      <a:ext cx="2217599" cy="1832524"/>
                    </a:xfrm>
                    <a:prstGeom prst="rect">
                      <a:avLst/>
                    </a:prstGeom>
                    <a:noFill/>
                    <a:ln w="9525">
                      <a:noFill/>
                      <a:headEnd/>
                      <a:tailEnd/>
                    </a:ln>
                  </pic:spPr>
                </pic:pic>
              </a:graphicData>
            </a:graphic>
          </wp:inline>
        </w:drawing>
      </w:r>
      <w:r>
        <w:t xml:space="preserve"> </w:t>
      </w:r>
      <w:r>
        <w:t xml:space="preserve">(B)</w:t>
      </w:r>
      <w:r>
        <w:t xml:space="preserve"> </w:t>
      </w:r>
      <w:r>
        <w:drawing>
          <wp:inline>
            <wp:extent cx="3427199" cy="1839720"/>
            <wp:effectExtent b="0" l="0" r="0" t="0"/>
            <wp:docPr descr="image" title="" id="1" name="Picture"/>
            <a:graphic>
              <a:graphicData uri="http://schemas.openxmlformats.org/drawingml/2006/picture">
                <pic:pic>
                  <pic:nvPicPr>
                    <pic:cNvPr descr="img/Fig5_consumo_liquidos_adulto_es.png" id="0" name="Picture"/>
                    <pic:cNvPicPr>
                      <a:picLocks noChangeArrowheads="1" noChangeAspect="1"/>
                    </pic:cNvPicPr>
                  </pic:nvPicPr>
                  <pic:blipFill>
                    <a:blip r:embed="rId43"/>
                    <a:stretch>
                      <a:fillRect/>
                    </a:stretch>
                  </pic:blipFill>
                  <pic:spPr bwMode="auto">
                    <a:xfrm>
                      <a:off x="0" y="0"/>
                      <a:ext cx="3427199" cy="1839720"/>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4"/>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5"/>
    <w:bookmarkStart w:id="47"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los primeros nueve días posteriores al tratamiento (D1–D9), el ANOVA MR de dos vías mostró efectos significativos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y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así como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una interacción significativa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así como efectos significativos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y de las interacciones edad × tiempo (</w:t>
      </w:r>
      <w:r>
        <w:rPr>
          <w:iCs/>
          <w:i/>
        </w:rPr>
        <w:t xml:space="preserve">F</w:t>
      </w:r>
      <w:r>
        <w:t xml:space="preserve">(2,79; 100,55) = 2,93;</w:t>
      </w:r>
      <w:r>
        <w:t xml:space="preserve"> </w:t>
      </w:r>
      <w:r>
        <w:rPr>
          <w:iCs/>
          <w:i/>
        </w:rPr>
        <w:t xml:space="preserve">p</w:t>
      </w:r>
      <w:r>
        <w:t xml:space="preserve"> </w:t>
      </w:r>
      <w:r>
        <w:t xml:space="preserve">= 0,041) y tratamiento × tiempo (</w:t>
      </w:r>
      <w:r>
        <w:rPr>
          <w:iCs/>
          <w:i/>
        </w:rPr>
        <w:t xml:space="preserve">F</w:t>
      </w:r>
      <w:r>
        <w:t xml:space="preserve">(5,59; 100,55) = 3,91;</w:t>
      </w:r>
      <w:r>
        <w:t xml:space="preserve"> </w:t>
      </w:r>
      <w:r>
        <w:rPr>
          <w:iCs/>
          <w:i/>
        </w:rPr>
        <w:t xml:space="preserve">p</w:t>
      </w:r>
      <w:r>
        <w:t xml:space="preserve"> </w:t>
      </w:r>
      <w:r>
        <w:t xml:space="preserve">= 0,0019). En este período, los juveniles previamente expuestos a stevia mostraron un incremento del consumo, con valores promedio un 24,83 % superiores a los del control (</w:t>
      </w:r>
      <w:r>
        <w:rPr>
          <w:iCs/>
          <w:i/>
        </w:rPr>
        <w:t xml:space="preserve">p</w:t>
      </w:r>
      <w:r>
        <w:t xml:space="preserve"> </w:t>
      </w:r>
      <w:r>
        <w:t xml:space="preserve">= 0,00024). Por su parte, los juveniles previamente expuestos a sacarosa mostraron una aproximación progresiva a los valores del control, sin diferencias significativas durante D17–D25 (</w:t>
      </w:r>
      <w:r>
        <w:rPr>
          <w:iCs/>
          <w:i/>
        </w:rPr>
        <w:t xml:space="preserve">p</w:t>
      </w:r>
      <w:r>
        <w:t xml:space="preserve"> </w:t>
      </w:r>
      <w:r>
        <w:t xml:space="preserve">&gt; 0,05). En cambio,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6"/>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7"/>
    <w:bookmarkEnd w:id="48"/>
    <w:bookmarkStart w:id="58"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 Figura 5.5A), y ninguna comparación de Tukey resultó significativa, lo que indica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5.5D). En cambio,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Los animales expuestos a stevia ingresaron más veces a las zonas centrales (zonas 1+2) y recorrieron en ellas mayor distancia que los otros grupos, independientemente de la edad de exposición (entradas: ANOVA de dos vías,</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 distancia:</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5.5B y C). En la prueba</w:t>
      </w:r>
      <w:r>
        <w:t xml:space="preserve"> </w:t>
      </w:r>
      <w:r>
        <w:rPr>
          <w:iCs/>
          <w:i/>
        </w:rPr>
        <w:t xml:space="preserve">post hoc</w:t>
      </w:r>
      <w:r>
        <w:t xml:space="preserve"> </w:t>
      </w:r>
      <w:r>
        <w:t xml:space="preserve">de Tukey, las entradas fueron mayores con stevia que en el control en ambas edades (control vs. stevia:</w:t>
      </w:r>
      <w:r>
        <w:t xml:space="preserve"> </w:t>
      </w:r>
      <w:r>
        <w:rPr>
          <w:iCs/>
          <w:i/>
        </w:rPr>
        <w:t xml:space="preserve">p</w:t>
      </w:r>
      <w:r>
        <w:t xml:space="preserve"> </w:t>
      </w:r>
      <w:r>
        <w:t xml:space="preserve">&lt; 0,0001), al igual que la distancia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las zonas 1+2 y recorrieron en ellas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los adultos (</w:t>
      </w:r>
      <w:r>
        <w:rPr>
          <w:iCs/>
          <w:i/>
        </w:rPr>
        <w:t xml:space="preserve">p</w:t>
      </w:r>
      <w:r>
        <w:t xml:space="preserve"> </w:t>
      </w:r>
      <w:r>
        <w:t xml:space="preserve">&gt; 0,05).</w:t>
      </w:r>
    </w:p>
    <w:p>
      <w:pPr>
        <w:pStyle w:val="BodyText"/>
      </w:pPr>
      <w:r>
        <w:t xml:space="preserve">De manera similar, los animales expuestos a stevia ingresaron más veces y recorrieron más distancia en la zona 1, pero las diferencias fueron significativas solo en el grupo adulto (entradas: ANOVA de dos vías,</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 control vs. stevia en adultos:</w:t>
      </w:r>
      <w:r>
        <w:t xml:space="preserve"> </w:t>
      </w:r>
      <w:r>
        <w:rPr>
          <w:iCs/>
          <w:i/>
        </w:rPr>
        <w:t xml:space="preserve">p</w:t>
      </w:r>
      <w:r>
        <w:t xml:space="preserve"> </w:t>
      </w:r>
      <w:r>
        <w:t xml:space="preserve">&lt; 0,01; distancia:</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 control vs. stevia en adultos:</w:t>
      </w:r>
      <w:r>
        <w:t xml:space="preserve"> </w:t>
      </w:r>
      <w:r>
        <w:rPr>
          <w:iCs/>
          <w:i/>
        </w:rPr>
        <w:t xml:space="preserve">p</w:t>
      </w:r>
      <w:r>
        <w:t xml:space="preserve"> </w:t>
      </w:r>
      <w:r>
        <w:t xml:space="preserve">&lt; 0,05; Figura 5.5E y F).</w:t>
      </w:r>
    </w:p>
    <w:p>
      <w:pPr>
        <w:pStyle w:val="BodyText"/>
      </w:pPr>
      <w:r>
        <w:t xml:space="preserve">Como la distancia total recorrida no varió entre grupos, estas diferencias no se explican por cambios en la capacidad locomotora, sino por el lugar de la arena en el que el animal eligió permanecer. En conjunto, estos resultados indican que los animales expuestos a stevia durante la etapa juvenil o adulta presentaron una mayor exploración de las zonas centrales de la arena que sus respectivos controles y que los animales expuestos a sacarosa, sin modificaciones en la distancia total recorrida. En contraste, únicamente los animales expuestos a sacarosa durante la etapa juvenil mostraron una menor exploración de las zonas centrales respecto de sus controles, evidenciada por una reducción tanto en el número de entradas como en la distancia recorrida en esas zonas.</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total.png" id="0" name="Picture"/>
                    <pic:cNvPicPr>
                      <a:picLocks noChangeArrowheads="1" noChangeAspect="1"/>
                    </pic:cNvPicPr>
                  </pic:nvPicPr>
                  <pic:blipFill>
                    <a:blip r:embed="rId49"/>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2.png" id="0" name="Picture"/>
                    <pic:cNvPicPr>
                      <a:picLocks noChangeArrowheads="1" noChangeAspect="1"/>
                    </pic:cNvPicPr>
                  </pic:nvPicPr>
                  <pic:blipFill>
                    <a:blip r:embed="rId50"/>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(C)</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2.png" id="0" name="Picture"/>
                    <pic:cNvPicPr>
                      <a:picLocks noChangeArrowheads="1" noChangeAspect="1"/>
                    </pic:cNvPicPr>
                  </pic:nvPicPr>
                  <pic:blipFill>
                    <a:blip r:embed="rId51"/>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1843199" cy="1716082"/>
            <wp:effectExtent b="0" l="0" r="0" t="0"/>
            <wp:docPr descr="image" title="" id="1" name="Picture"/>
            <a:graphic>
              <a:graphicData uri="http://schemas.openxmlformats.org/drawingml/2006/picture">
                <pic:pic>
                  <pic:nvPicPr>
                    <pic:cNvPr descr="img/Fig5_OF_zonas_visitadas.png" id="0" name="Picture"/>
                    <pic:cNvPicPr>
                      <a:picLocks noChangeArrowheads="1" noChangeAspect="1"/>
                    </pic:cNvPicPr>
                  </pic:nvPicPr>
                  <pic:blipFill>
                    <a:blip r:embed="rId52"/>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(E)</w:t>
      </w:r>
      <w:r>
        <w:t xml:space="preserve"> </w:t>
      </w:r>
      <w:r>
        <w:drawing>
          <wp:inline>
            <wp:extent cx="1843199" cy="1716082"/>
            <wp:effectExtent b="0" l="0" r="0" t="0"/>
            <wp:docPr descr="image" title="" id="1" name="Picture"/>
            <a:graphic>
              <a:graphicData uri="http://schemas.openxmlformats.org/drawingml/2006/picture">
                <pic:pic>
                  <pic:nvPicPr>
                    <pic:cNvPr descr="img/Fig5_OF_entradas_zona1.png" id="0" name="Picture"/>
                    <pic:cNvPicPr>
                      <a:picLocks noChangeArrowheads="1" noChangeAspect="1"/>
                    </pic:cNvPicPr>
                  </pic:nvPicPr>
                  <pic:blipFill>
                    <a:blip r:embed="rId53"/>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(F)</w:t>
      </w:r>
      <w:r>
        <w:t xml:space="preserve"> </w:t>
      </w:r>
      <w:r>
        <w:drawing>
          <wp:inline>
            <wp:extent cx="1843199" cy="1716082"/>
            <wp:effectExtent b="0" l="0" r="0" t="0"/>
            <wp:docPr descr="image" title="" id="1" name="Picture"/>
            <a:graphic>
              <a:graphicData uri="http://schemas.openxmlformats.org/drawingml/2006/picture">
                <pic:pic>
                  <pic:nvPicPr>
                    <pic:cNvPr descr="img/Fig5_OF_distancia_zona1.png" id="0" name="Picture"/>
                    <pic:cNvPicPr>
                      <a:picLocks noChangeArrowheads="1" noChangeAspect="1"/>
                    </pic:cNvPicPr>
                  </pic:nvPicPr>
                  <pic:blipFill>
                    <a:blip r:embed="rId54"/>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Entradas a las zonas centrales (zonas 1+2). (C) Distancia recorrida en las zonas 1+2. (D) Número de zonas visitadas. (E) Entradas a la zona central (zona 1). (F) Distancia recorrida en la zona 1.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r>
        <w:rPr>
          <w:sz w:val="19"/>
        </w:rPr>
        <w:t xml:space="preserve"> </w:t>
      </w:r>
      <w:r>
        <w:rPr>
          <w:bCs/>
          <w:b/>
          <w:sz w:val="19"/>
        </w:rPr>
        <w:t xml:space="preserve">[CONFIRMAR: hoy los grupos stevia tienen 6 o 7 animales; la Dra. Kruse va a sumar animales de 2024 a ese grupo]</w:t>
      </w:r>
    </w:p>
    <w:p>
      <w:pPr>
        <w:pStyle w:val="BodyText"/>
      </w:pPr>
      <w:r>
        <w:t xml:space="preserve">También se analizó la conducta de</w:t>
      </w:r>
      <w:r>
        <w:t xml:space="preserve"> </w:t>
      </w:r>
      <w:r>
        <w:rPr>
          <w:iCs/>
          <w:i/>
        </w:rPr>
        <w:t xml:space="preserve">rearing</w:t>
      </w:r>
      <w:r>
        <w:t xml:space="preserve">, en la que el animal se levanta sobre sus patas traseras, ya sea apoyándose en las paredes del recinto o de forma libre en el centro. Este parámetro etológico también fue sensible a los tratamientos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 Figura 5.6). En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los adultos, solo los animales expuestos a stevia le dedicaron menos tiempo que los controles (control vs. stevia:</w:t>
      </w:r>
      <w:r>
        <w:t xml:space="preserve"> </w:t>
      </w:r>
      <w:r>
        <w:rPr>
          <w:iCs/>
          <w:i/>
        </w:rPr>
        <w:t xml:space="preserve">p</w:t>
      </w:r>
      <w:r>
        <w:t xml:space="preserve"> </w:t>
      </w:r>
      <w:r>
        <w:t xml:space="preserve">&lt; 0,05); su número de eventos fue menor que el de los expuestos a sacarosa (sacarosa vs. stevia:</w:t>
      </w:r>
      <w:r>
        <w:t xml:space="preserve"> </w:t>
      </w:r>
      <w:r>
        <w:rPr>
          <w:iCs/>
          <w:i/>
        </w:rPr>
        <w:t xml:space="preserve">p</w:t>
      </w:r>
      <w:r>
        <w:t xml:space="preserve"> </w:t>
      </w:r>
      <w:r>
        <w:t xml:space="preserve">&lt; 0,05), pero no difirió del de los controles (</w:t>
      </w:r>
      <w:r>
        <w:rPr>
          <w:iCs/>
          <w:i/>
        </w:rPr>
        <w:t xml:space="preserve">p</w:t>
      </w:r>
      <w:r>
        <w:t xml:space="preserve"> </w:t>
      </w:r>
      <w:r>
        <w:t xml:space="preserve">&gt; 0,05). Estos resultados indican que la exposición juvenil a cualquiera de los dos edulcorantes redujo la exploración vertical, mientras que en la adultez solo la stevia tuvo ese efecto.</w:t>
      </w:r>
    </w:p>
    <w:p>
      <w:pPr>
        <w:pStyle w:val="BodyText"/>
        <w:keepNext/>
        <w:jc w:val="center"/>
      </w:pPr>
      <w:r>
        <w:t xml:space="preserve">(A)</w:t>
      </w:r>
      <w:r>
        <w:t xml:space="preserve"> </w:t>
      </w:r>
      <w:r>
        <w:drawing>
          <wp:inline>
            <wp:extent cx="1843199" cy="1716082"/>
            <wp:effectExtent b="0" l="0" r="0" t="0"/>
            <wp:docPr descr="image" title="" id="1" name="Picture"/>
            <a:graphic>
              <a:graphicData uri="http://schemas.openxmlformats.org/drawingml/2006/picture">
                <pic:pic>
                  <pic:nvPicPr>
                    <pic:cNvPr descr="img/Fig5_OF_rearing_numero.png" id="0" name="Picture"/>
                    <pic:cNvPicPr>
                      <a:picLocks noChangeArrowheads="1" noChangeAspect="1"/>
                    </pic:cNvPicPr>
                  </pic:nvPicPr>
                  <pic:blipFill>
                    <a:blip r:embed="rId56"/>
                    <a:stretch>
                      <a:fillRect/>
                    </a:stretch>
                  </pic:blipFill>
                  <pic:spPr bwMode="auto">
                    <a:xfrm>
                      <a:off x="0" y="0"/>
                      <a:ext cx="1843199" cy="1716082"/>
                    </a:xfrm>
                    <a:prstGeom prst="rect">
                      <a:avLst/>
                    </a:prstGeom>
                    <a:noFill/>
                    <a:ln w="9525">
                      <a:noFill/>
                      <a:headEnd/>
                      <a:tailEnd/>
                    </a:ln>
                  </pic:spPr>
                </pic:pic>
              </a:graphicData>
            </a:graphic>
          </wp:inline>
        </w:drawing>
      </w:r>
      <w:r>
        <w:t xml:space="preserve"> </w:t>
      </w:r>
      <w:r>
        <w:t xml:space="preserve">(B)</w:t>
      </w:r>
      <w:r>
        <w:t xml:space="preserve"> </w:t>
      </w:r>
      <w:r>
        <w:drawing>
          <wp:inline>
            <wp:extent cx="1843199" cy="1716082"/>
            <wp:effectExtent b="0" l="0" r="0" t="0"/>
            <wp:docPr descr="image" title="" id="1" name="Picture"/>
            <a:graphic>
              <a:graphicData uri="http://schemas.openxmlformats.org/drawingml/2006/picture">
                <pic:pic>
                  <pic:nvPicPr>
                    <pic:cNvPr descr="img/Fig5_OF_rearing_tiempo.png" id="0" name="Picture"/>
                    <pic:cNvPicPr>
                      <a:picLocks noChangeArrowheads="1" noChangeAspect="1"/>
                    </pic:cNvPicPr>
                  </pic:nvPicPr>
                  <pic:blipFill>
                    <a:blip r:embed="rId57"/>
                    <a:stretch>
                      <a:fillRect/>
                    </a:stretch>
                  </pic:blipFill>
                  <pic:spPr bwMode="auto">
                    <a:xfrm>
                      <a:off x="0" y="0"/>
                      <a:ext cx="1843199" cy="1716082"/>
                    </a:xfrm>
                    <a:prstGeom prst="rect">
                      <a:avLst/>
                    </a:prstGeom>
                    <a:noFill/>
                    <a:ln w="9525">
                      <a:noFill/>
                      <a:headEnd/>
                      <a:tailEnd/>
                    </a:ln>
                  </pic:spPr>
                </pic:pic>
              </a:graphicData>
            </a:graphic>
          </wp:inline>
        </w:drawing>
      </w:r>
    </w:p>
    <w:p>
      <w:pPr>
        <w:pStyle w:val="BodyText"/>
        <w:keepNext/>
        <w:jc w:val="center"/>
      </w:pPr>
      <w:r>
        <w:drawing>
          <wp:inline>
            <wp:extent cx="1259999" cy="632903"/>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259999" cy="632903"/>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control; rojo: sacarosa; verde: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r>
      <w:tr>
        <w:trPr>
          <w:cantSplit/>
        </w:trPr>
        <w:tc>
          <w:tcPr>
            <w:tcW w:w="1750" w:type="dxa"/>
          </w:tcPr>
          <w:p>
            <w:pPr>
              <w:pStyle w:val="Compact"/>
              <w:keepNext/>
              <w:spacing w:before="20" w:after="20"/>
              <w:jc w:val="left"/>
            </w:pPr>
            <w:r>
              <w:rPr>
                <w:sz w:val="16"/>
              </w:rPr>
              <w:t xml:space="preserve">Entradas a zonas 1+2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r>
      <w:tr>
        <w:trPr>
          <w:cantSplit/>
        </w:trPr>
        <w:tc>
          <w:tcPr>
            <w:tcW w:w="1750" w:type="dxa"/>
          </w:tcPr>
          <w:p>
            <w:pPr>
              <w:pStyle w:val="Compact"/>
              <w:keepNext/>
              <w:spacing w:before="20" w:after="20"/>
              <w:jc w:val="left"/>
            </w:pPr>
            <w:r>
              <w:rPr>
                <w:sz w:val="16"/>
              </w:rPr>
              <w:t xml:space="preserve">Distancia en zonas 1+2</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r>
    </w:tbl>
    <w:bookmarkEnd w:id="58"/>
    <w:bookmarkStart w:id="63"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los dos objetos idénticos en los animales juveniles y adultos de los grupos control, sacarosa y stevia (Figura 5.7). El análisis mediante un ANOVA mixto de tres factores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lo que indica que los animales juveniles exploraron los objetos durante más tiempo que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y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La interacción edad × posición, en cambio, fue significativa (</w:t>
      </w:r>
      <w:r>
        <w:rPr>
          <w:iCs/>
          <w:i/>
        </w:rPr>
        <w:t xml:space="preserve">F</w:t>
      </w:r>
      <w:r>
        <w:t xml:space="preserve">(1, 49) = 8,131;</w:t>
      </w:r>
      <w:r>
        <w:t xml:space="preserve"> </w:t>
      </w:r>
      <w:r>
        <w:rPr>
          <w:iCs/>
          <w:i/>
        </w:rPr>
        <w:t xml:space="preserve">p</w:t>
      </w:r>
      <w:r>
        <w:t xml:space="preserve"> </w:t>
      </w:r>
      <w:r>
        <w:t xml:space="preserve">= 0,0064), debido a que los animales adultos exploraron algo más el objeto ubicado a la derecha. En conjunto, estos resultados indican que la edad constituye un factor determinante del comportamiento exploratorio durante la fase de familiarización, mientras que la exposición a sacarosa o a stevia no produjo diferencias en el tiempo de exploración de los objetos.</w:t>
      </w:r>
    </w:p>
    <w:p>
      <w:pPr>
        <w:pStyle w:val="BodyText"/>
        <w:keepNext/>
        <w:jc w:val="center"/>
      </w:pPr>
      <w:r>
        <w:drawing>
          <wp:inline>
            <wp:extent cx="3571199" cy="2516072"/>
            <wp:effectExtent b="0" l="0" r="0" t="0"/>
            <wp:docPr descr="image" title="" id="1" name="Picture"/>
            <a:graphic>
              <a:graphicData uri="http://schemas.openxmlformats.org/drawingml/2006/picture">
                <pic:pic>
                  <pic:nvPicPr>
                    <pic:cNvPr descr="img/Fig5_NOR_T1.png" id="0" name="Picture"/>
                    <pic:cNvPicPr>
                      <a:picLocks noChangeArrowheads="1" noChangeAspect="1"/>
                    </pic:cNvPicPr>
                  </pic:nvPicPr>
                  <pic:blipFill>
                    <a:blip r:embed="rId59"/>
                    <a:stretch>
                      <a:fillRect/>
                    </a:stretch>
                  </pic:blipFill>
                  <pic:spPr bwMode="auto">
                    <a:xfrm>
                      <a:off x="0" y="0"/>
                      <a:ext cx="3571199" cy="251607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control; rojo: sacarosa; verde: stevia. # </w:t>
      </w:r>
      <w:r>
        <w:rPr>
          <w:iCs/>
          <w:i/>
          <w:sz w:val="19"/>
        </w:rPr>
        <w:t xml:space="preserve">p</w:t>
      </w:r>
      <w:r>
        <w:rPr>
          <w:sz w:val="19"/>
        </w:rPr>
        <w:t xml:space="preserve"> </w:t>
      </w:r>
      <w:r>
        <w:rPr>
          <w:sz w:val="19"/>
        </w:rPr>
        <w:t xml:space="preserve">&lt; 0,0001, efecto principal de la edad (ANOVA mixto de tres factores).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al igual que el grupo adulto expuesto a sacarosa, mostraron una clara preferencia por explorar el objeto novedoso.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t xml:space="preserve">(A)</w:t>
      </w:r>
      <w:r>
        <w:t xml:space="preserve"> </w:t>
      </w:r>
      <w:r>
        <w:drawing>
          <wp:inline>
            <wp:extent cx="1843199" cy="1762307"/>
            <wp:effectExtent b="0" l="0" r="0" t="0"/>
            <wp:docPr descr="image" title="" id="1" name="Picture"/>
            <a:graphic>
              <a:graphicData uri="http://schemas.openxmlformats.org/drawingml/2006/picture">
                <pic:pic>
                  <pic:nvPicPr>
                    <pic:cNvPr descr="img/Fig5_NOR_T2_es.png" id="0" name="Picture"/>
                    <pic:cNvPicPr>
                      <a:picLocks noChangeArrowheads="1" noChangeAspect="1"/>
                    </pic:cNvPicPr>
                  </pic:nvPicPr>
                  <pic:blipFill>
                    <a:blip r:embed="rId60"/>
                    <a:stretch>
                      <a:fillRect/>
                    </a:stretch>
                  </pic:blipFill>
                  <pic:spPr bwMode="auto">
                    <a:xfrm>
                      <a:off x="0" y="0"/>
                      <a:ext cx="1843199" cy="1762307"/>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25865"/>
            <wp:effectExtent b="0" l="0" r="0" t="0"/>
            <wp:docPr descr="image" title="" id="1" name="Picture"/>
            <a:graphic>
              <a:graphicData uri="http://schemas.openxmlformats.org/drawingml/2006/picture">
                <pic:pic>
                  <pic:nvPicPr>
                    <pic:cNvPr descr="img/Fig5_NOR_T3_es.png" id="0" name="Picture"/>
                    <pic:cNvPicPr>
                      <a:picLocks noChangeArrowheads="1" noChangeAspect="1"/>
                    </pic:cNvPicPr>
                  </pic:nvPicPr>
                  <pic:blipFill>
                    <a:blip r:embed="rId61"/>
                    <a:stretch>
                      <a:fillRect/>
                    </a:stretch>
                  </pic:blipFill>
                  <pic:spPr bwMode="auto">
                    <a:xfrm>
                      <a:off x="0" y="0"/>
                      <a:ext cx="1843199" cy="1825865"/>
                    </a:xfrm>
                    <a:prstGeom prst="rect">
                      <a:avLst/>
                    </a:prstGeom>
                    <a:noFill/>
                    <a:ln w="9525">
                      <a:noFill/>
                      <a:headEnd/>
                      <a:tailEnd/>
                    </a:ln>
                  </pic:spPr>
                </pic:pic>
              </a:graphicData>
            </a:graphic>
          </wp:inline>
        </w:drawing>
      </w:r>
      <w:r>
        <w:t xml:space="preserve"> </w:t>
      </w:r>
      <w:r>
        <w:t xml:space="preserve">(C)</w:t>
      </w:r>
      <w:r>
        <w:t xml:space="preserve"> </w:t>
      </w:r>
      <w:r>
        <w:drawing>
          <wp:inline>
            <wp:extent cx="1843199" cy="1502875"/>
            <wp:effectExtent b="0" l="0" r="0" t="0"/>
            <wp:docPr descr="image" title="" id="1" name="Picture"/>
            <a:graphic>
              <a:graphicData uri="http://schemas.openxmlformats.org/drawingml/2006/picture">
                <pic:pic>
                  <pic:nvPicPr>
                    <pic:cNvPr descr="img/Fig5_NOR_T4_es.png" id="0" name="Picture"/>
                    <pic:cNvPicPr>
                      <a:picLocks noChangeArrowheads="1" noChangeAspect="1"/>
                    </pic:cNvPicPr>
                  </pic:nvPicPr>
                  <pic:blipFill>
                    <a:blip r:embed="rId62"/>
                    <a:stretch>
                      <a:fillRect/>
                    </a:stretch>
                  </pic:blipFill>
                  <pic:spPr bwMode="auto">
                    <a:xfrm>
                      <a:off x="0" y="0"/>
                      <a:ext cx="1843199" cy="1502875"/>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5753100" cy="1587062"/>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753100" cy="158706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control; rojo: sacarosa; verde: stevia (paleta común a todas las figuras de esta tesis).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observados en todos los intervalos de retención evaluados. En contraste, los animales expuestos a sacarosa durante la adultez conservaron la capacidad de reconocer el objeto familiar y discriminarlo del novedoso en todas las fases experimentales.</w:t>
      </w:r>
    </w:p>
    <w:p>
      <w:pPr>
        <w:pStyle w:val="BodyText"/>
      </w:pPr>
      <w:r>
        <w:t xml:space="preserve">Por su parte, la exposición a stevia produjo alteraciones específicas en función de la edad y del intervalo de retención. En los animales juveniles se observó una disminución significativa de la tasa de exploración del objeto novedoso respecto del grupo control a las 24 h, lo que sugiere un compromiso de la memoria a largo plazo. En cambio, en los animales adultos esta disminución se manifestó únicamente a las 2 h, lo que indica una alteración de la memoria a corto plazo. No obstante, la memoria consolidada permaneció preservada en ambos grupos expuestos a stevia.</w:t>
      </w:r>
    </w:p>
    <w:p>
      <w:pPr>
        <w:pStyle w:val="BodyText"/>
      </w:pPr>
      <w:r>
        <w:t xml:space="preserve">En conjunto,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keepNext/>
              <w:spacing w:before="20" w:after="20"/>
              <w:jc w:val="left"/>
            </w:pPr>
            <w:r>
              <w:rPr>
                <w:sz w:val="16"/>
              </w:rPr>
              <w:t xml:space="preserve">Edad</w:t>
            </w:r>
          </w:p>
        </w:tc>
        <w:tc>
          <w:tcPr>
            <w:tcW w:w="813" w:type="dxa"/>
          </w:tcPr>
          <w:p>
            <w:pPr>
              <w:pStyle w:val="Compact"/>
              <w:keepNext/>
              <w:spacing w:before="20" w:after="20"/>
              <w:jc w:val="center"/>
            </w:pPr>
            <w:r>
              <w:rPr>
                <w:sz w:val="16"/>
              </w:rPr>
              <w:t xml:space="preserve">12,74 (1, 49)</w:t>
            </w:r>
          </w:p>
        </w:tc>
        <w:tc>
          <w:tcPr>
            <w:tcW w:w="813" w:type="dxa"/>
          </w:tcPr>
          <w:p>
            <w:pPr>
              <w:pStyle w:val="Compact"/>
              <w:keepNext/>
              <w:spacing w:before="20" w:after="20"/>
              <w:jc w:val="center"/>
            </w:pPr>
            <w:r>
              <w:rPr>
                <w:bCs/>
                <w:b/>
                <w:sz w:val="16"/>
              </w:rPr>
              <w:t xml:space="preserve">0,0008</w:t>
            </w:r>
          </w:p>
        </w:tc>
        <w:tc>
          <w:tcPr>
            <w:tcW w:w="813" w:type="dxa"/>
          </w:tcPr>
          <w:p>
            <w:pPr>
              <w:pStyle w:val="Compact"/>
              <w:keepNext/>
              <w:spacing w:before="20" w:after="20"/>
              <w:jc w:val="center"/>
            </w:pPr>
            <w:r>
              <w:rPr>
                <w:sz w:val="16"/>
              </w:rPr>
              <w:t xml:space="preserve">0,206</w:t>
            </w:r>
          </w:p>
        </w:tc>
        <w:tc>
          <w:tcPr>
            <w:tcW w:w="813" w:type="dxa"/>
          </w:tcPr>
          <w:p>
            <w:pPr>
              <w:pStyle w:val="Compact"/>
              <w:keepNext/>
              <w:spacing w:before="20" w:after="20"/>
              <w:jc w:val="center"/>
            </w:pPr>
            <w:r>
              <w:rPr>
                <w:sz w:val="16"/>
              </w:rPr>
              <w:t xml:space="preserve">14,92 (1, 49)</w:t>
            </w:r>
          </w:p>
        </w:tc>
        <w:tc>
          <w:tcPr>
            <w:tcW w:w="813" w:type="dxa"/>
          </w:tcPr>
          <w:p>
            <w:pPr>
              <w:pStyle w:val="Compact"/>
              <w:keepNext/>
              <w:spacing w:before="20" w:after="20"/>
              <w:jc w:val="center"/>
            </w:pPr>
            <w:r>
              <w:rPr>
                <w:bCs/>
                <w:b/>
                <w:sz w:val="16"/>
              </w:rPr>
              <w:t xml:space="preserve">0,0003</w:t>
            </w:r>
          </w:p>
        </w:tc>
        <w:tc>
          <w:tcPr>
            <w:tcW w:w="813" w:type="dxa"/>
          </w:tcPr>
          <w:p>
            <w:pPr>
              <w:pStyle w:val="Compact"/>
              <w:keepNext/>
              <w:spacing w:before="20" w:after="20"/>
              <w:jc w:val="center"/>
            </w:pPr>
            <w:r>
              <w:rPr>
                <w:sz w:val="16"/>
              </w:rPr>
              <w:t xml:space="preserve">0,233</w:t>
            </w:r>
          </w:p>
        </w:tc>
        <w:tc>
          <w:tcPr>
            <w:tcW w:w="813" w:type="dxa"/>
          </w:tcPr>
          <w:p>
            <w:pPr>
              <w:pStyle w:val="Compact"/>
              <w:keepNext/>
              <w:spacing w:before="20" w:after="20"/>
              <w:jc w:val="center"/>
            </w:pPr>
            <w:r>
              <w:rPr>
                <w:sz w:val="16"/>
              </w:rPr>
              <w:t xml:space="preserve">9,07 (1, 49)</w:t>
            </w:r>
          </w:p>
        </w:tc>
        <w:tc>
          <w:tcPr>
            <w:tcW w:w="813" w:type="dxa"/>
          </w:tcPr>
          <w:p>
            <w:pPr>
              <w:pStyle w:val="Compact"/>
              <w:keepNext/>
              <w:spacing w:before="20" w:after="20"/>
              <w:jc w:val="center"/>
            </w:pPr>
            <w:r>
              <w:rPr>
                <w:bCs/>
                <w:b/>
                <w:sz w:val="16"/>
              </w:rPr>
              <w:t xml:space="preserve">0,0041</w:t>
            </w:r>
          </w:p>
        </w:tc>
        <w:tc>
          <w:tcPr>
            <w:tcW w:w="813" w:type="dxa"/>
          </w:tcPr>
          <w:p>
            <w:pPr>
              <w:pStyle w:val="Compact"/>
              <w:keepNext/>
              <w:spacing w:before="20" w:after="20"/>
              <w:jc w:val="center"/>
            </w:pPr>
            <w:r>
              <w:rPr>
                <w:sz w:val="16"/>
              </w:rPr>
              <w:t xml:space="preserve">0,156</w:t>
            </w:r>
          </w:p>
        </w:tc>
      </w:tr>
      <w:tr>
        <w:trPr>
          <w:cantSplit/>
        </w:trPr>
        <w:tc>
          <w:tcPr>
            <w:tcW w:w="1750" w:type="dxa"/>
          </w:tcPr>
          <w:p>
            <w:pPr>
              <w:pStyle w:val="Compact"/>
              <w:spacing w:before="20" w:after="20"/>
              <w:jc w:val="left"/>
            </w:pPr>
            <w:r>
              <w:rPr>
                <w:sz w:val="16"/>
              </w:rPr>
              <w:t xml:space="preserve">Interacción</w:t>
            </w:r>
          </w:p>
        </w:tc>
        <w:tc>
          <w:tcPr>
            <w:tcW w:w="813" w:type="dxa"/>
          </w:tcPr>
          <w:p>
            <w:pPr>
              <w:pStyle w:val="Compact"/>
              <w:spacing w:before="20" w:after="20"/>
              <w:jc w:val="center"/>
            </w:pPr>
            <w:r>
              <w:rPr>
                <w:sz w:val="16"/>
              </w:rPr>
              <w:t xml:space="preserve">10,13 (2, 49)</w:t>
            </w:r>
          </w:p>
        </w:tc>
        <w:tc>
          <w:tcPr>
            <w:tcW w:w="813" w:type="dxa"/>
          </w:tcPr>
          <w:p>
            <w:pPr>
              <w:pStyle w:val="Compact"/>
              <w:spacing w:before="20" w:after="20"/>
              <w:jc w:val="center"/>
            </w:pPr>
            <w:r>
              <w:rPr>
                <w:bCs/>
                <w:b/>
                <w:sz w:val="16"/>
              </w:rPr>
              <w:t xml:space="preserve">0,0002</w:t>
            </w:r>
          </w:p>
        </w:tc>
        <w:tc>
          <w:tcPr>
            <w:tcW w:w="813" w:type="dxa"/>
          </w:tcPr>
          <w:p>
            <w:pPr>
              <w:pStyle w:val="Compact"/>
              <w:spacing w:before="20" w:after="20"/>
              <w:jc w:val="center"/>
            </w:pPr>
            <w:r>
              <w:rPr>
                <w:sz w:val="16"/>
              </w:rPr>
              <w:t xml:space="preserve">0,293</w:t>
            </w:r>
          </w:p>
        </w:tc>
        <w:tc>
          <w:tcPr>
            <w:tcW w:w="813" w:type="dxa"/>
          </w:tcPr>
          <w:p>
            <w:pPr>
              <w:pStyle w:val="Compact"/>
              <w:spacing w:before="20" w:after="20"/>
              <w:jc w:val="center"/>
            </w:pPr>
            <w:r>
              <w:rPr>
                <w:sz w:val="16"/>
              </w:rPr>
              <w:t xml:space="preserve">11,67 (2, 49)</w:t>
            </w:r>
          </w:p>
        </w:tc>
        <w:tc>
          <w:tcPr>
            <w:tcW w:w="813" w:type="dxa"/>
          </w:tcPr>
          <w:p>
            <w:pPr>
              <w:pStyle w:val="Compact"/>
              <w:spacing w:before="20" w:after="20"/>
              <w:jc w:val="center"/>
            </w:pPr>
            <w:r>
              <w:rPr>
                <w:bCs/>
                <w:b/>
                <w:sz w:val="16"/>
              </w:rPr>
              <w:t xml:space="preserve">&lt;0,0001</w:t>
            </w:r>
          </w:p>
        </w:tc>
        <w:tc>
          <w:tcPr>
            <w:tcW w:w="813" w:type="dxa"/>
          </w:tcPr>
          <w:p>
            <w:pPr>
              <w:pStyle w:val="Compact"/>
              <w:spacing w:before="20" w:after="20"/>
              <w:jc w:val="center"/>
            </w:pPr>
            <w:r>
              <w:rPr>
                <w:sz w:val="16"/>
              </w:rPr>
              <w:t xml:space="preserve">0,323</w:t>
            </w:r>
          </w:p>
        </w:tc>
        <w:tc>
          <w:tcPr>
            <w:tcW w:w="813" w:type="dxa"/>
          </w:tcPr>
          <w:p>
            <w:pPr>
              <w:pStyle w:val="Compact"/>
              <w:spacing w:before="20" w:after="20"/>
              <w:jc w:val="center"/>
            </w:pPr>
            <w:r>
              <w:rPr>
                <w:sz w:val="16"/>
              </w:rPr>
              <w:t xml:space="preserve">7,82 (2, 49)</w:t>
            </w:r>
          </w:p>
        </w:tc>
        <w:tc>
          <w:tcPr>
            <w:tcW w:w="813" w:type="dxa"/>
          </w:tcPr>
          <w:p>
            <w:pPr>
              <w:pStyle w:val="Compact"/>
              <w:spacing w:before="20" w:after="20"/>
              <w:jc w:val="center"/>
            </w:pPr>
            <w:r>
              <w:rPr>
                <w:bCs/>
                <w:b/>
                <w:sz w:val="16"/>
              </w:rPr>
              <w:t xml:space="preserve">0,0011</w:t>
            </w:r>
          </w:p>
        </w:tc>
        <w:tc>
          <w:tcPr>
            <w:tcW w:w="813" w:type="dxa"/>
          </w:tcPr>
          <w:p>
            <w:pPr>
              <w:pStyle w:val="Compact"/>
              <w:spacing w:before="20" w:after="20"/>
              <w:jc w:val="center"/>
            </w:pPr>
            <w:r>
              <w:rPr>
                <w:sz w:val="16"/>
              </w:rPr>
              <w:t xml:space="preserve">0,242</w:t>
            </w:r>
          </w:p>
        </w:tc>
      </w:tr>
    </w:tbl>
    <w:bookmarkEnd w:id="63"/>
    <w:bookmarkStart w:id="72"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Como control de la fase de muestreo (día 1), se analizó el tiempo de exploración de cada uno de los tres objetos idénticos (Figura 5.9A) mediante un ANOVA mixto de tres factores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las interacciones (</w:t>
      </w:r>
      <w:r>
        <w:rPr>
          <w:iCs/>
          <w:i/>
        </w:rPr>
        <w:t xml:space="preserve">p</w:t>
      </w:r>
      <w:r>
        <w:t xml:space="preserve"> </w:t>
      </w:r>
      <w:r>
        <w:t xml:space="preserve">&gt; 0,05).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del tratamiento y de su interacción con la edad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w:t>
      </w:r>
      <w:r>
        <w:t xml:space="preserve">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t xml:space="preserve">(A)</w:t>
      </w:r>
      <w:r>
        <w:t xml:space="preserve"> </w:t>
      </w:r>
      <w:r>
        <w:drawing>
          <wp:inline>
            <wp:extent cx="5471999" cy="2231999"/>
            <wp:effectExtent b="0" l="0" r="0" t="0"/>
            <wp:docPr descr="image" title="" id="1" name="Picture"/>
            <a:graphic>
              <a:graphicData uri="http://schemas.openxmlformats.org/drawingml/2006/picture">
                <pic:pic>
                  <pic:nvPicPr>
                    <pic:cNvPr descr="img/Fig5_SLR_dia1_objetos.png" id="0" name="Picture"/>
                    <pic:cNvPicPr>
                      <a:picLocks noChangeArrowheads="1" noChangeAspect="1"/>
                    </pic:cNvPicPr>
                  </pic:nvPicPr>
                  <pic:blipFill>
                    <a:blip r:embed="rId64"/>
                    <a:stretch>
                      <a:fillRect/>
                    </a:stretch>
                  </pic:blipFill>
                  <pic:spPr bwMode="auto">
                    <a:xfrm>
                      <a:off x="0" y="0"/>
                      <a:ext cx="5471999" cy="2231999"/>
                    </a:xfrm>
                    <a:prstGeom prst="rect">
                      <a:avLst/>
                    </a:prstGeom>
                    <a:noFill/>
                    <a:ln w="9525">
                      <a:noFill/>
                      <a:headEnd/>
                      <a:tailEnd/>
                    </a:ln>
                  </pic:spPr>
                </pic:pic>
              </a:graphicData>
            </a:graphic>
          </wp:inline>
        </w:drawing>
      </w:r>
    </w:p>
    <w:p>
      <w:pPr>
        <w:pStyle w:val="BodyText"/>
        <w:keepNext/>
        <w:jc w:val="center"/>
      </w:pPr>
      <w:r>
        <w:t xml:space="preserve">(B)</w:t>
      </w:r>
      <w:r>
        <w:t xml:space="preserve"> </w:t>
      </w:r>
      <w:r>
        <w:drawing>
          <wp:inline>
            <wp:extent cx="4607999" cy="2159999"/>
            <wp:effectExtent b="0" l="0" r="0" t="0"/>
            <wp:docPr descr="image" title="" id="1" name="Picture"/>
            <a:graphic>
              <a:graphicData uri="http://schemas.openxmlformats.org/drawingml/2006/picture">
                <pic:pic>
                  <pic:nvPicPr>
                    <pic:cNvPr descr="img/Fig5_SLR_dia1_distancia.png" id="0" name="Picture"/>
                    <pic:cNvPicPr>
                      <a:picLocks noChangeArrowheads="1" noChangeAspect="1"/>
                    </pic:cNvPicPr>
                  </pic:nvPicPr>
                  <pic:blipFill>
                    <a:blip r:embed="rId65"/>
                    <a:stretch>
                      <a:fillRect/>
                    </a:stretch>
                  </pic:blipFill>
                  <pic:spPr bwMode="auto">
                    <a:xfrm>
                      <a:off x="0" y="0"/>
                      <a:ext cx="4607999" cy="2159999"/>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control; rojo: sacarosa; verde: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66"/>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control; rojo: sacarosa; verde: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t xml:space="preserve">(A)</w:t>
      </w:r>
      <w:r>
        <w:t xml:space="preserve"> </w:t>
      </w:r>
      <w:r>
        <w:drawing>
          <wp:inline>
            <wp:extent cx="2764799" cy="1932857"/>
            <wp:effectExtent b="0" l="0" r="0" t="0"/>
            <wp:docPr descr="image" title="" id="1" name="Picture"/>
            <a:graphic>
              <a:graphicData uri="http://schemas.openxmlformats.org/drawingml/2006/picture">
                <pic:pic>
                  <pic:nvPicPr>
                    <pic:cNvPr descr="img/Fig5_DI_SLR_d_es.png" id="0" name="Picture"/>
                    <pic:cNvPicPr>
                      <a:picLocks noChangeArrowheads="1" noChangeAspect="1"/>
                    </pic:cNvPicPr>
                  </pic:nvPicPr>
                  <pic:blipFill>
                    <a:blip r:embed="rId67"/>
                    <a:stretch>
                      <a:fillRect/>
                    </a:stretch>
                  </pic:blipFill>
                  <pic:spPr bwMode="auto">
                    <a:xfrm>
                      <a:off x="0" y="0"/>
                      <a:ext cx="2764799" cy="1932857"/>
                    </a:xfrm>
                    <a:prstGeom prst="rect">
                      <a:avLst/>
                    </a:prstGeom>
                    <a:noFill/>
                    <a:ln w="9525">
                      <a:noFill/>
                      <a:headEnd/>
                      <a:tailEnd/>
                    </a:ln>
                  </pic:spPr>
                </pic:pic>
              </a:graphicData>
            </a:graphic>
          </wp:inline>
        </w:drawing>
      </w:r>
      <w:r>
        <w:t xml:space="preserve"> </w:t>
      </w:r>
      <w:r>
        <w:t xml:space="preserve">(B)</w:t>
      </w:r>
      <w:r>
        <w:t xml:space="preserve"> </w:t>
      </w:r>
      <w:r>
        <w:drawing>
          <wp:inline>
            <wp:extent cx="2764799" cy="1760839"/>
            <wp:effectExtent b="0" l="0" r="0" t="0"/>
            <wp:docPr descr="image" title="" id="1" name="Picture"/>
            <a:graphic>
              <a:graphicData uri="http://schemas.openxmlformats.org/drawingml/2006/picture">
                <pic:pic>
                  <pic:nvPicPr>
                    <pic:cNvPr descr="img/Fig5_DI_SLR_s_es.png" id="0" name="Picture"/>
                    <pic:cNvPicPr>
                      <a:picLocks noChangeArrowheads="1" noChangeAspect="1"/>
                    </pic:cNvPicPr>
                  </pic:nvPicPr>
                  <pic:blipFill>
                    <a:blip r:embed="rId68"/>
                    <a:stretch>
                      <a:fillRect/>
                    </a:stretch>
                  </pic:blipFill>
                  <pic:spPr bwMode="auto">
                    <a:xfrm>
                      <a:off x="0" y="0"/>
                      <a:ext cx="2764799" cy="1760839"/>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t xml:space="preserve">(A)</w:t>
      </w:r>
      <w:r>
        <w:t xml:space="preserve"> </w:t>
      </w:r>
      <w:r>
        <w:drawing>
          <wp:inline>
            <wp:extent cx="2764799" cy="1846211"/>
            <wp:effectExtent b="0" l="0" r="0" t="0"/>
            <wp:docPr descr="image" title="" id="1" name="Picture"/>
            <a:graphic>
              <a:graphicData uri="http://schemas.openxmlformats.org/drawingml/2006/picture">
                <pic:pic>
                  <pic:nvPicPr>
                    <pic:cNvPr descr="img/Fig5_tasa_SLR_d_es.png" id="0" name="Picture"/>
                    <pic:cNvPicPr>
                      <a:picLocks noChangeArrowheads="1" noChangeAspect="1"/>
                    </pic:cNvPicPr>
                  </pic:nvPicPr>
                  <pic:blipFill>
                    <a:blip r:embed="rId69"/>
                    <a:stretch>
                      <a:fillRect/>
                    </a:stretch>
                  </pic:blipFill>
                  <pic:spPr bwMode="auto">
                    <a:xfrm>
                      <a:off x="0" y="0"/>
                      <a:ext cx="2764799" cy="1846211"/>
                    </a:xfrm>
                    <a:prstGeom prst="rect">
                      <a:avLst/>
                    </a:prstGeom>
                    <a:noFill/>
                    <a:ln w="9525">
                      <a:noFill/>
                      <a:headEnd/>
                      <a:tailEnd/>
                    </a:ln>
                  </pic:spPr>
                </pic:pic>
              </a:graphicData>
            </a:graphic>
          </wp:inline>
        </w:drawing>
      </w:r>
      <w:r>
        <w:t xml:space="preserve"> </w:t>
      </w:r>
      <w:r>
        <w:t xml:space="preserve">(B)</w:t>
      </w:r>
      <w:r>
        <w:t xml:space="preserve"> </w:t>
      </w:r>
      <w:r>
        <w:drawing>
          <wp:inline>
            <wp:extent cx="2764799" cy="1621894"/>
            <wp:effectExtent b="0" l="0" r="0" t="0"/>
            <wp:docPr descr="image" title="" id="1" name="Picture"/>
            <a:graphic>
              <a:graphicData uri="http://schemas.openxmlformats.org/drawingml/2006/picture">
                <pic:pic>
                  <pic:nvPicPr>
                    <pic:cNvPr descr="img/Fig5_tasa_SLR_s_es.png" id="0" name="Picture"/>
                    <pic:cNvPicPr>
                      <a:picLocks noChangeArrowheads="1" noChangeAspect="1"/>
                    </pic:cNvPicPr>
                  </pic:nvPicPr>
                  <pic:blipFill>
                    <a:blip r:embed="rId70"/>
                    <a:stretch>
                      <a:fillRect/>
                    </a:stretch>
                  </pic:blipFill>
                  <pic:spPr bwMode="auto">
                    <a:xfrm>
                      <a:off x="0" y="0"/>
                      <a:ext cx="2764799" cy="1621894"/>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control; rojo: sacarosa; verde: stevia (paleta común a todas las figuras de esta tesis).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71"/>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keepNext/>
              <w:spacing w:before="20" w:after="20"/>
              <w:jc w:val="left"/>
            </w:pPr>
            <w:r>
              <w:rPr>
                <w:sz w:val="16"/>
              </w:rPr>
              <w:t xml:space="preserve">Edad</w:t>
            </w:r>
          </w:p>
        </w:tc>
        <w:tc>
          <w:tcPr>
            <w:tcW w:w="1178" w:type="dxa"/>
          </w:tcPr>
          <w:p>
            <w:pPr>
              <w:pStyle w:val="Compact"/>
              <w:keepNext/>
              <w:spacing w:before="20" w:after="20"/>
              <w:jc w:val="center"/>
            </w:pPr>
            <w:r>
              <w:rPr>
                <w:sz w:val="16"/>
              </w:rPr>
              <w:t xml:space="preserve">0,22 (1, 52)</w:t>
            </w:r>
          </w:p>
        </w:tc>
        <w:tc>
          <w:tcPr>
            <w:tcW w:w="1178" w:type="dxa"/>
          </w:tcPr>
          <w:p>
            <w:pPr>
              <w:pStyle w:val="Compact"/>
              <w:keepNext/>
              <w:spacing w:before="20" w:after="20"/>
              <w:jc w:val="center"/>
            </w:pPr>
            <w:r>
              <w:rPr>
                <w:sz w:val="16"/>
              </w:rPr>
              <w:t xml:space="preserve">0,642</w:t>
            </w:r>
          </w:p>
        </w:tc>
        <w:tc>
          <w:tcPr>
            <w:tcW w:w="1178" w:type="dxa"/>
          </w:tcPr>
          <w:p>
            <w:pPr>
              <w:pStyle w:val="Compact"/>
              <w:keepNext/>
              <w:spacing w:before="20" w:after="20"/>
              <w:jc w:val="center"/>
            </w:pPr>
            <w:r>
              <w:rPr>
                <w:sz w:val="16"/>
              </w:rPr>
              <w:t xml:space="preserve">0,004</w:t>
            </w:r>
          </w:p>
        </w:tc>
        <w:tc>
          <w:tcPr>
            <w:tcW w:w="1178" w:type="dxa"/>
          </w:tcPr>
          <w:p>
            <w:pPr>
              <w:pStyle w:val="Compact"/>
              <w:keepNext/>
              <w:spacing w:before="20" w:after="20"/>
              <w:jc w:val="center"/>
            </w:pPr>
            <w:r>
              <w:rPr>
                <w:sz w:val="16"/>
              </w:rPr>
              <w:t xml:space="preserve">0,08 (1, 53)</w:t>
            </w:r>
          </w:p>
        </w:tc>
        <w:tc>
          <w:tcPr>
            <w:tcW w:w="1178" w:type="dxa"/>
          </w:tcPr>
          <w:p>
            <w:pPr>
              <w:pStyle w:val="Compact"/>
              <w:keepNext/>
              <w:spacing w:before="20" w:after="20"/>
              <w:jc w:val="center"/>
            </w:pPr>
            <w:r>
              <w:rPr>
                <w:sz w:val="16"/>
              </w:rPr>
              <w:t xml:space="preserve">0,779</w:t>
            </w:r>
          </w:p>
        </w:tc>
        <w:tc>
          <w:tcPr>
            <w:tcW w:w="1178" w:type="dxa"/>
          </w:tcPr>
          <w:p>
            <w:pPr>
              <w:pStyle w:val="Compact"/>
              <w:keepNext/>
              <w:spacing w:before="20" w:after="20"/>
              <w:jc w:val="center"/>
            </w:pPr>
            <w:r>
              <w:rPr>
                <w:sz w:val="16"/>
              </w:rPr>
              <w:t xml:space="preserve">0,001</w:t>
            </w:r>
          </w:p>
        </w:tc>
      </w:tr>
      <w:tr>
        <w:trPr>
          <w:cantSplit/>
        </w:trPr>
        <w:tc>
          <w:tcPr>
            <w:tcW w:w="2000" w:type="dxa"/>
          </w:tcPr>
          <w:p>
            <w:pPr>
              <w:pStyle w:val="Compact"/>
              <w:spacing w:before="20" w:after="20"/>
              <w:jc w:val="left"/>
            </w:pPr>
            <w:r>
              <w:rPr>
                <w:sz w:val="16"/>
              </w:rPr>
              <w:t xml:space="preserve">Interacción</w:t>
            </w:r>
          </w:p>
        </w:tc>
        <w:tc>
          <w:tcPr>
            <w:tcW w:w="1178" w:type="dxa"/>
          </w:tcPr>
          <w:p>
            <w:pPr>
              <w:pStyle w:val="Compact"/>
              <w:spacing w:before="20" w:after="20"/>
              <w:jc w:val="center"/>
            </w:pPr>
            <w:r>
              <w:rPr>
                <w:sz w:val="16"/>
              </w:rPr>
              <w:t xml:space="preserve">2,04 (2, 52)</w:t>
            </w:r>
          </w:p>
        </w:tc>
        <w:tc>
          <w:tcPr>
            <w:tcW w:w="1178" w:type="dxa"/>
          </w:tcPr>
          <w:p>
            <w:pPr>
              <w:pStyle w:val="Compact"/>
              <w:spacing w:before="20" w:after="20"/>
              <w:jc w:val="center"/>
            </w:pPr>
            <w:r>
              <w:rPr>
                <w:sz w:val="16"/>
              </w:rPr>
              <w:t xml:space="preserve">0,140</w:t>
            </w:r>
          </w:p>
        </w:tc>
        <w:tc>
          <w:tcPr>
            <w:tcW w:w="1178" w:type="dxa"/>
          </w:tcPr>
          <w:p>
            <w:pPr>
              <w:pStyle w:val="Compact"/>
              <w:spacing w:before="20" w:after="20"/>
              <w:jc w:val="center"/>
            </w:pPr>
            <w:r>
              <w:rPr>
                <w:sz w:val="16"/>
              </w:rPr>
              <w:t xml:space="preserve">0,073</w:t>
            </w:r>
          </w:p>
        </w:tc>
        <w:tc>
          <w:tcPr>
            <w:tcW w:w="1178" w:type="dxa"/>
          </w:tcPr>
          <w:p>
            <w:pPr>
              <w:pStyle w:val="Compact"/>
              <w:spacing w:before="20" w:after="20"/>
              <w:jc w:val="center"/>
            </w:pPr>
            <w:r>
              <w:rPr>
                <w:sz w:val="16"/>
              </w:rPr>
              <w:t xml:space="preserve">0,53 (2, 53)</w:t>
            </w:r>
          </w:p>
        </w:tc>
        <w:tc>
          <w:tcPr>
            <w:tcW w:w="1178" w:type="dxa"/>
          </w:tcPr>
          <w:p>
            <w:pPr>
              <w:pStyle w:val="Compact"/>
              <w:spacing w:before="20" w:after="20"/>
              <w:jc w:val="center"/>
            </w:pPr>
            <w:r>
              <w:rPr>
                <w:sz w:val="16"/>
              </w:rPr>
              <w:t xml:space="preserve">0,591</w:t>
            </w:r>
          </w:p>
        </w:tc>
        <w:tc>
          <w:tcPr>
            <w:tcW w:w="1178" w:type="dxa"/>
          </w:tcPr>
          <w:p>
            <w:pPr>
              <w:pStyle w:val="Compact"/>
              <w:spacing w:before="20" w:after="20"/>
              <w:jc w:val="center"/>
            </w:pPr>
            <w:r>
              <w:rPr>
                <w:sz w:val="16"/>
              </w:rPr>
              <w:t xml:space="preserve">0,020</w:t>
            </w:r>
          </w:p>
        </w:tc>
      </w:tr>
    </w:tbl>
    <w:bookmarkEnd w:id="72"/>
    <w:bookmarkStart w:id="78"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(ANOVA de dos vías,</w:t>
      </w:r>
      <w:r>
        <w:t xml:space="preserve"> </w:t>
      </w:r>
      <w:r>
        <w:rPr>
          <w:iCs/>
          <w:i/>
        </w:rPr>
        <w:t xml:space="preserve">F</w:t>
      </w:r>
      <w:r>
        <w:rPr>
          <w:vertAlign w:val="subscript"/>
        </w:rPr>
        <w:t xml:space="preserve">Tratamiento</w:t>
      </w:r>
      <w:r>
        <w:t xml:space="preserve">(1, 76) = 14,58;</w:t>
      </w:r>
      <w:r>
        <w:t xml:space="preserve"> </w:t>
      </w:r>
      <w:r>
        <w:rPr>
          <w:iCs/>
          <w:i/>
        </w:rPr>
        <w:t xml:space="preserve">p</w:t>
      </w:r>
      <w:r>
        <w:t xml:space="preserve"> </w:t>
      </w:r>
      <w:r>
        <w:t xml:space="preserve">= 0,0003; Figura 5.14A). Se observó además un efecto de la edad, con valores menores en los adultos (</w:t>
      </w:r>
      <w:r>
        <w:rPr>
          <w:iCs/>
          <w:i/>
        </w:rPr>
        <w:t xml:space="preserve">F</w:t>
      </w:r>
      <w:r>
        <w:rPr>
          <w:vertAlign w:val="subscript"/>
        </w:rPr>
        <w:t xml:space="preserve">Edad</w:t>
      </w:r>
      <w:r>
        <w:t xml:space="preserve">(1, 76) = 4,79;</w:t>
      </w:r>
      <w:r>
        <w:t xml:space="preserve"> </w:t>
      </w:r>
      <w:r>
        <w:rPr>
          <w:iCs/>
          <w:i/>
        </w:rPr>
        <w:t xml:space="preserve">p</w:t>
      </w:r>
      <w:r>
        <w:t xml:space="preserve"> </w:t>
      </w:r>
      <w:r>
        <w:t xml:space="preserve">= 0,032), sin interacción entre ambos factores (</w:t>
      </w:r>
      <w:r>
        <w:rPr>
          <w:iCs/>
          <w:i/>
        </w:rPr>
        <w:t xml:space="preserve">F</w:t>
      </w:r>
      <w:r>
        <w:rPr>
          <w:vertAlign w:val="subscript"/>
        </w:rPr>
        <w:t xml:space="preserve">Interacción</w:t>
      </w:r>
      <w:r>
        <w:t xml:space="preserve">(1, 76) = 0,15;</w:t>
      </w:r>
      <w:r>
        <w:t xml:space="preserve"> </w:t>
      </w:r>
      <w:r>
        <w:rPr>
          <w:iCs/>
          <w:i/>
        </w:rPr>
        <w:t xml:space="preserve">p</w:t>
      </w:r>
      <w:r>
        <w:t xml:space="preserve"> </w:t>
      </w:r>
      <w:r>
        <w:t xml:space="preserve">= 0,70). La reducción fue significativa en el grupo adulto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0,020), pero no en el juvenil (</w:t>
      </w:r>
      <w:r>
        <w:rPr>
          <w:iCs/>
          <w:i/>
        </w:rPr>
        <w:t xml:space="preserve">p</w:t>
      </w:r>
      <w:r>
        <w:t xml:space="preserve"> </w:t>
      </w:r>
      <w:r>
        <w:t xml:space="preserve">= 0,081). Dentro de cada tratamiento, los grupos juvenil y adulto no difirieron entre sí (control:</w:t>
      </w:r>
      <w:r>
        <w:t xml:space="preserve"> </w:t>
      </w:r>
      <w:r>
        <w:rPr>
          <w:iCs/>
          <w:i/>
        </w:rPr>
        <w:t xml:space="preserve">p</w:t>
      </w:r>
      <w:r>
        <w:t xml:space="preserve"> </w:t>
      </w:r>
      <w:r>
        <w:t xml:space="preserve">= 0,58; sacarosa:</w:t>
      </w:r>
      <w:r>
        <w:t xml:space="preserve">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w:t>
      </w:r>
      <w:r>
        <w:t xml:space="preserve">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t xml:space="preserve">(A)</w:t>
      </w:r>
      <w:r>
        <w:t xml:space="preserve"> </w:t>
      </w:r>
      <w:r>
        <w:drawing>
          <wp:inline>
            <wp:extent cx="1843199" cy="1843199"/>
            <wp:effectExtent b="0" l="0" r="0" t="0"/>
            <wp:docPr descr="image" title="" id="1" name="Picture"/>
            <a:graphic>
              <a:graphicData uri="http://schemas.openxmlformats.org/drawingml/2006/picture">
                <pic:pic>
                  <pic:nvPicPr>
                    <pic:cNvPr descr="img/Fig5_IHC_pcna.png" id="0" name="Picture"/>
                    <pic:cNvPicPr>
                      <a:picLocks noChangeArrowheads="1" noChangeAspect="1"/>
                    </pic:cNvPicPr>
                  </pic:nvPicPr>
                  <pic:blipFill>
                    <a:blip r:embed="rId73"/>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(B)</w:t>
      </w:r>
      <w:r>
        <w:t xml:space="preserve"> </w:t>
      </w:r>
      <w:r>
        <w:drawing>
          <wp:inline>
            <wp:extent cx="1843199" cy="1843199"/>
            <wp:effectExtent b="0" l="0" r="0" t="0"/>
            <wp:docPr descr="image" title="" id="1" name="Picture"/>
            <a:graphic>
              <a:graphicData uri="http://schemas.openxmlformats.org/drawingml/2006/picture">
                <pic:pic>
                  <pic:nvPicPr>
                    <pic:cNvPr descr="img/Fig5_IHC_dcx.png" id="0" name="Picture"/>
                    <pic:cNvPicPr>
                      <a:picLocks noChangeArrowheads="1" noChangeAspect="1"/>
                    </pic:cNvPicPr>
                  </pic:nvPicPr>
                  <pic:blipFill>
                    <a:blip r:embed="rId74"/>
                    <a:stretch>
                      <a:fillRect/>
                    </a:stretch>
                  </pic:blipFill>
                  <pic:spPr bwMode="auto">
                    <a:xfrm>
                      <a:off x="0" y="0"/>
                      <a:ext cx="1843199" cy="1843199"/>
                    </a:xfrm>
                    <a:prstGeom prst="rect">
                      <a:avLst/>
                    </a:prstGeom>
                    <a:noFill/>
                    <a:ln w="9525">
                      <a:noFill/>
                      <a:headEnd/>
                      <a:tailEnd/>
                    </a:ln>
                  </pic:spPr>
                </pic:pic>
              </a:graphicData>
            </a:graphic>
          </wp:inline>
        </w:drawing>
      </w:r>
      <w:r>
        <w:t xml:space="preserve"> </w:t>
      </w:r>
      <w:r>
        <w:t xml:space="preserve">(C)</w:t>
      </w:r>
      <w:r>
        <w:t xml:space="preserve"> </w:t>
      </w:r>
      <w:r>
        <w:drawing>
          <wp:inline>
            <wp:extent cx="1843199" cy="1843199"/>
            <wp:effectExtent b="0" l="0" r="0" t="0"/>
            <wp:docPr descr="image" title="" id="1" name="Picture"/>
            <a:graphic>
              <a:graphicData uri="http://schemas.openxmlformats.org/drawingml/2006/picture">
                <pic:pic>
                  <pic:nvPicPr>
                    <pic:cNvPr descr="img/Fig5_IHC_pcna_dcx.png" id="0" name="Picture"/>
                    <pic:cNvPicPr>
                      <a:picLocks noChangeArrowheads="1" noChangeAspect="1"/>
                    </pic:cNvPicPr>
                  </pic:nvPicPr>
                  <pic:blipFill>
                    <a:blip r:embed="rId75"/>
                    <a:stretch>
                      <a:fillRect/>
                    </a:stretch>
                  </pic:blipFill>
                  <pic:spPr bwMode="auto">
                    <a:xfrm>
                      <a:off x="0" y="0"/>
                      <a:ext cx="1843199" cy="1843199"/>
                    </a:xfrm>
                    <a:prstGeom prst="rect">
                      <a:avLst/>
                    </a:prstGeom>
                    <a:noFill/>
                    <a:ln w="9525">
                      <a:noFill/>
                      <a:headEnd/>
                      <a:tailEnd/>
                    </a:ln>
                  </pic:spPr>
                </pic:pic>
              </a:graphicData>
            </a:graphic>
          </wp:inline>
        </w:drawing>
      </w:r>
    </w:p>
    <w:p>
      <w:pPr>
        <w:pStyle w:val="BodyText"/>
        <w:keepNext/>
        <w:jc w:val="center"/>
      </w:pPr>
      <w:r>
        <w:drawing>
          <wp:inline>
            <wp:extent cx="1259999" cy="551249"/>
            <wp:effectExtent b="0" l="0" r="0" t="0"/>
            <wp:docPr descr="image" title="" id="1" name="Picture"/>
            <a:graphic>
              <a:graphicData uri="http://schemas.openxmlformats.org/drawingml/2006/picture">
                <pic:pic>
                  <pic:nvPicPr>
                    <pic:cNvPr descr="img/Fig5_IHC_leyenda.png" id="0" name="Picture"/>
                    <pic:cNvPicPr>
                      <a:picLocks noChangeArrowheads="1" noChangeAspect="1"/>
                    </pic:cNvPicPr>
                  </pic:nvPicPr>
                  <pic:blipFill>
                    <a:blip r:embed="rId76"/>
                    <a:stretch>
                      <a:fillRect/>
                    </a:stretch>
                  </pic:blipFill>
                  <pic:spPr bwMode="auto">
                    <a:xfrm>
                      <a:off x="0" y="0"/>
                      <a:ext cx="1259999" cy="551249"/>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w:t>
      </w:r>
      <w:r>
        <w:rPr>
          <w:iCs/>
          <w:i/>
          <w:sz w:val="19"/>
        </w:rPr>
        <w:t xml:space="preserve">n</w:t>
      </w:r>
      <w:r>
        <w:rPr>
          <w:sz w:val="19"/>
        </w:rPr>
        <w:t xml:space="preserve"> </w:t>
      </w:r>
      <w:r>
        <w:rPr>
          <w:sz w:val="19"/>
        </w:rPr>
        <w:t xml:space="preserve">= 20 cortes, provenientes de 4 animales por grupo). Azul: control; rojo: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77"/>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con una diferencia significativa respecto del control en el grupo adulto;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78"/>
    <w:bookmarkStart w:id="81"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w:t>
      </w:r>
      <w:r>
        <w:t xml:space="preserve">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79"/>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control; rojo: sacarosa; verde: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80"/>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81"/>
    <w:bookmarkEnd w:id="82"/>
    <w:bookmarkStart w:id="91" w:name="discusión"/>
    <w:p>
      <w:pPr>
        <w:pStyle w:val="Heading1"/>
      </w:pPr>
      <w:r>
        <w:t xml:space="preserve">6. Discusión</w:t>
      </w:r>
    </w:p>
    <w:bookmarkStart w:id="83" w:name="síntesis-de-los-hallazgos"/>
    <w:p>
      <w:pPr>
        <w:pStyle w:val="Heading2"/>
      </w:pPr>
      <w:r>
        <w:t xml:space="preserve">6.1 Síntesis de los hallazgos</w:t>
      </w:r>
    </w:p>
    <w:p>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[1, 2]. Los animales expuestos a stevia exploraron más las zonas centrales del</w:t>
      </w:r>
      <w:r>
        <w:t xml:space="preserve"> </w:t>
      </w:r>
      <w:r>
        <w:rPr>
          <w:iCs/>
          <w:i/>
        </w:rPr>
        <w:t xml:space="preserve">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y discriminaron peor la posición novedosa en ambas configuraciones de la SLR, y los expuestos a sacarosa en ambas edades presentaron menos neuroblastos en proliferación en el giro dentado. Estos resultados respaldan la hipótesis de que la stevia no reproduce los efectos adversos de la sacarosa (§1.4), pero muestran que no está exenta de efectos a largo plazo: produce alteraciones de la conducta distintas y más sutiles que las de la sacarosa.</w:t>
      </w:r>
    </w:p>
    <w:bookmarkEnd w:id="83"/>
    <w:bookmarkStart w:id="84"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consumieron cantidades considerablemente superiores de sacarosa y de stevia por unidad de peso corporal que los adultos. </w:t>
      </w:r>
      <w:commentRangeStart w:id="0"/>
      <w:r>
        <w:rPr>
          <w:highlight w:val="yellow"/>
        </w:rPr>
        <w:t>Asimismo, la ingesta de stevia superó la ingesta diaria admisible de glucósidos de esteviol, de 4 mg/kg de peso corporal por día expresada como equivalentes de esteviol [19], y este exceso fue más pronunciado durante la etapa juvenil. Según la composición del extracto (Tabla 4.1, con los factores de conversión a esteviol de 0,40 para el esteviósido y de 0,33 para los rebaudiósidos A y C [19]), la bebida al 4 % contenía alrededor de 0,08 mg/mL de equivalentes de esteviol; con un consumo medio de 0,24 y 0,09 mL/g de peso corporal por día, los animales juveniles ingirieron alrededor de 20 mg/kg/día (unas cinco veces la ingesta diaria admisible) y los adultos, alrededor de 7 mg/kg/día (1,8 veces).</w:t>
      </w:r>
      <w:commentRangeEnd w:id="0"/>
      <w:r>
        <w:rPr>
          <w:rStyle w:val="CommentReference"/>
        </w:rPr>
        <w:commentReference w:id="0"/>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[20], y con el hallazgo de que el consumo de stevia aumenta la expresión de ΔFosB, un marcador de activación sostenida, en el núcleo accumbens, el caudado-putamen y la corteza prefrontal, regiones del sistema de recompensa; en ese trabajo, la cría en un ambiente enriquecido redujo tanto el consumo de stevia como ese aumento de ΔFosB [21]. Una menor preferencia por la solución no calórica puede considerarse un aspecto favorable de la stevia, ya que sugiere un menor potencial para promover un consumo excesivo; de hecho, los animales consumieron menos stevia que sacarosa en ambas ventanas de edad (§5.1.1).</w:t>
      </w:r>
    </w:p>
    <w:p>
      <w:pPr>
        <w:pStyle w:val="BodyText"/>
      </w:pPr>
      <w:r>
        <w:t xml:space="preserve">Una vez retirados los edulcorantes,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con frustración, como fue descripto previamente por el laboratorio [1]. Por el contrario, los juveniles expuestos a stevia bebieron menos agua que su control de edad durante los primeros nueve días, y más entre los días 11 y 25. Por otro lado, los adultos expuestos a stevia o a sacarosa no presentaron diferencias respecto de su control de edad en ningún momento, lo que refuerza la mayor sensibilidad de la ventana juvenil.</w:t>
      </w:r>
    </w:p>
    <w:bookmarkEnd w:id="84"/>
    <w:bookmarkStart w:id="85"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a sacarosa durante la adultez no difirieron de su control (§5.2), lo que indica que el consumo temprano de una bebida azucarada promueve un perfil ansioso a largo plazo, como fue descripto anteriormente [1].</w:t>
      </w:r>
    </w:p>
    <w:p>
      <w:pPr>
        <w:pStyle w:val="BodyText"/>
      </w:pPr>
      <w:r>
        <w:t xml:space="preserve">A pesar de que no se registraron diferencias en la distancia total recorrida entre los grupos, los animales que bebieron stevia visitaron más zonas que sus controles de edad y que los grupos expuestos a sacarosa. Principalmente, los animales expuestos a stevia ingresaron más veces a las zonas centrales y recorrieron en ellas mayor distancia que el resto de los grupos, independientemente de la edad en la que se produjo el consumo.</w:t>
      </w:r>
    </w:p>
    <w:p>
      <w:pPr>
        <w:pStyle w:val="BodyText"/>
      </w:pPr>
      <w:commentRangeStart w:id="1"/>
      <w:r>
        <w:rPr>
          <w:highlight w:val="yellow"/>
        </w:rPr>
        <w:t>Estudios previos del laboratorio mostraron que el consumo temprano de stevia no produce cambios en la conducta tipo ansiosa de ratas macho juveniles cuando se evalúa a corto plazo, al finalizar la exposición</w:t>
      </w:r>
      <w:commentRangeEnd w:id="1"/>
      <w:r>
        <w:rPr>
          <w:rStyle w:val="CommentReference"/>
        </w:rPr>
        <w:commentReference w:id="1"/>
      </w:r>
      <w:r>
        <w:t xml:space="preserve"> [22, 23]</w:t>
      </w:r>
      <w:r>
        <w:t xml:space="preserve"> </w:t>
      </w:r>
      <w:commentRangeStart w:id="2"/>
      <w:r>
        <w:rPr>
          <w:bCs/>
          <w:b/>
          <w:highlight w:val="yellow"/>
        </w:rPr>
        <w:t xml:space="preserve">[CONFIRMAR: coautores y revista del manuscrito de Marchena et al.]</w:t>
      </w:r>
      <w:commentRangeEnd w:id="2"/>
      <w:r>
        <w:rPr>
          <w:rStyle w:val="CommentReference"/>
        </w:rPr>
        <w:commentReference w:id="2"/>
      </w:r>
      <w:r>
        <w:t xml:space="preserve">. Esto sugiere que la abstinencia de la bebida endulzada con stevia, algunas alteraciones neurobiológicas, o ambas, serían responsables de los cambios a largo plazo en la conducta de tipo ansioso. Lo mismo ocurre con la sacarosa, cuyos efectos sobre la conducta tipo ansiosa evaluados a corto plazo [6, 24] difieren de los descriptos a largo plazo [1]. De manera similar, en ratas macho con acceso a stevia durante la adolescencia y evaluadas al finalizar el consumo, la stevia aumentó la locomoción en el</w:t>
      </w:r>
      <w:r>
        <w:t xml:space="preserve"> </w:t>
      </w:r>
      <w:r>
        <w:rPr>
          <w:iCs/>
          <w:i/>
        </w:rPr>
        <w:t xml:space="preserve">open field</w:t>
      </w:r>
      <w:r>
        <w:t xml:space="preserve"> </w:t>
      </w:r>
      <w:r>
        <w:t xml:space="preserve">[25], mientras que en este trabajo, a largo plazo, no modificó la distancia total recorrida y aumentó la exploración de las zonas centrales. Por otra parte, resultados previos del laboratorio demostraron que la exposición temprana al mismo extracto acuoso en ratas hembra juveniles disminuye las conductas de tipo ansioso en el laberinto en cruz elevado [3]. Estos hallazgos sugieren la existencia de diferencias sexuales en la respuesta conductual al extracto. En este contexto, sería de interés investigar si los efectos ansiolíticos observados en las hembras persisten a largo plazo y si la edad de exposición influye en su magnitud y persistencia.</w:t>
      </w:r>
    </w:p>
    <w:p>
      <w:pPr>
        <w:pStyle w:val="BodyText"/>
      </w:pPr>
      <w:r>
        <w:t xml:space="preserve">Estos resultados están en línea con los que demuestran efectos ansiolíticos de la stevia en ratas diabéticas [26].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a largo plazo y que, por el contrario, se asocia con una mayor exploración de los espacios abiertos.</w:t>
      </w:r>
    </w:p>
    <w:bookmarkEnd w:id="85"/>
    <w:bookmarkStart w:id="86" w:name="memoria-de-reconocimiento-de-objetos"/>
    <w:p>
      <w:pPr>
        <w:pStyle w:val="Heading2"/>
      </w:pPr>
      <w:r>
        <w:t xml:space="preserve">6.4 Memoria de reconocimiento de objetos</w:t>
      </w:r>
    </w:p>
    <w:p>
      <w:pPr>
        <w:pStyle w:val="FirstParagraph"/>
      </w:pPr>
      <w:r>
        <w:t xml:space="preserve">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descripto previamente [2].</w:t>
      </w:r>
    </w:p>
    <w:p>
      <w:pPr>
        <w:pStyle w:val="BodyText"/>
      </w:pPr>
      <w:r>
        <w:t xml:space="preserve">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pPr>
        <w:pStyle w:val="BodyText"/>
      </w:pPr>
      <w:r>
        <w:t xml:space="preserve">De manera similar a lo observado en el</w:t>
      </w:r>
      <w:r>
        <w:t xml:space="preserve"> </w:t>
      </w:r>
      <w:r>
        <w:rPr>
          <w:iCs/>
          <w:i/>
        </w:rPr>
        <w:t xml:space="preserve">open field</w:t>
      </w:r>
      <w:r>
        <w:t xml:space="preserve">, estudios previos del laboratorio indican que el consumo agudo de stevia durante la etapa juvenil </w:t>
      </w:r>
      <w:commentRangeStart w:id="3"/>
      <w:r>
        <w:rPr>
          <w:highlight w:val="yellow"/>
        </w:rPr>
        <w:t>no produce alteraciones en la memoria de localización de objetos (prueba NOL), una memoria dependiente del hipocampo</w:t>
      </w:r>
      <w:commentRangeEnd w:id="3"/>
      <w:r>
        <w:rPr>
          <w:rStyle w:val="CommentReference"/>
        </w:rPr>
        <w:commentReference w:id="3"/>
      </w:r>
      <w:r>
        <w:t xml:space="preserve"> [22, 23]. Además, estos animales presentaron modificaciones en la expresión de calretinina (CR), un marcador de determinadas poblaciones de interneuronas GABAérgicas, en la corteza prefrontal medial [23]. Las interneuronas que expresan parvalbúmina (PV) y CR son importantes reguladoras de la actividad de los circuitos neuronales y desempeñan funciones relevantes en procesos cognitivos como la memoria y la sincronización de las redes neuronales [27, 28]. En este sentido, estudios previos demostraron que la disminución de la expresión de PV en el hipocampo y en la corteza prefrontal tras el consumo de sacarosa se asocia con alteraciones de la memoria y de las conductas de tipo ansioso [1, 29–31].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pPr>
        <w:pStyle w:val="BodyText"/>
      </w:pPr>
      <w:r>
        <w:t xml:space="preserve">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[32]. En cambio, Tsan et al., que administraron edulcorantes de bajas calorías (acesulfamo de potasio, sacarina o stevia) desde la etapa juvenil y evaluaron la memoria dependiente del hipocampo durante el período de consumo, describieron un deterioro al analizar los tres edulcorantes en conjunto, pero no al analizar la stevia por separado [33]. A largo plazo, solo se describió que el consumo materno de stevia durante la gestación y la lactancia se asocia con un peor desempeño de memoria en la descendencia macho adulta [34]. Este trabajo aporta, por lo tanto, evidencia de que el consumo de stevia en la etapa juvenil o en la adultez produce alteraciones de la memoria de reconocimiento que persisten después de finalizado el consumo, aunque más limitadas que las de la sacarosa.</w:t>
      </w:r>
    </w:p>
    <w:p>
      <w:pPr>
        <w:pStyle w:val="BodyText"/>
      </w:pPr>
      <w:r>
        <w:t xml:space="preserve">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[35], y los glucósidos de esteviol presentan actividad antioxidante [36], revirtieron el deterioro de la memoria inducido por escopolamina [37] y modularon la plasticidad sináptica hipocampal en un modelo de desorden metabólico [38]. Estas propiedades podrían contribuir a que la stevia no produjera un deterioro sostenido de la memoria de reconocimiento.</w:t>
      </w:r>
    </w:p>
    <w:bookmarkEnd w:id="86"/>
    <w:bookmarkStart w:id="87" w:name="Xa69d358d6a5b9d31515259c5445516064b70d4b"/>
    <w:p>
      <w:pPr>
        <w:pStyle w:val="Heading2"/>
      </w:pPr>
      <w:r>
        <w:t xml:space="preserve">6.5 Separación de patrones espaciales y neurogénesis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[11]. También concuerda con la alteración selectiva de la memoria de lugar descripta tras una exposición breve a azúcar [39, 40]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p>
      <w:pPr>
        <w:pStyle w:val="BodyText"/>
      </w:pPr>
      <w:r>
        <w:t xml:space="preserve">En concordancia con los resultados de la SLR, los animales expuestos a sacarosa presentaron alteraciones en el proceso de neurogénesis. La exposición a sacarosa redujo el número de células PCNA</w:t>
      </w:r>
      <w:r>
        <w:rPr>
          <w:vertAlign w:val="superscript"/>
        </w:rPr>
        <w:t xml:space="preserve">+</w:t>
      </w:r>
      <w:r>
        <w:t xml:space="preserve"> </w:t>
      </w:r>
      <w:r>
        <w:t xml:space="preserve">en el giro dentado, con una diferencia significativa en el grupo adulto, y redujo el número de neuroblastos en proliferación (PCNA</w:t>
      </w:r>
      <w:r>
        <w:rPr>
          <w:vertAlign w:val="superscript"/>
        </w:rPr>
        <w:t xml:space="preserve">+</w:t>
      </w:r>
      <w:r>
        <w:t xml:space="preserve">/DCX</w:t>
      </w:r>
      <w:r>
        <w:rPr>
          <w:vertAlign w:val="superscript"/>
        </w:rPr>
        <w:t xml:space="preserve">+</w:t>
      </w:r>
      <w:r>
        <w:t xml:space="preserve">) independientemente de la edad en la que se produjo el consumo, sin modificar el número total de células DCX</w:t>
      </w:r>
      <w:r>
        <w:rPr>
          <w:vertAlign w:val="superscript"/>
        </w:rPr>
        <w:t xml:space="preserve">+</w:t>
      </w:r>
      <w:r>
        <w:t xml:space="preserve"> </w:t>
      </w:r>
      <w:r>
        <w:t xml:space="preserve">(§5.5). Estos resultados indican que la sacarosa afecta la etapa proliferativa del linaje neuronal [41] y que esa alteración persiste 25 días después de finalizado el consumo. Reichelt et al. también encontraron menos células PCNA</w:t>
      </w:r>
      <w:r>
        <w:rPr>
          <w:vertAlign w:val="superscript"/>
        </w:rPr>
        <w:t xml:space="preserve">+</w:t>
      </w:r>
      <w:r>
        <w:t xml:space="preserve"> </w:t>
      </w:r>
      <w:r>
        <w:t xml:space="preserve">en el giro dentado de ratas macho jóvenes con acceso diario a sacarosa al 10 % durante 28 días, aunque las evaluaron mientras aún consumían la solución y encontraron, además, menos células DCX</w:t>
      </w:r>
      <w:r>
        <w:rPr>
          <w:vertAlign w:val="superscript"/>
        </w:rPr>
        <w:t xml:space="preserve">+</w:t>
      </w:r>
      <w:r>
        <w:t xml:space="preserve"> </w:t>
      </w:r>
      <w:r>
        <w:t xml:space="preserve">[11]. En este trabajo, en cambio, el número total de células DCX</w:t>
      </w:r>
      <w:r>
        <w:rPr>
          <w:vertAlign w:val="superscript"/>
        </w:rPr>
        <w:t xml:space="preserve">+</w:t>
      </w:r>
      <w:r>
        <w:t xml:space="preserve"> </w:t>
      </w:r>
      <w:r>
        <w:t xml:space="preserve">no se modificó, como en el trabajo de Xu y Reichelt, en el que la sacarosa sola no modificó la DCX del giro dentado [30]; esto podría indicar que, a largo plazo, la alteración se restringe a la etapa proliferativa. Además, en ratas hembra, el consumo de sacarosa al 25 % durante doce semanas a partir del destete redujo la expresión hipocampal de</w:t>
      </w:r>
      <w:r>
        <w:t xml:space="preserve"> </w:t>
      </w:r>
      <w:r>
        <w:rPr>
          <w:iCs/>
          <w:i/>
        </w:rPr>
        <w:t xml:space="preserve">Neurod1</w:t>
      </w:r>
      <w:r>
        <w:t xml:space="preserve">, un gen vinculado a la diferenciación neuronal [42]. En cambio, Sánchez-Huerta et al. encontraron un aumento de la proliferación en la zona subgranular del giro dentado ventral tras el consumo de sacarosa iniciado en la adolescencia tardía [24], lo que sugiere que el efecto sobre la proliferación depende de la edad de inicio de la exposición.</w:t>
      </w:r>
    </w:p>
    <w:p>
      <w:pPr>
        <w:pStyle w:val="BodyText"/>
      </w:pPr>
      <w:r>
        <w:t xml:space="preserve">La reducción de los neuroblastos en proliferación se observó en ambas edades, al igual que el déficit de la sacarosa en la s-SLR. La separación de patrones depende de la neurogénesis del giro dentado: cuando la neurogénesis disminuye, los animales dejan de discriminar ubicaciones cercanas, que exigen mayor separación de patrones, pero siguen discriminando ubicaciones alejadas [11, 12]. Por eso, Reichelt et al. propusieron que la menor proliferación inducida por la sacarosa subyace al déficit en la s-SLR [11]. El déficit en la s-SLR y la reducción de los neuroblastos en proliferación constituyen, entonces, dos maneras de observar un mismo efecto de la sacarosa: la alteración de la neurogénesis hipocampal. En cambio, no está claro hasta qué punto la memoria de reconocimiento de objetos depende de la neurogénesis; de hecho, los adultos expuestos a sacarosa presentaron menos proliferación sin alteraciones en el NOR, lo que sugiere que esta prueba depende en menor medida de este proceso. La cuantificación de estos marcadores en los animales expuestos a stevia permitirá determinar si la preservación de la separación de patrones observada en esos grupos se acompaña de una neurogénesis conservada.</w:t>
      </w:r>
    </w:p>
    <w:bookmarkEnd w:id="87"/>
    <w:bookmarkStart w:id="88" w:name="análisis-multivariado"/>
    <w:p>
      <w:pPr>
        <w:pStyle w:val="Heading2"/>
      </w:pPr>
      <w:r>
        <w:t xml:space="preserve">6.6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[43, 44].</w:t>
      </w:r>
    </w:p>
    <w:bookmarkEnd w:id="88"/>
    <w:bookmarkStart w:id="89" w:name="ventana-etaria"/>
    <w:p>
      <w:pPr>
        <w:pStyle w:val="Heading2"/>
      </w:pPr>
      <w:r>
        <w:t xml:space="preserve">6.7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w:t>
      </w:r>
      <w:r>
        <w:t xml:space="preserve"> </w:t>
      </w:r>
      <w:r>
        <w:rPr>
          <w:iCs/>
          <w:i/>
        </w:rPr>
        <w:t xml:space="preserve">open field</w:t>
      </w:r>
      <w:r>
        <w:t xml:space="preserve">, solo la exposición juvenil a sacarosa aumentó la conducta tipo ansiosa; y en la SLR, la exposición juvenil a sacarosa afectó ambas configuraciones, mientras que la adulta afectó solo la más exigente.</w:t>
      </w:r>
    </w:p>
    <w:p>
      <w:pPr>
        <w:pStyle w:val="BodyText"/>
      </w:pPr>
      <w:r>
        <w:t xml:space="preserve">En conjunto, estos resultados sugieren que la etapa juvenil constituye una ventana de especial vulnerabilidad frente a los efectos del consumo de endulzantes. Este período se caracteriza por 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bookmarkEnd w:id="89"/>
    <w:bookmarkStart w:id="90" w:name="en-resumen"/>
    <w:p>
      <w:pPr>
        <w:pStyle w:val="Heading2"/>
      </w:pPr>
      <w:r>
        <w:t xml:space="preserve">6.8 En resumen</w:t>
      </w:r>
    </w:p>
    <w:p>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pPr>
        <w:pStyle w:val="BodyText"/>
      </w:pPr>
      <w:r>
        <w:t xml:space="preserve">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reconocimiento, observadas tanto en animales juveniles como adultos. Si bien estos efectos fueron de menor magnitud que los asociados al consumo de sacarosa, su presencia en ambas etapas de la vida, sumada a los efectos sobre la fertilidad descriptos en ratas hembra [3], pone de manifiesto que la stevia no está exenta de efectos. En este sentido, resulta fundamental continuar investigando sus posibles consecuencias neurobiológicas y cognitivas a largo plazo, así como profundizar en la evaluación de la seguridad de su consumo en las distintas etapas de la vida.</w:t>
      </w:r>
    </w:p>
    <w:bookmarkEnd w:id="90"/>
    <w:bookmarkEnd w:id="91"/>
    <w:bookmarkStart w:id="92"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EFSA Panel on Food Additives and Nutrient Sources added to Food (ANS),</w:t>
      </w:r>
      <w:r>
        <w:rPr>
          <w:sz w:val="19"/>
        </w:rPr>
        <w:t xml:space="preserve"> </w:t>
      </w:r>
      <w:r>
        <w:rPr>
          <w:sz w:val="19"/>
        </w:rPr>
        <w:t xml:space="preserve">“</w:t>
      </w:r>
      <w:r>
        <w:rPr>
          <w:sz w:val="19"/>
        </w:rPr>
        <w:t xml:space="preserve">Scientific opinion on the safety of steviol glycosides for the proposed uses as a food additive,</w:t>
      </w:r>
      <w:r>
        <w:rPr>
          <w:sz w:val="19"/>
        </w:rPr>
        <w:t xml:space="preserve">”</w:t>
      </w:r>
      <w:r>
        <w:rPr>
          <w:sz w:val="19"/>
        </w:rPr>
        <w:t xml:space="preserve"> </w:t>
      </w:r>
      <w:r>
        <w:rPr>
          <w:sz w:val="19"/>
        </w:rPr>
        <w:t xml:space="preserve">EFSA J., vol. 8, no. 4, 2010, Art. no. 1537. doi: 10.2903/j.efsa.2010.1537</w:t>
      </w:r>
    </w:p>
    <w:p>
      <w:pPr>
        <w:pStyle w:val="BodyText"/>
        <w:spacing w:after="80"/>
        <w:jc w:val="left"/>
      </w:pPr>
      <w:r>
        <w:rPr>
          <w:sz w:val="19"/>
        </w:rPr>
        <w:t xml:space="preserve">[20]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[21]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[22] H. Coirini, M. Rey, A. Marchena, P. Lence,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Medicina (B. Aires), vol. 83, no. Supl. V, p. 148, 2023, Resumen 182, Reunión Conjunta SAIC SAB AAFE AACYTAL 2023, Mar del Plata, Argentina.</w:t>
      </w:r>
    </w:p>
    <w:p>
      <w:pPr>
        <w:pStyle w:val="BodyText"/>
        <w:spacing w:after="80"/>
        <w:jc w:val="left"/>
      </w:pPr>
      <w:r>
        <w:rPr>
          <w:sz w:val="19"/>
        </w:rPr>
        <w:t xml:space="preserve">[23] A. Marchena et al.,</w:t>
      </w:r>
      <w:r>
        <w:rPr>
          <w:sz w:val="19"/>
        </w:rPr>
        <w:t xml:space="preserve"> </w:t>
      </w:r>
      <w:r>
        <w:rPr>
          <w:sz w:val="19"/>
        </w:rPr>
        <w:t xml:space="preserve">“</w:t>
      </w:r>
      <w:r>
        <w:rPr>
          <w:sz w:val="19"/>
        </w:rPr>
        <w:t xml:space="preserve">Early-life stevia and sucrose consumption differentially affect metabolic homeostasis and neurobiological outcomes in rats,</w:t>
      </w:r>
      <w:r>
        <w:rPr>
          <w:sz w:val="19"/>
        </w:rPr>
        <w:t xml:space="preserve">”</w:t>
      </w:r>
      <w:r>
        <w:rPr>
          <w:sz w:val="19"/>
        </w:rPr>
        <w:t xml:space="preserve"> </w:t>
      </w:r>
      <w:r>
        <w:rPr>
          <w:sz w:val="19"/>
        </w:rPr>
        <w:t xml:space="preserve">Manuscrito enviado para publicación.</w:t>
      </w:r>
    </w:p>
    <w:p>
      <w:pPr>
        <w:pStyle w:val="BodyText"/>
        <w:spacing w:after="80"/>
        <w:jc w:val="left"/>
      </w:pPr>
      <w:r>
        <w:rPr>
          <w:sz w:val="19"/>
        </w:rPr>
        <w:t xml:space="preserve">[24]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[25] J. L. Rico, L. Aya-Ramos, and Z. Dueñas,</w:t>
      </w:r>
      <w:r>
        <w:rPr>
          <w:sz w:val="19"/>
        </w:rPr>
        <w:t xml:space="preserve"> </w:t>
      </w:r>
      <w:r>
        <w:rPr>
          <w:sz w:val="19"/>
        </w:rPr>
        <w:t xml:space="preserve">“</w:t>
      </w:r>
      <w:r>
        <w:rPr>
          <w:sz w:val="19"/>
        </w:rPr>
        <w:t xml:space="preserve">Effects of early-life stress followed by access to stevia or sucralose during adolescence on weight gain, glycemia, and anxiety-related behaviors in male and female rats,</w:t>
      </w:r>
      <w:r>
        <w:rPr>
          <w:sz w:val="19"/>
        </w:rPr>
        <w:t xml:space="preserve">”</w:t>
      </w:r>
      <w:r>
        <w:rPr>
          <w:sz w:val="19"/>
        </w:rPr>
        <w:t xml:space="preserve"> </w:t>
      </w:r>
      <w:r>
        <w:rPr>
          <w:sz w:val="19"/>
        </w:rPr>
        <w:t xml:space="preserve">Physiol. Behav., vol. 280, 2024, Art. no. 114529. doi: 10.1016/j.physbeh.2024.114529</w:t>
      </w:r>
    </w:p>
    <w:p>
      <w:pPr>
        <w:pStyle w:val="BodyText"/>
        <w:spacing w:after="80"/>
        <w:jc w:val="left"/>
      </w:pPr>
      <w:r>
        <w:rPr>
          <w:sz w:val="19"/>
        </w:rPr>
        <w:t xml:space="preserve">[26]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[27] D. Bosch and I. Ehrlich,</w:t>
      </w:r>
      <w:r>
        <w:rPr>
          <w:sz w:val="19"/>
        </w:rPr>
        <w:t xml:space="preserve"> </w:t>
      </w:r>
      <w:r>
        <w:rPr>
          <w:sz w:val="19"/>
        </w:rPr>
        <w:t xml:space="preserve">“</w:t>
      </w:r>
      <w:r>
        <w:rPr>
          <w:sz w:val="19"/>
        </w:rPr>
        <w:t xml:space="preserve">Postnatal maturation of GABAergic modulation of sensory inputs onto lateral amygdala principal neurons,</w:t>
      </w:r>
      <w:r>
        <w:rPr>
          <w:sz w:val="19"/>
        </w:rPr>
        <w:t xml:space="preserve">”</w:t>
      </w:r>
      <w:r>
        <w:rPr>
          <w:sz w:val="19"/>
        </w:rPr>
        <w:t xml:space="preserve"> </w:t>
      </w:r>
      <w:r>
        <w:rPr>
          <w:sz w:val="19"/>
        </w:rPr>
        <w:t xml:space="preserve">J. Physiol., vol. 593, no. 19, pp. 4387–4409, 2015. doi: 10.1113/JP270645</w:t>
      </w:r>
    </w:p>
    <w:p>
      <w:pPr>
        <w:pStyle w:val="BodyText"/>
        <w:spacing w:after="80"/>
        <w:jc w:val="left"/>
      </w:pPr>
      <w:r>
        <w:rPr>
          <w:sz w:val="19"/>
        </w:rPr>
        <w:t xml:space="preserve">[28] N. Ognjanovski et al.,</w:t>
      </w:r>
      <w:r>
        <w:rPr>
          <w:sz w:val="19"/>
        </w:rPr>
        <w:t xml:space="preserve"> </w:t>
      </w:r>
      <w:r>
        <w:rPr>
          <w:sz w:val="19"/>
        </w:rPr>
        <w:t xml:space="preserve">“</w:t>
      </w:r>
      <w:r>
        <w:rPr>
          <w:sz w:val="19"/>
        </w:rPr>
        <w:t xml:space="preserve">Parvalbumin-expressing interneurons coordinate hippocampal network dynamics required for memory consolidation,</w:t>
      </w:r>
      <w:r>
        <w:rPr>
          <w:sz w:val="19"/>
        </w:rPr>
        <w:t xml:space="preserve">”</w:t>
      </w:r>
      <w:r>
        <w:rPr>
          <w:sz w:val="19"/>
        </w:rPr>
        <w:t xml:space="preserve"> </w:t>
      </w:r>
      <w:r>
        <w:rPr>
          <w:sz w:val="19"/>
        </w:rPr>
        <w:t xml:space="preserve">Nat. Commun., vol. 8, 2017, Art. no. 15039. doi: 10.1038/ncomms15039</w:t>
      </w:r>
    </w:p>
    <w:p>
      <w:pPr>
        <w:pStyle w:val="BodyText"/>
        <w:spacing w:after="80"/>
        <w:jc w:val="left"/>
      </w:pPr>
      <w:r>
        <w:rPr>
          <w:sz w:val="19"/>
        </w:rPr>
        <w:t xml:space="preserve">[29]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[30]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[31] A. C. Reichelt, G. D. Gibson, K. N. Abbott, and D. J. Hare,</w:t>
      </w:r>
      <w:r>
        <w:rPr>
          <w:sz w:val="19"/>
        </w:rPr>
        <w:t xml:space="preserve"> </w:t>
      </w:r>
      <w:r>
        <w:rPr>
          <w:sz w:val="19"/>
        </w:rPr>
        <w:t xml:space="preserve">“</w:t>
      </w:r>
      <w:r>
        <w:rPr>
          <w:sz w:val="19"/>
        </w:rPr>
        <w:t xml:space="preserve">A high-fat high-sugar diet in adolescent rats impairs social memory and alters chemical markers characteristic of atypical neuroplasticity and parvalbumin interneuron depletion in the medial prefrontal cortex,</w:t>
      </w:r>
      <w:r>
        <w:rPr>
          <w:sz w:val="19"/>
        </w:rPr>
        <w:t xml:space="preserve">”</w:t>
      </w:r>
      <w:r>
        <w:rPr>
          <w:sz w:val="19"/>
        </w:rPr>
        <w:t xml:space="preserve"> </w:t>
      </w:r>
      <w:r>
        <w:rPr>
          <w:sz w:val="19"/>
        </w:rPr>
        <w:t xml:space="preserve">Food Funct., vol. 10, no. 4, pp. 1985–1998, 2019. doi: 10.1039/c8fo02118j</w:t>
      </w:r>
    </w:p>
    <w:p>
      <w:pPr>
        <w:pStyle w:val="BodyText"/>
        <w:spacing w:after="80"/>
        <w:jc w:val="left"/>
      </w:pPr>
      <w:r>
        <w:rPr>
          <w:sz w:val="19"/>
        </w:rPr>
        <w:t xml:space="preserve">[32] E. I. Morales-Ríos, J. García-Machorro, A. Briones-Aranda, R. Gómez-Pliego, and J. Espinosa-Raya,</w:t>
      </w:r>
      <w:r>
        <w:rPr>
          <w:sz w:val="19"/>
        </w:rPr>
        <w:t xml:space="preserve"> </w:t>
      </w:r>
      <w:r>
        <w:rPr>
          <w:sz w:val="19"/>
        </w:rPr>
        <w:t xml:space="preserve">“</w:t>
      </w:r>
      <w:r>
        <w:rPr>
          <w:sz w:val="19"/>
        </w:rPr>
        <w:t xml:space="preserve">Effect of long-term intake of nutritive and non-nutritive sweeteners on metabolic health and cognition in adult male rats,</w:t>
      </w:r>
      <w:r>
        <w:rPr>
          <w:sz w:val="19"/>
        </w:rPr>
        <w:t xml:space="preserve">”</w:t>
      </w:r>
      <w:r>
        <w:rPr>
          <w:sz w:val="19"/>
        </w:rPr>
        <w:t xml:space="preserve"> </w:t>
      </w:r>
      <w:r>
        <w:rPr>
          <w:sz w:val="19"/>
        </w:rPr>
        <w:t xml:space="preserve">J. Med. Food, vol. 25, no. 11, pp. 1059–1065, 2022. doi: 10.1089/jmf.2022.0016</w:t>
      </w:r>
    </w:p>
    <w:p>
      <w:pPr>
        <w:pStyle w:val="BodyText"/>
        <w:spacing w:after="80"/>
        <w:jc w:val="left"/>
      </w:pPr>
      <w:r>
        <w:rPr>
          <w:sz w:val="19"/>
        </w:rPr>
        <w:t xml:space="preserve">[33]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[34] A. L. de la Garza et al.,</w:t>
      </w:r>
      <w:r>
        <w:rPr>
          <w:sz w:val="19"/>
        </w:rPr>
        <w:t xml:space="preserve"> </w:t>
      </w:r>
      <w:r>
        <w:rPr>
          <w:sz w:val="19"/>
        </w:rPr>
        <w:t xml:space="preserve">“</w:t>
      </w:r>
      <w:r>
        <w:rPr>
          <w:sz w:val="19"/>
        </w:rPr>
        <w:t xml:space="preserve">Maternal sweeteners intake modulates gut microbiota and exacerbates learning and memory processes in adult male offspring,</w:t>
      </w:r>
      <w:r>
        <w:rPr>
          <w:sz w:val="19"/>
        </w:rPr>
        <w:t xml:space="preserve">”</w:t>
      </w:r>
      <w:r>
        <w:rPr>
          <w:sz w:val="19"/>
        </w:rPr>
        <w:t xml:space="preserve"> </w:t>
      </w:r>
      <w:r>
        <w:rPr>
          <w:sz w:val="19"/>
        </w:rPr>
        <w:t xml:space="preserve">Front. Pediatr., vol. 9, Jan. 2022, Art. no. 746437. doi: 10.3389/fped.2021.746437</w:t>
      </w:r>
    </w:p>
    <w:p>
      <w:pPr>
        <w:pStyle w:val="BodyText"/>
        <w:spacing w:after="80"/>
        <w:jc w:val="left"/>
      </w:pPr>
      <w:r>
        <w:rPr>
          <w:sz w:val="19"/>
        </w:rPr>
        <w:t xml:space="preserve">[35]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[36]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[37]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[38]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[39]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[40]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[41]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[42]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[43]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[44]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bookmarkEnd w:id="92"/>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comment w:id="0" w:author="Thiago Sayegh" w:initials="TS" w:date="2026-10-21T13:29:10Z">
    <w:p>
      <w:pPr>
        <w:pStyle w:val="CommentText"/>
      </w:pPr>
      <w:r>
        <w:rPr>
          <w:rStyle w:val="CommentReference"/>
        </w:rPr>
        <w:annotationRef/>
      </w:r>
      <w:r>
        <w:t>Pregunta 1. Lo de los valores diarios lo pude calcular solo para la stevia (IDA de EFSA, 4 mg/kg/día en equivalentes de esteviol): juveniles unas 5 veces la IDA y adultos 1,8 veces. Para la sacarosa haría falta el consumo de alimento de los adultos, así que lo saqué. Lo dejamos solo para la stevia?</w:t>
      </w:r>
    </w:p>
  </w:comment>
  <w:comment w:id="1" w:author="Thiago Sayegh" w:initials="TS" w:date="2026-10-21T13:29:10Z">
    <w:p>
      <w:pPr>
        <w:pStyle w:val="CommentText"/>
      </w:pPr>
      <w:r>
        <w:rPr>
          <w:rStyle w:val="CommentReference"/>
        </w:rPr>
        <w:annotationRef/>
      </w:r>
      <w:r>
        <w:t>Pregunta 2. Como presentación a congreso cité el resumen de la Reunión Conjunta SAIC-SAB 2023 (Coirini et al., Medicina 83, Supl. V, p. 148). Ahí dice stevia al 0,5 % y el manuscrito de Marchena dice 4 %. Es el mismo experimento? Si no, cuál cito?</w:t>
      </w:r>
    </w:p>
  </w:comment>
  <w:comment w:id="2" w:author="Thiago Sayegh" w:initials="TS" w:date="2026-10-21T13:29:10Z">
    <w:p>
      <w:pPr>
        <w:pStyle w:val="CommentText"/>
      </w:pPr>
      <w:r>
        <w:rPr>
          <w:rStyle w:val="CommentReference"/>
        </w:rPr>
        <w:annotationRef/>
      </w:r>
      <w:r>
        <w:t>Pregunta 3. Cité el manuscrito como "A. Marchena et al., manuscrito enviado para publicación". Me pasás los coautores y la revista?</w:t>
      </w:r>
    </w:p>
  </w:comment>
  <w:comment w:id="3" w:author="Thiago Sayegh" w:initials="TS" w:date="2026-10-21T13:29:10Z">
    <w:p>
      <w:pPr>
        <w:pStyle w:val="CommentText"/>
      </w:pPr>
      <w:r>
        <w:rPr>
          <w:rStyle w:val="CommentReference"/>
        </w:rPr>
        <w:annotationRef/>
      </w:r>
      <w:r>
        <w:t>Pregunta 4. En el estudio agudo la memoria se evaluó con NOL, así que cambié "memoria de reconocimiento a corto plazo" por "memoria de localización de objetos". Está bien?</w:t>
      </w:r>
    </w:p>
  </w:comment>
</w:comments>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8" Type="http://schemas.openxmlformats.org/officeDocument/2006/relationships/image" Target="media/rId28.png"/><Relationship Id="rId27" Type="http://schemas.openxmlformats.org/officeDocument/2006/relationships/image" Target="media/rId27.png"/><Relationship Id="rId24" Type="http://schemas.openxmlformats.org/officeDocument/2006/relationships/image" Target="media/rId24.png"/><Relationship Id="rId30" Type="http://schemas.openxmlformats.org/officeDocument/2006/relationships/image" Target="media/rId30.png"/><Relationship Id="rId31" Type="http://schemas.openxmlformats.org/officeDocument/2006/relationships/image" Target="media/rId31.png"/><Relationship Id="rId67" Type="http://schemas.openxmlformats.org/officeDocument/2006/relationships/image" Target="media/rId67.png"/><Relationship Id="rId68" Type="http://schemas.openxmlformats.org/officeDocument/2006/relationships/image" Target="media/rId68.png"/><Relationship Id="rId74" Type="http://schemas.openxmlformats.org/officeDocument/2006/relationships/image" Target="media/rId74.png"/><Relationship Id="rId77" Type="http://schemas.openxmlformats.org/officeDocument/2006/relationships/image" Target="media/rId77.png"/><Relationship Id="rId76" Type="http://schemas.openxmlformats.org/officeDocument/2006/relationships/image" Target="media/rId76.png"/><Relationship Id="rId73" Type="http://schemas.openxmlformats.org/officeDocument/2006/relationships/image" Target="media/rId73.png"/><Relationship Id="rId75" Type="http://schemas.openxmlformats.org/officeDocument/2006/relationships/image" Target="media/rId75.png"/><Relationship Id="rId79" Type="http://schemas.openxmlformats.org/officeDocument/2006/relationships/image" Target="media/rId79.png"/><Relationship Id="rId80" Type="http://schemas.openxmlformats.org/officeDocument/2006/relationships/image" Target="media/rId80.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62" Type="http://schemas.openxmlformats.org/officeDocument/2006/relationships/image" Target="media/rId62.png"/><Relationship Id="rId49" Type="http://schemas.openxmlformats.org/officeDocument/2006/relationships/image" Target="media/rId49.png"/><Relationship Id="rId54" Type="http://schemas.openxmlformats.org/officeDocument/2006/relationships/image" Target="media/rId54.png"/><Relationship Id="rId51" Type="http://schemas.openxmlformats.org/officeDocument/2006/relationships/image" Target="media/rId51.png"/><Relationship Id="rId53" Type="http://schemas.openxmlformats.org/officeDocument/2006/relationships/image" Target="media/rId53.png"/><Relationship Id="rId50" Type="http://schemas.openxmlformats.org/officeDocument/2006/relationships/image" Target="media/rId50.png"/><Relationship Id="rId56" Type="http://schemas.openxmlformats.org/officeDocument/2006/relationships/image" Target="media/rId56.png"/><Relationship Id="rId57" Type="http://schemas.openxmlformats.org/officeDocument/2006/relationships/image" Target="media/rId57.png"/><Relationship Id="rId52" Type="http://schemas.openxmlformats.org/officeDocument/2006/relationships/image" Target="media/rId52.png"/><Relationship Id="rId65" Type="http://schemas.openxmlformats.org/officeDocument/2006/relationships/image" Target="media/rId65.png"/><Relationship Id="rId64" Type="http://schemas.openxmlformats.org/officeDocument/2006/relationships/image" Target="media/rId64.png"/><Relationship Id="rId46" Type="http://schemas.openxmlformats.org/officeDocument/2006/relationships/image" Target="media/rId46.png"/><Relationship Id="rId43" Type="http://schemas.openxmlformats.org/officeDocument/2006/relationships/image" Target="media/rId43.png"/><Relationship Id="rId42" Type="http://schemas.openxmlformats.org/officeDocument/2006/relationships/image" Target="media/rId42.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41" Type="http://schemas.openxmlformats.org/officeDocument/2006/relationships/image" Target="media/rId41.png"/><Relationship Id="rId55" Type="http://schemas.openxmlformats.org/officeDocument/2006/relationships/image" Target="media/rId55.png"/><Relationship Id="rId69" Type="http://schemas.openxmlformats.org/officeDocument/2006/relationships/image" Target="media/rId69.png"/><Relationship Id="rId70" Type="http://schemas.openxmlformats.org/officeDocument/2006/relationships/image" Target="media/rId70.png"/><Relationship Id="rId21" Type="http://schemas.openxmlformats.org/officeDocument/2006/relationships/image" Target="media/rId21.png"/><Relationship Id="rId35"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2026-10-21T13:29:06Z</dcterms:created>
  <dcterms:modified xsi:type="dcterms:W3CDTF">2026-10-21T13:29:06Z</dcterms:modified>
</cp:coreProperties>
</file>

<file path=docProps/custom.xml><?xml version="1.0" encoding="utf-8"?>
<Properties xmlns="http://schemas.openxmlformats.org/officeDocument/2006/custom-properties" xmlns:vt="http://schemas.openxmlformats.org/officeDocument/2006/docPropsVTypes"/>
</file>