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1294518"/>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2188799" cy="1294518"/>
                    </a:xfrm>
                    <a:prstGeom prst="rect">
                      <a:avLst/>
                    </a:prstGeom>
                    <a:noFill/>
                    <a:ln w="9525">
                      <a:noFill/>
                      <a:headEnd/>
                      <a:tailEnd/>
                    </a:ln>
                  </pic:spPr>
                </pic:pic>
              </a:graphicData>
            </a:graphic>
          </wp:inline>
        </w:drawing>
      </w:r>
      <w:r>
        <w:t xml:space="preserve"> </w:t>
      </w:r>
      <w:r>
        <w:t xml:space="preserve">(B)</w:t>
      </w:r>
      <w:r>
        <w:t xml:space="preserve"> </w:t>
      </w:r>
      <w:r>
        <w:drawing>
          <wp:inline>
            <wp:extent cx="2188799" cy="1294518"/>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2188799" cy="1294518"/>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ambos edulcorantes superó los valores diarios de referencia correspondientes, y este exceso fue más pronunciado durante la etapa juvenil</w:t>
      </w:r>
      <w:r>
        <w:t xml:space="preserve"> </w:t>
      </w:r>
      <w:r>
        <w:rPr>
          <w:bCs/>
          <w:b/>
        </w:rPr>
        <w:t xml:space="preserve">[CONFIRMAR: agregar la referencia de los valores diarios y el cálculo de la ingesta]</w:t>
      </w:r>
      <w:r>
        <w:t xml:space="preserve">.</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[19],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[20].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no produce cambios en la conducta tipo ansiosa de ratas macho juveniles cuando se evalúa a corto plazo</w:t>
      </w:r>
      <w:r>
        <w:t xml:space="preserve"> </w:t>
      </w:r>
      <w:r>
        <w:rPr>
          <w:bCs/>
          <w:b/>
        </w:rPr>
        <w:t xml:space="preserve">[CONFIRMAR: cita: manuscrito enviado para publicación y presentación a congreso]</w:t>
      </w:r>
      <w:r>
        <w:t xml:space="preserve">.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21]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[22],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[23].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reconocimiento a corto plazo</w:t>
      </w:r>
      <w:r>
        <w:t xml:space="preserve"> </w:t>
      </w:r>
      <w:r>
        <w:rPr>
          <w:bCs/>
          <w:b/>
        </w:rPr>
        <w:t xml:space="preserve">[CONFIRMAR: cita: manuscrito enviado para publicación y presentación a congreso]</w:t>
      </w:r>
      <w:r>
        <w:t xml:space="preserve">. Además, estos animales presentaron modificaciones en la expresión de calretinina (CR), un marcador de determinadas poblaciones de interneuronas GABAérgicas, en la corteza prefrontal medial. Las interneuronas que expresan parvalbúmina (PV) y CR son importantes reguladoras de la actividad de los circuitos neuronales y desempeñan funciones relevantes en procesos cognitivos como la memoria y la sincronización de las redes neuronales [24, 25]. En este sentido, estudios previos demostraron que la disminución de la expresión de PV en el hipocampo y en la corteza prefrontal tras el consumo de sacarosa se asocia con alteraciones de la memoria y de las conductas de tipo ansioso [1, 26–28].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[29].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[30]. A largo plazo, solo se describió que el consumo materno de stevia durante la gestación y la lactancia se asocia con un peor desempeño de memoria en la descendencia macho adulta [31].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[32], y los glucósidos de esteviol presentan actividad antioxidante [33], revirtieron el deterioro de la memoria inducido por escopolamina [34] y modularon la plasticidad sináptica hipocampal en un modelo de desorden metabólico [35].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[36, 37]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en el giro dentado, con una diferencia significativa en el grupo adulto, y redujo el número de neuroblastos en proliferación (PCNA</w:t>
      </w:r>
      <w:r>
        <w:rPr>
          <w:vertAlign w:val="superscript"/>
        </w:rPr>
        <w:t xml:space="preserve">+</w:t>
      </w:r>
      <w:r>
        <w:t xml:space="preserve">/DCX</w:t>
      </w:r>
      <w:r>
        <w:rPr>
          <w:vertAlign w:val="superscript"/>
        </w:rPr>
        <w:t xml:space="preserve">+</w:t>
      </w:r>
      <w:r>
        <w:t xml:space="preserve">)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[38]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[27];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[39]. En cambio, Sánchez-Huerta et al. encontraron un aumento de la proliferación en la zona subgranular del giro dentado ventral tras el consumo de sacarosa iniciado en la adolescencia tardía [21],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[40, 41].</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[20]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[21]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[22]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[23]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[24]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[25]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[26]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[27]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[28]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[29]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[30]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[31]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[32]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[33]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[34]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[35]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[36]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[37]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[38]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[39]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[40]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[41]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1" Type="http://schemas.openxmlformats.org/officeDocument/2006/relationships/image" Target="media/rId51.png"/><Relationship Id="rId53" Type="http://schemas.openxmlformats.org/officeDocument/2006/relationships/image" Target="media/rId53.png"/><Relationship Id="rId50" Type="http://schemas.openxmlformats.org/officeDocument/2006/relationships/image" Target="media/rId50.png"/><Relationship Id="rId56" Type="http://schemas.openxmlformats.org/officeDocument/2006/relationships/image" Target="media/rId56.png"/><Relationship Id="rId57" Type="http://schemas.openxmlformats.org/officeDocument/2006/relationships/image" Target="media/rId57.png"/><Relationship Id="rId52" Type="http://schemas.openxmlformats.org/officeDocument/2006/relationships/image" Target="media/rId52.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2026-10-20T20:46:10Z</dcterms:created>
  <dcterms:modified xsi:type="dcterms:W3CDTF">2026-10-20T20:46:10Z</dcterms:modified>
</cp:coreProperties>
</file>

<file path=docProps/custom.xml><?xml version="1.0" encoding="utf-8"?>
<Properties xmlns="http://schemas.openxmlformats.org/officeDocument/2006/custom-properties" xmlns:vt="http://schemas.openxmlformats.org/officeDocument/2006/docPropsVTypes"/>
</file>