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3D60A82E" w:rsidR="00682AD3" w:rsidRPr="00921B6E" w:rsidRDefault="00D51624">
      <w:pPr>
        <w:pStyle w:val="Ttulo1"/>
        <w:numPr>
          <w:ilvl w:val="0"/>
          <w:numId w:val="5"/>
        </w:numPr>
      </w:pPr>
      <w:bookmarkStart w:id="0" w:name="_Hlk131668886"/>
      <w:r w:rsidRPr="00D51624">
        <w:t>CONVERSÃO DE AUXÍLIO-DOENÇA ACIDENTÁRIO (B91) PARA PREVIDENCIÁRIO (B31)</w:t>
      </w:r>
    </w:p>
    <w:p w14:paraId="7FCEE991" w14:textId="77777777" w:rsidR="00682AD3" w:rsidRDefault="00682AD3" w:rsidP="00444429">
      <w:pPr>
        <w:pStyle w:val="CorpodeTexto"/>
      </w:pPr>
      <w:bookmarkStart w:id="1" w:name="_Hlk98842261"/>
    </w:p>
    <w:p w14:paraId="0C65B2BE" w14:textId="19451747" w:rsidR="00D51624" w:rsidRPr="00612E8B" w:rsidRDefault="00D51624" w:rsidP="00490F22">
      <w:pPr>
        <w:pStyle w:val="CorpodeTexto"/>
      </w:pPr>
      <w:r>
        <w:t xml:space="preserve">O segurado </w:t>
      </w:r>
      <w:r w:rsidR="00490F22">
        <w:t>XXX</w:t>
      </w:r>
      <w:r>
        <w:t xml:space="preserve">, inscrito no NIT sob o nº </w:t>
      </w:r>
      <w:r w:rsidR="00490F22">
        <w:t>XXX</w:t>
      </w:r>
      <w:r>
        <w:t>, teve concedido 01 (um) benefício de auxílio-doença por acidente de trabalho, espécie B</w:t>
      </w:r>
      <w:r w:rsidR="00490F22">
        <w:t>XX</w:t>
      </w:r>
      <w:r>
        <w:t xml:space="preserve">, nº </w:t>
      </w:r>
      <w:r w:rsidR="00490F22">
        <w:t>XXX</w:t>
      </w:r>
      <w:r>
        <w:t>.</w:t>
      </w:r>
    </w:p>
    <w:p w14:paraId="3486CC03" w14:textId="77777777" w:rsidR="00D51624" w:rsidRPr="00D46019" w:rsidRDefault="00D51624" w:rsidP="00490F22">
      <w:pPr>
        <w:pStyle w:val="CorpodeTexto"/>
      </w:pPr>
      <w:r>
        <w:t xml:space="preserve">Contudo, </w:t>
      </w:r>
      <w:r w:rsidRPr="004C4343">
        <w:t xml:space="preserve">a </w:t>
      </w:r>
      <w:r w:rsidRPr="00490F22">
        <w:rPr>
          <w:b/>
          <w:bCs/>
        </w:rPr>
        <w:t>Previdência Social cometeu erro ao atribuir a natureza acidentária (B91)</w:t>
      </w:r>
      <w:r w:rsidRPr="00D46019">
        <w:t xml:space="preserve"> no ato da concessão</w:t>
      </w:r>
      <w:r>
        <w:t xml:space="preserve"> do benefício</w:t>
      </w:r>
      <w:r w:rsidRPr="00D46019">
        <w:t>.</w:t>
      </w:r>
    </w:p>
    <w:p w14:paraId="324D5047" w14:textId="77777777" w:rsidR="00D51624" w:rsidRPr="00490F22" w:rsidRDefault="00D51624" w:rsidP="00490F22">
      <w:pPr>
        <w:pStyle w:val="CorpodeTexto"/>
      </w:pPr>
      <w:r w:rsidRPr="00490F22">
        <w:t>Dessa forma, considerando a ausência de nexo causal e de concausa entre o evento incapacitante e o trabalho desenvolvido, a Autora interpôs recurso administrativo perante o Conselho de Recursos da Previdência Social (CRPS) contra a decisão do INSS que classificou o benefício nº 6166799075 como acidentário.</w:t>
      </w:r>
    </w:p>
    <w:p w14:paraId="5B0D8EAE" w14:textId="77777777" w:rsidR="00D51624" w:rsidRPr="00490F22" w:rsidRDefault="00D51624" w:rsidP="00490F22">
      <w:pPr>
        <w:pStyle w:val="CorpodeTexto"/>
      </w:pPr>
      <w:r w:rsidRPr="00490F22">
        <w:t xml:space="preserve">Após o parecer médico emitido pelo INSS, favorável à descaracterização da espécie acidentária e ratificado pela Perícia Médica Federal (PMF), a 10ª Junta de Recursos do CRPS (processo nº 44233.055613/2017-72) conheceu o recurso e, no mérito, </w:t>
      </w:r>
      <w:r w:rsidRPr="00490F22">
        <w:rPr>
          <w:b/>
          <w:bCs/>
        </w:rPr>
        <w:t>julgou procedente o pedido</w:t>
      </w:r>
      <w:r w:rsidRPr="00490F22">
        <w:t>, determinando a</w:t>
      </w:r>
      <w:r w:rsidRPr="00490F22">
        <w:rPr>
          <w:b/>
          <w:bCs/>
        </w:rPr>
        <w:t xml:space="preserve"> reclassificação da natureza do benefício nº 6166799075</w:t>
      </w:r>
      <w:r w:rsidRPr="00490F22">
        <w:t xml:space="preserve"> </w:t>
      </w:r>
      <w:r w:rsidRPr="00490F22">
        <w:rPr>
          <w:b/>
          <w:bCs/>
        </w:rPr>
        <w:t>de acidentário (B91)</w:t>
      </w:r>
      <w:r w:rsidRPr="00490F22">
        <w:t xml:space="preserve"> </w:t>
      </w:r>
      <w:r w:rsidRPr="00490F22">
        <w:rPr>
          <w:b/>
          <w:bCs/>
        </w:rPr>
        <w:t>para</w:t>
      </w:r>
      <w:r w:rsidRPr="00490F22">
        <w:t xml:space="preserve"> </w:t>
      </w:r>
      <w:r w:rsidRPr="00490F22">
        <w:rPr>
          <w:b/>
          <w:bCs/>
        </w:rPr>
        <w:t>previdenciário (B31)</w:t>
      </w:r>
      <w:r w:rsidRPr="00490F22">
        <w:t xml:space="preserve">. </w:t>
      </w:r>
    </w:p>
    <w:p w14:paraId="32278FB7" w14:textId="77777777" w:rsidR="00D51624" w:rsidRDefault="00D51624" w:rsidP="00490F22">
      <w:pPr>
        <w:pStyle w:val="CorpodeTexto"/>
      </w:pPr>
      <w:r>
        <w:t>Destacamos a seguir os trechos de relevo do acórdão (doc. anexo à petição inicial).</w:t>
      </w:r>
    </w:p>
    <w:p w14:paraId="32C1258A" w14:textId="77777777" w:rsidR="00D51624" w:rsidRPr="00C857D3" w:rsidRDefault="00D51624" w:rsidP="00D51624">
      <w:pPr>
        <w:spacing w:before="360" w:after="360" w:line="360" w:lineRule="auto"/>
        <w:ind w:firstLine="1134"/>
        <w:jc w:val="both"/>
        <w:rPr>
          <w:rFonts w:ascii="Arial Narrow" w:hAnsi="Arial Narrow" w:cs="Arial"/>
          <w:sz w:val="2"/>
          <w:szCs w:val="2"/>
        </w:rPr>
      </w:pPr>
    </w:p>
    <w:p w14:paraId="36C9F29B" w14:textId="7D969A9E" w:rsidR="00D51624" w:rsidRPr="00884CA3" w:rsidRDefault="00D51624" w:rsidP="00490F22">
      <w:pPr>
        <w:pStyle w:val="LegendaImagem"/>
      </w:pPr>
      <w:r>
        <w:t xml:space="preserve">Processo nº </w:t>
      </w:r>
      <w:r w:rsidR="0000791E">
        <w:t>XXX</w:t>
      </w:r>
      <w:r>
        <w:t>/CRPS</w:t>
      </w:r>
    </w:p>
    <w:p w14:paraId="7C6CE51E" w14:textId="01175E52" w:rsidR="00D51624" w:rsidRDefault="00490F22" w:rsidP="00D51624">
      <w:pPr>
        <w:spacing w:before="360" w:after="360" w:line="360" w:lineRule="auto"/>
        <w:jc w:val="center"/>
        <w:rPr>
          <w:rFonts w:ascii="Arial Narrow" w:hAnsi="Arial Narrow" w:cs="Arial"/>
          <w:sz w:val="22"/>
          <w:szCs w:val="22"/>
        </w:rPr>
      </w:pPr>
      <w:r w:rsidRPr="00490F22">
        <w:rPr>
          <w:rFonts w:ascii="Arial Narrow" w:hAnsi="Arial Narrow" w:cs="Arial"/>
          <w:noProof/>
          <w:sz w:val="22"/>
          <w:szCs w:val="22"/>
        </w:rPr>
        <w:lastRenderedPageBreak/>
        <w:drawing>
          <wp:inline distT="0" distB="0" distL="0" distR="0" wp14:anchorId="788A30E6" wp14:editId="3A2AB182">
            <wp:extent cx="4203302" cy="4699635"/>
            <wp:effectExtent l="19050" t="19050" r="26035" b="24765"/>
            <wp:docPr id="150150326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326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9927" cy="470704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9EB4AB" w14:textId="77777777" w:rsidR="00D51624" w:rsidRDefault="00D51624" w:rsidP="00490F22">
      <w:pPr>
        <w:pStyle w:val="CorpodeTexto"/>
        <w:ind w:firstLine="0"/>
        <w:jc w:val="center"/>
      </w:pPr>
      <w:r>
        <w:t>[...]</w:t>
      </w:r>
    </w:p>
    <w:p w14:paraId="7B85FF3A" w14:textId="2E0932A4" w:rsidR="00D51624" w:rsidRDefault="00490F22" w:rsidP="00D51624">
      <w:pPr>
        <w:spacing w:before="360" w:after="360" w:line="360" w:lineRule="auto"/>
        <w:jc w:val="center"/>
        <w:rPr>
          <w:rFonts w:ascii="Arial Narrow" w:hAnsi="Arial Narrow" w:cs="Arial"/>
          <w:sz w:val="22"/>
          <w:szCs w:val="22"/>
        </w:rPr>
      </w:pPr>
      <w:r w:rsidRPr="00490F22">
        <w:rPr>
          <w:noProof/>
        </w:rPr>
        <w:lastRenderedPageBreak/>
        <w:drawing>
          <wp:inline distT="0" distB="0" distL="0" distR="0" wp14:anchorId="1C622491" wp14:editId="2AAC7D52">
            <wp:extent cx="3910777" cy="5362724"/>
            <wp:effectExtent l="19050" t="19050" r="13970" b="9525"/>
            <wp:docPr id="6070772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7726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1719" cy="537772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9D3EB1" w14:textId="77777777" w:rsidR="00D51624" w:rsidRPr="00751029" w:rsidRDefault="00D51624" w:rsidP="00D51624">
      <w:pPr>
        <w:spacing w:before="360" w:after="360" w:line="360" w:lineRule="auto"/>
        <w:jc w:val="center"/>
        <w:rPr>
          <w:rFonts w:ascii="Arial Narrow" w:hAnsi="Arial Narrow" w:cs="Arial"/>
          <w:sz w:val="2"/>
          <w:szCs w:val="2"/>
        </w:rPr>
      </w:pPr>
    </w:p>
    <w:p w14:paraId="517AF86C" w14:textId="3232EE1C" w:rsidR="00D51624" w:rsidRPr="00490F22" w:rsidRDefault="00D51624" w:rsidP="00490F22">
      <w:pPr>
        <w:pStyle w:val="CorpodeTexto"/>
      </w:pPr>
      <w:r w:rsidRPr="00490F22">
        <w:t>Todavia, em que pese o reconhecimento da</w:t>
      </w:r>
      <w:r w:rsidRPr="00490F22">
        <w:rPr>
          <w:b/>
          <w:bCs/>
        </w:rPr>
        <w:t xml:space="preserve"> natureza previdenciária do auxílio-doença (B31) nº </w:t>
      </w:r>
      <w:r w:rsidR="00490F22">
        <w:rPr>
          <w:b/>
          <w:bCs/>
        </w:rPr>
        <w:t>XXX</w:t>
      </w:r>
      <w:r w:rsidRPr="00490F22">
        <w:t xml:space="preserve">, a administração pública incluiu o retro benefício na base de cálculo do FAP nas vigências </w:t>
      </w:r>
      <w:r w:rsidR="00490F22">
        <w:t>XXX</w:t>
      </w:r>
      <w:r w:rsidRPr="00490F22">
        <w:t xml:space="preserve"> do estabelecimento CNPJ nº </w:t>
      </w:r>
      <w:r w:rsidR="00490F22">
        <w:t>XXX</w:t>
      </w:r>
      <w:r w:rsidRPr="00490F22">
        <w:t>.</w:t>
      </w:r>
    </w:p>
    <w:p w14:paraId="2C900051" w14:textId="77777777" w:rsidR="00490F22" w:rsidRDefault="00490F22" w:rsidP="00490F22">
      <w:pPr>
        <w:pStyle w:val="CorpodeTexto"/>
      </w:pPr>
    </w:p>
    <w:tbl>
      <w:tblPr>
        <w:tblStyle w:val="Tabelacomgrade"/>
        <w:tblW w:w="9776" w:type="dxa"/>
        <w:jc w:val="center"/>
        <w:tblLook w:val="0620" w:firstRow="1" w:lastRow="0" w:firstColumn="0" w:lastColumn="0" w:noHBand="1" w:noVBand="1"/>
      </w:tblPr>
      <w:tblGrid>
        <w:gridCol w:w="540"/>
        <w:gridCol w:w="581"/>
        <w:gridCol w:w="581"/>
        <w:gridCol w:w="1802"/>
        <w:gridCol w:w="1265"/>
        <w:gridCol w:w="1219"/>
        <w:gridCol w:w="545"/>
        <w:gridCol w:w="1128"/>
        <w:gridCol w:w="2115"/>
      </w:tblGrid>
      <w:tr w:rsidR="00490F22" w:rsidRPr="00A06DB9" w14:paraId="1755744A" w14:textId="77777777" w:rsidTr="00B379BC">
        <w:trPr>
          <w:tblHeader/>
          <w:jc w:val="center"/>
        </w:trPr>
        <w:tc>
          <w:tcPr>
            <w:tcW w:w="540" w:type="dxa"/>
            <w:shd w:val="clear" w:color="auto" w:fill="D5DCE4" w:themeFill="text2" w:themeFillTint="33"/>
            <w:vAlign w:val="center"/>
          </w:tcPr>
          <w:p w14:paraId="191EC753" w14:textId="77777777" w:rsidR="00490F22" w:rsidRPr="00A06DB9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168" w:type="dxa"/>
            <w:gridSpan w:val="2"/>
            <w:shd w:val="clear" w:color="auto" w:fill="D5DCE4" w:themeFill="text2" w:themeFillTint="33"/>
            <w:vAlign w:val="center"/>
          </w:tcPr>
          <w:p w14:paraId="4CD18901" w14:textId="77777777" w:rsidR="00490F22" w:rsidRPr="00A06DB9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831" w:type="dxa"/>
            <w:shd w:val="clear" w:color="auto" w:fill="D5DCE4" w:themeFill="text2" w:themeFillTint="33"/>
            <w:vAlign w:val="center"/>
          </w:tcPr>
          <w:p w14:paraId="1D81BAA4" w14:textId="77777777" w:rsidR="00490F22" w:rsidRPr="00A06DB9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1179" w:type="dxa"/>
            <w:shd w:val="clear" w:color="auto" w:fill="D5DCE4" w:themeFill="text2" w:themeFillTint="33"/>
            <w:vAlign w:val="center"/>
          </w:tcPr>
          <w:p w14:paraId="14E1DFCD" w14:textId="77777777" w:rsidR="00490F22" w:rsidRPr="00A06DB9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o(a)</w:t>
            </w:r>
          </w:p>
        </w:tc>
        <w:tc>
          <w:tcPr>
            <w:tcW w:w="1227" w:type="dxa"/>
            <w:shd w:val="clear" w:color="auto" w:fill="D5DCE4" w:themeFill="text2" w:themeFillTint="33"/>
            <w:vAlign w:val="center"/>
          </w:tcPr>
          <w:p w14:paraId="3853741F" w14:textId="77777777" w:rsidR="00490F22" w:rsidRPr="00A06DB9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45" w:type="dxa"/>
            <w:shd w:val="clear" w:color="auto" w:fill="D5DCE4" w:themeFill="text2" w:themeFillTint="33"/>
            <w:vAlign w:val="center"/>
          </w:tcPr>
          <w:p w14:paraId="749A8906" w14:textId="77777777" w:rsidR="00490F22" w:rsidRPr="00A06DB9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35" w:type="dxa"/>
            <w:shd w:val="clear" w:color="auto" w:fill="D5DCE4" w:themeFill="text2" w:themeFillTint="33"/>
            <w:vAlign w:val="center"/>
          </w:tcPr>
          <w:p w14:paraId="67879B1F" w14:textId="77777777" w:rsidR="00490F22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  <w:tc>
          <w:tcPr>
            <w:tcW w:w="2151" w:type="dxa"/>
            <w:shd w:val="clear" w:color="auto" w:fill="D5DCE4" w:themeFill="text2" w:themeFillTint="33"/>
          </w:tcPr>
          <w:p w14:paraId="5856DC7C" w14:textId="77777777" w:rsidR="00490F22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Processo</w:t>
            </w:r>
          </w:p>
        </w:tc>
      </w:tr>
      <w:tr w:rsidR="00490F22" w:rsidRPr="00907849" w14:paraId="1712F876" w14:textId="77777777" w:rsidTr="00B379BC">
        <w:trPr>
          <w:tblHeader/>
          <w:jc w:val="center"/>
        </w:trPr>
        <w:tc>
          <w:tcPr>
            <w:tcW w:w="540" w:type="dxa"/>
            <w:shd w:val="clear" w:color="auto" w:fill="D5DCE4" w:themeFill="text2" w:themeFillTint="33"/>
            <w:vAlign w:val="center"/>
          </w:tcPr>
          <w:p w14:paraId="445AFC4C" w14:textId="77777777" w:rsidR="00490F22" w:rsidRPr="00A06DB9" w:rsidRDefault="00490F22" w:rsidP="00490F22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4" w:type="dxa"/>
            <w:vAlign w:val="center"/>
          </w:tcPr>
          <w:p w14:paraId="718DB909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84" w:type="dxa"/>
            <w:vAlign w:val="center"/>
          </w:tcPr>
          <w:p w14:paraId="65008EC5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831" w:type="dxa"/>
            <w:vAlign w:val="center"/>
          </w:tcPr>
          <w:p w14:paraId="6172092F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1179" w:type="dxa"/>
            <w:vAlign w:val="center"/>
          </w:tcPr>
          <w:p w14:paraId="6ED7464F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227" w:type="dxa"/>
            <w:vAlign w:val="center"/>
          </w:tcPr>
          <w:p w14:paraId="53B136AA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45" w:type="dxa"/>
            <w:vAlign w:val="center"/>
          </w:tcPr>
          <w:p w14:paraId="508AFC3C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135" w:type="dxa"/>
            <w:vAlign w:val="center"/>
          </w:tcPr>
          <w:p w14:paraId="7EFB79E3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2151" w:type="dxa"/>
            <w:vAlign w:val="center"/>
          </w:tcPr>
          <w:p w14:paraId="107FEF7B" w14:textId="77777777" w:rsidR="00490F22" w:rsidRPr="00501E98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44233.055613/2017-72/CRPS</w:t>
            </w:r>
          </w:p>
        </w:tc>
      </w:tr>
      <w:tr w:rsidR="00490F22" w:rsidRPr="00907849" w14:paraId="6E4B0FEC" w14:textId="77777777" w:rsidTr="00B379BC">
        <w:trPr>
          <w:tblHeader/>
          <w:jc w:val="center"/>
        </w:trPr>
        <w:tc>
          <w:tcPr>
            <w:tcW w:w="540" w:type="dxa"/>
            <w:shd w:val="clear" w:color="auto" w:fill="D5DCE4" w:themeFill="text2" w:themeFillTint="33"/>
            <w:vAlign w:val="center"/>
          </w:tcPr>
          <w:p w14:paraId="4DD271E0" w14:textId="77777777" w:rsidR="00490F22" w:rsidRPr="00A06DB9" w:rsidRDefault="00490F22" w:rsidP="00490F22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4" w:type="dxa"/>
            <w:vAlign w:val="center"/>
          </w:tcPr>
          <w:p w14:paraId="1D678242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84" w:type="dxa"/>
            <w:vAlign w:val="center"/>
          </w:tcPr>
          <w:p w14:paraId="26FCD653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831" w:type="dxa"/>
            <w:vAlign w:val="center"/>
          </w:tcPr>
          <w:p w14:paraId="4CB6F868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79" w:type="dxa"/>
            <w:vAlign w:val="center"/>
          </w:tcPr>
          <w:p w14:paraId="226487D9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27" w:type="dxa"/>
            <w:vAlign w:val="center"/>
          </w:tcPr>
          <w:p w14:paraId="05BC500D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45" w:type="dxa"/>
            <w:vAlign w:val="center"/>
          </w:tcPr>
          <w:p w14:paraId="2457A963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14:paraId="520A0A50" w14:textId="77777777" w:rsidR="00490F22" w:rsidRPr="002412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151" w:type="dxa"/>
          </w:tcPr>
          <w:p w14:paraId="663A869D" w14:textId="77777777" w:rsidR="00490F22" w:rsidRPr="00991131" w:rsidRDefault="00490F22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</w:tr>
    </w:tbl>
    <w:p w14:paraId="72B82EAE" w14:textId="77777777" w:rsidR="00490F22" w:rsidRPr="00490F22" w:rsidRDefault="00490F22" w:rsidP="00490F22">
      <w:pPr>
        <w:pStyle w:val="CorpodeTexto"/>
      </w:pPr>
    </w:p>
    <w:p w14:paraId="4E5A72AF" w14:textId="77777777" w:rsidR="00D51624" w:rsidRDefault="00D51624" w:rsidP="00490F22">
      <w:pPr>
        <w:pStyle w:val="CorpodeTexto"/>
      </w:pPr>
      <w:r>
        <w:lastRenderedPageBreak/>
        <w:t>As telas abaixo, extraídas do sistema FAP, comprovam a inclusão do benefício na base de cálculo dos índices.</w:t>
      </w:r>
    </w:p>
    <w:p w14:paraId="7EEE90AB" w14:textId="77777777" w:rsidR="00D51624" w:rsidRDefault="00D51624" w:rsidP="00490F22">
      <w:pPr>
        <w:pStyle w:val="CorpodeTexto"/>
      </w:pPr>
    </w:p>
    <w:p w14:paraId="2130DBF2" w14:textId="7DF76E74" w:rsidR="00D51624" w:rsidRDefault="00D51624" w:rsidP="00490F22">
      <w:pPr>
        <w:pStyle w:val="LegendaImagem"/>
        <w:rPr>
          <w:noProof/>
        </w:rPr>
      </w:pPr>
      <w:bookmarkStart w:id="2" w:name="_Hlk132726023"/>
      <w:r w:rsidRPr="003F5E99">
        <w:t xml:space="preserve">Vigência </w:t>
      </w:r>
      <w:bookmarkEnd w:id="2"/>
      <w:r w:rsidR="0000791E">
        <w:t>XXX</w:t>
      </w:r>
    </w:p>
    <w:p w14:paraId="48CDE2A7" w14:textId="79B72DBF" w:rsidR="00D51624" w:rsidRPr="00612E8B" w:rsidRDefault="00490F22" w:rsidP="00D51624">
      <w:pPr>
        <w:pStyle w:val="Corpodetextorecuado"/>
        <w:spacing w:before="240" w:after="240" w:line="360" w:lineRule="auto"/>
        <w:ind w:left="0"/>
        <w:jc w:val="center"/>
        <w:rPr>
          <w:rFonts w:ascii="Arial Narrow" w:hAnsi="Arial Narrow" w:cs="Arial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0362F3DF" wp14:editId="79777E5C">
            <wp:extent cx="5759450" cy="1527175"/>
            <wp:effectExtent l="19050" t="19050" r="12700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275CA" w14:textId="77777777" w:rsidR="0000791E" w:rsidRDefault="0000791E" w:rsidP="00490F22">
      <w:pPr>
        <w:pStyle w:val="CorpodeTexto"/>
      </w:pPr>
    </w:p>
    <w:p w14:paraId="2E57093F" w14:textId="1B566EB9" w:rsidR="00D51624" w:rsidRDefault="00D51624" w:rsidP="00490F22">
      <w:pPr>
        <w:pStyle w:val="CorpodeTexto"/>
      </w:pPr>
      <w:r>
        <w:t xml:space="preserve">Embora o benefício fosse acidentário durante a fase de cálculo do FAP, este deve ser excluído, pois a classificação da espécie de acidente de trabalho (B91) foi indevida e o </w:t>
      </w:r>
      <w:r w:rsidRPr="00BC1263">
        <w:rPr>
          <w:b/>
          <w:bCs/>
        </w:rPr>
        <w:t xml:space="preserve">benefício </w:t>
      </w:r>
      <w:r>
        <w:rPr>
          <w:b/>
          <w:bCs/>
        </w:rPr>
        <w:t xml:space="preserve">foi </w:t>
      </w:r>
      <w:r w:rsidRPr="00BC1263">
        <w:rPr>
          <w:b/>
          <w:bCs/>
        </w:rPr>
        <w:t>convertido para a natureza previdenciária</w:t>
      </w:r>
      <w:r>
        <w:t>, consoante o acórdão proferido pelo CRPS.</w:t>
      </w:r>
    </w:p>
    <w:p w14:paraId="5C0A8649" w14:textId="77777777" w:rsidR="00D51624" w:rsidRPr="00236606" w:rsidRDefault="00D51624" w:rsidP="00490F22">
      <w:pPr>
        <w:pStyle w:val="CorpodeTexto"/>
      </w:pPr>
      <w:r>
        <w:t xml:space="preserve">Nesse sentido, considerando que o índice FAP é composto </w:t>
      </w:r>
      <w:r>
        <w:rPr>
          <w:b/>
          <w:bCs/>
        </w:rPr>
        <w:t xml:space="preserve">apenas </w:t>
      </w:r>
      <w:r>
        <w:t xml:space="preserve">por benefícios da espécie acidentária, a inclusão na base de cálculo de auxílio-doença previdenciário contraria a metodologia do FAP disposta na Resolução nº 1.329/2017. </w:t>
      </w:r>
      <w:r>
        <w:rPr>
          <w:i/>
          <w:iCs/>
        </w:rPr>
        <w:t>In verbis</w:t>
      </w:r>
      <w:r>
        <w:t>:</w:t>
      </w:r>
    </w:p>
    <w:p w14:paraId="1ACE748A" w14:textId="77777777" w:rsidR="00D51624" w:rsidRPr="00A14C7B" w:rsidRDefault="00D51624" w:rsidP="00490F22">
      <w:pPr>
        <w:pStyle w:val="CorpodeTexto"/>
      </w:pPr>
    </w:p>
    <w:p w14:paraId="7D5999B0" w14:textId="77777777" w:rsidR="00D51624" w:rsidRDefault="00D51624" w:rsidP="00490F22">
      <w:pPr>
        <w:pStyle w:val="Jurisprudncia"/>
      </w:pPr>
      <w:r>
        <w:t>2.2. Definições</w:t>
      </w:r>
    </w:p>
    <w:p w14:paraId="7169E0AF" w14:textId="77777777" w:rsidR="00D51624" w:rsidRDefault="00D51624" w:rsidP="00490F22">
      <w:pPr>
        <w:pStyle w:val="Jurisprudncia"/>
      </w:pPr>
      <w:r w:rsidRPr="006F5E89">
        <w:t xml:space="preserve">Foram adotadas as seguintes definições estruturantes: </w:t>
      </w:r>
    </w:p>
    <w:p w14:paraId="05DD7B36" w14:textId="77777777" w:rsidR="00D51624" w:rsidRPr="006F5E89" w:rsidRDefault="00D51624" w:rsidP="00490F22">
      <w:pPr>
        <w:pStyle w:val="Jurisprudncia"/>
      </w:pPr>
      <w:r w:rsidRPr="006F5E89">
        <w:t xml:space="preserve">Evento: ocorrência previdenciária, ou seja, </w:t>
      </w:r>
      <w:r w:rsidRPr="006F5E89">
        <w:rPr>
          <w:b/>
          <w:bCs/>
        </w:rPr>
        <w:t>cada um dos registros de benefício das espécies de natureza acidentária: B91</w:t>
      </w:r>
      <w:r w:rsidRPr="006F5E89">
        <w:t xml:space="preserve"> – Auxílio-Doença Acidentário, </w:t>
      </w:r>
      <w:r w:rsidRPr="006F5E89">
        <w:rPr>
          <w:b/>
          <w:bCs/>
        </w:rPr>
        <w:t>B92</w:t>
      </w:r>
      <w:r w:rsidRPr="006F5E89">
        <w:t xml:space="preserve"> – Aposentadoria por Invalidez Acidentária, </w:t>
      </w:r>
      <w:r w:rsidRPr="006F5E89">
        <w:rPr>
          <w:b/>
          <w:bCs/>
        </w:rPr>
        <w:t>B93</w:t>
      </w:r>
      <w:r w:rsidRPr="006F5E89">
        <w:t xml:space="preserve"> – Pensão por Morte Acidentária e </w:t>
      </w:r>
      <w:r w:rsidRPr="006F5E89">
        <w:rPr>
          <w:b/>
          <w:bCs/>
        </w:rPr>
        <w:t>B94</w:t>
      </w:r>
      <w:r w:rsidRPr="006F5E89">
        <w:t xml:space="preserve"> – Auxílio-Acidente Acidentário e as Comunicações de Acidente de Trabalho – CAT</w:t>
      </w:r>
    </w:p>
    <w:p w14:paraId="1CCC6DCF" w14:textId="77777777" w:rsidR="00D51624" w:rsidRPr="00490F22" w:rsidRDefault="00D51624" w:rsidP="00490F22">
      <w:pPr>
        <w:pStyle w:val="CorpodeTexto"/>
      </w:pPr>
    </w:p>
    <w:p w14:paraId="699D5199" w14:textId="77777777" w:rsidR="00D51624" w:rsidRPr="00490F22" w:rsidRDefault="00D51624" w:rsidP="00490F22">
      <w:pPr>
        <w:pStyle w:val="CorpodeTexto"/>
      </w:pPr>
      <w:r w:rsidRPr="00490F22">
        <w:t>Vejamos importante julgado do TRF da 4ª Região sobre o tema:</w:t>
      </w:r>
    </w:p>
    <w:p w14:paraId="53504BA6" w14:textId="77777777" w:rsidR="00D51624" w:rsidRPr="00490F22" w:rsidRDefault="00D51624" w:rsidP="00490F22">
      <w:pPr>
        <w:pStyle w:val="CorpodeTexto"/>
      </w:pPr>
    </w:p>
    <w:p w14:paraId="4A72FCD1" w14:textId="77777777" w:rsidR="00D51624" w:rsidRPr="00490F22" w:rsidRDefault="00D51624" w:rsidP="00490F22">
      <w:pPr>
        <w:pStyle w:val="Jurisprudncia"/>
        <w:rPr>
          <w:rStyle w:val="nfase"/>
          <w:i w:val="0"/>
          <w:iCs w:val="0"/>
        </w:rPr>
      </w:pPr>
      <w:r w:rsidRPr="00490F22">
        <w:rPr>
          <w:rStyle w:val="nfase"/>
          <w:i w:val="0"/>
          <w:iCs w:val="0"/>
        </w:rPr>
        <w:t xml:space="preserve">TRIBUTÁRIO. CONTRIBUIÇÃO PARA O RAT. FAP. 1. A Corte Especial deste Tribunal, na sessão de 25out.2012, ao julgar a Arguição De Inconstitucionalidade 5007417-47.2012.404.0000, declarou a constitucionalidade da contribuição destinada ao Seguro do Acidente do Trabalho - SAT/RAT prevista no artigo 10 da Lei 10.666/2003 com a aplicação do Fator Acidentário de Prevenção - FAP. 2. A regulamentação da metodologia do FAP através dos Decretos 6.042/2007 e 6.957/2009 e das Resoluções MPS/CNPS 1.308/2009, 1.309/2009, 1.316/2010 e 1.329/2017 não implica afronta ao princípio da legalidade, já que as disposições essenciais à cobrança da contribuição se encontram delineadas nas Leis 8.212/1991 e 10.666/2003. </w:t>
      </w:r>
      <w:r w:rsidRPr="00490F22">
        <w:rPr>
          <w:rStyle w:val="nfase"/>
          <w:b/>
          <w:bCs/>
          <w:i w:val="0"/>
          <w:iCs w:val="0"/>
        </w:rPr>
        <w:t xml:space="preserve">3. Não devem ser incluídos no cálculo do FAP os </w:t>
      </w:r>
      <w:r w:rsidRPr="00490F22">
        <w:rPr>
          <w:rStyle w:val="nfase"/>
          <w:b/>
          <w:bCs/>
          <w:i w:val="0"/>
          <w:iCs w:val="0"/>
        </w:rPr>
        <w:lastRenderedPageBreak/>
        <w:t>acidentes de trajeto e as ocorrências relacionadas a fatos incapacitantes sem relação com a atividade laborativa estabelecida pelo Nexo Técnico Epidemiológico Previdenciário - NTEP</w:t>
      </w:r>
      <w:r w:rsidRPr="00490F22">
        <w:rPr>
          <w:rStyle w:val="nfase"/>
          <w:i w:val="0"/>
          <w:iCs w:val="0"/>
        </w:rPr>
        <w:t xml:space="preserve">. </w:t>
      </w:r>
    </w:p>
    <w:p w14:paraId="3859ABC7" w14:textId="77777777" w:rsidR="00D51624" w:rsidRPr="00490F22" w:rsidRDefault="00D51624" w:rsidP="00490F22">
      <w:pPr>
        <w:pStyle w:val="Jurisprudncia"/>
        <w:rPr>
          <w:rStyle w:val="nfase"/>
          <w:i w:val="0"/>
          <w:iCs w:val="0"/>
        </w:rPr>
      </w:pPr>
    </w:p>
    <w:p w14:paraId="631FC091" w14:textId="77777777" w:rsidR="00D51624" w:rsidRPr="00490F22" w:rsidRDefault="00D51624" w:rsidP="00490F22">
      <w:pPr>
        <w:pStyle w:val="Jurisprudncia"/>
        <w:rPr>
          <w:rStyle w:val="nfase"/>
          <w:i w:val="0"/>
          <w:iCs w:val="0"/>
        </w:rPr>
      </w:pPr>
      <w:r w:rsidRPr="00490F22">
        <w:rPr>
          <w:rStyle w:val="nfase"/>
          <w:i w:val="0"/>
          <w:iCs w:val="0"/>
        </w:rPr>
        <w:t>(TRF-4 - APL: 50106303820164047205 SC 5010630-38.2016.4.04.7205, Relator: EDUARDO VANDRÉ OLIVEIRA LEMA GARCIA, Data de Julgamento: 25/02/2021, PRIMEIRA TURMA)</w:t>
      </w:r>
    </w:p>
    <w:p w14:paraId="542B5B42" w14:textId="77777777" w:rsidR="00D51624" w:rsidRPr="00CC745D" w:rsidRDefault="00D51624" w:rsidP="00CC745D">
      <w:pPr>
        <w:pStyle w:val="CorpodeTexto"/>
      </w:pPr>
    </w:p>
    <w:p w14:paraId="1E58D1FD" w14:textId="38219E5A" w:rsidR="00D51624" w:rsidRPr="00CC745D" w:rsidRDefault="00D51624" w:rsidP="00CC745D">
      <w:pPr>
        <w:pStyle w:val="CorpodeTexto"/>
      </w:pPr>
      <w:r w:rsidRPr="00CC745D">
        <w:t xml:space="preserve">Por essas razões, requer-se a </w:t>
      </w:r>
      <w:r w:rsidRPr="00CC745D">
        <w:rPr>
          <w:b/>
          <w:bCs/>
        </w:rPr>
        <w:t>exclusão</w:t>
      </w:r>
      <w:r w:rsidRPr="00CC745D">
        <w:t xml:space="preserve"> do benefício de auxílio-doença previdenciário, espécie B31, nº </w:t>
      </w:r>
      <w:r w:rsidR="00CC745D">
        <w:t>XXX</w:t>
      </w:r>
      <w:r w:rsidRPr="00CC745D">
        <w:t xml:space="preserve">, da base de cálculo do FAP nas vigências </w:t>
      </w:r>
      <w:r w:rsidR="00CC745D">
        <w:t>XXX</w:t>
      </w:r>
      <w:r w:rsidRPr="00CC745D">
        <w:t xml:space="preserve"> do estabelecimento CNPJ nº </w:t>
      </w:r>
      <w:r w:rsidR="00CC745D">
        <w:t>XXX</w:t>
      </w:r>
      <w:r w:rsidRPr="00CC745D">
        <w:t xml:space="preserve"> e o </w:t>
      </w:r>
      <w:r w:rsidRPr="00CC745D">
        <w:rPr>
          <w:b/>
          <w:bCs/>
        </w:rPr>
        <w:t>recálculo</w:t>
      </w:r>
      <w:r w:rsidRPr="00CC745D">
        <w:t xml:space="preserve"> dos índices.</w:t>
      </w:r>
    </w:p>
    <w:bookmarkEnd w:id="0"/>
    <w:bookmarkEnd w:id="1"/>
    <w:p w14:paraId="507C96AC" w14:textId="77777777" w:rsidR="00D51624" w:rsidRPr="00CC745D" w:rsidRDefault="00D51624" w:rsidP="00CC745D">
      <w:pPr>
        <w:pStyle w:val="CorpodeTexto"/>
      </w:pPr>
    </w:p>
    <w:sectPr w:rsidR="00D51624" w:rsidRPr="00CC745D" w:rsidSect="00587F25">
      <w:headerReference w:type="default" r:id="rId11"/>
      <w:headerReference w:type="first" r:id="rId12"/>
      <w:footerReference w:type="first" r:id="rId13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C60C7" w14:textId="77777777" w:rsidR="00EE6653" w:rsidRDefault="00EE6653" w:rsidP="00824C3A">
      <w:r>
        <w:separator/>
      </w:r>
    </w:p>
  </w:endnote>
  <w:endnote w:type="continuationSeparator" w:id="0">
    <w:p w14:paraId="31CDAD15" w14:textId="77777777" w:rsidR="00EE6653" w:rsidRDefault="00EE6653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487C6" w14:textId="77777777" w:rsidR="00EE6653" w:rsidRDefault="00EE6653" w:rsidP="00824C3A">
      <w:r>
        <w:separator/>
      </w:r>
    </w:p>
  </w:footnote>
  <w:footnote w:type="continuationSeparator" w:id="0">
    <w:p w14:paraId="6287E14A" w14:textId="77777777" w:rsidR="00EE6653" w:rsidRDefault="00EE6653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EE720" w14:textId="109AE182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6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7"/>
  </w:num>
  <w:num w:numId="6" w16cid:durableId="1162962532">
    <w:abstractNumId w:val="5"/>
  </w:num>
  <w:num w:numId="7" w16cid:durableId="383601809">
    <w:abstractNumId w:val="2"/>
  </w:num>
  <w:num w:numId="8" w16cid:durableId="34571463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0791E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0F22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13C7A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45D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1624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E6653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qFormat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139</TotalTime>
  <Pages>5</Pages>
  <Words>622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78</cp:revision>
  <cp:lastPrinted>2023-05-05T20:40:00Z</cp:lastPrinted>
  <dcterms:created xsi:type="dcterms:W3CDTF">2023-05-08T12:30:00Z</dcterms:created>
  <dcterms:modified xsi:type="dcterms:W3CDTF">2023-06-29T21:22:00Z</dcterms:modified>
</cp:coreProperties>
</file>