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8BA4" w14:textId="0FB0F75A" w:rsidR="00682AD3" w:rsidRPr="00921B6E" w:rsidRDefault="00D3662C">
      <w:pPr>
        <w:pStyle w:val="Ttulo1"/>
        <w:numPr>
          <w:ilvl w:val="0"/>
          <w:numId w:val="5"/>
        </w:numPr>
      </w:pPr>
      <w:bookmarkStart w:id="0" w:name="_Hlk131668886"/>
      <w:r w:rsidRPr="00D3662C">
        <w:t>APURAÇÃO DO ÍNDICE DE CUSTO EM DESACORDO COM A LEI Nº 8.213/91</w:t>
      </w:r>
    </w:p>
    <w:p w14:paraId="7FCEE991" w14:textId="77777777" w:rsidR="00682AD3" w:rsidRDefault="00682AD3" w:rsidP="00444429">
      <w:pPr>
        <w:pStyle w:val="CorpodeTexto"/>
      </w:pPr>
      <w:bookmarkStart w:id="1" w:name="_Hlk98842261"/>
    </w:p>
    <w:p w14:paraId="6EBF875D" w14:textId="77777777" w:rsidR="00D3662C" w:rsidRDefault="00D3662C" w:rsidP="00D70F9A">
      <w:pPr>
        <w:pStyle w:val="CorpodeTexto"/>
        <w:rPr>
          <w:sz w:val="24"/>
          <w:szCs w:val="24"/>
        </w:rPr>
      </w:pPr>
      <w:r w:rsidRPr="00D11E03">
        <w:t xml:space="preserve">As Resoluções nº 1.329/17 e 1.347/21 estabelecem, no </w:t>
      </w:r>
      <w:r w:rsidRPr="00F371A6">
        <w:t>item 2.3.3 – Índices de custo</w:t>
      </w:r>
      <w:r w:rsidRPr="00D11E03">
        <w:t>, que</w:t>
      </w:r>
      <w:r w:rsidRPr="00D11E03">
        <w:rPr>
          <w:sz w:val="24"/>
          <w:szCs w:val="24"/>
        </w:rPr>
        <w:t>:</w:t>
      </w:r>
    </w:p>
    <w:p w14:paraId="44B8F777" w14:textId="77777777" w:rsidR="00D3662C" w:rsidRPr="000274CB" w:rsidRDefault="00D3662C" w:rsidP="00D70F9A">
      <w:pPr>
        <w:pStyle w:val="CorpodeTexto"/>
        <w:rPr>
          <w:sz w:val="14"/>
          <w:szCs w:val="14"/>
        </w:rPr>
      </w:pPr>
    </w:p>
    <w:p w14:paraId="06FA73AA" w14:textId="77777777" w:rsidR="00D3662C" w:rsidRPr="00D70F9A" w:rsidRDefault="00D3662C" w:rsidP="00D70F9A">
      <w:pPr>
        <w:pStyle w:val="Jurisprudncia"/>
        <w:rPr>
          <w:rFonts w:eastAsia="Arial Narrow"/>
        </w:rPr>
      </w:pPr>
      <w:r w:rsidRPr="00D70F9A">
        <w:rPr>
          <w:rFonts w:eastAsia="Arial Narrow"/>
        </w:rPr>
        <w:t xml:space="preserve">O índice de custo “representa as despesas da Previdência Social com pagamento de benefícios de natureza acidentária e sua relação com as contribuições das empresas. Para esse índice são computados os valores pagos pela Previdência em rendas mensais de benefícios, excetuados os decorrentes de trajeto, assim identificados por meio da CAT ou por meio de outro instrumento que vier a substitui-la. No caso do auxílio-doença por acidente de trabalho (B91), o custo é calculado pelo tempo de afastamento, em meses e fração de mês, do segurado dentro do Período-Base de cálculo do FAP. Nos casos da aposentadoria por invalidez por acidente de trabalho (B92) e </w:t>
      </w:r>
      <w:r w:rsidRPr="00D70F9A">
        <w:rPr>
          <w:rFonts w:eastAsia="Arial Narrow"/>
          <w:b/>
          <w:bCs/>
        </w:rPr>
        <w:t>do auxílio-acidente por acidente de trabalho (B94), os custos são calculados fazendo uma projeção da expectativa de sobrevida do beneficiário a partir da tábua completa de mortalidade construída pela Fundação Instituto Brasileiro de Geografia e Estatística - IBGE, para toda a população brasileira, considerando-se a média nacional única para ambos os sexos</w:t>
      </w:r>
      <w:r w:rsidRPr="00D70F9A">
        <w:rPr>
          <w:rFonts w:eastAsia="Arial Narrow"/>
        </w:rPr>
        <w:t>. No caso da pensão por morte por acidente de trabalho (B93) os custos serão calculados considerando as regras vigentes para duração do benefício.” (GN)</w:t>
      </w:r>
    </w:p>
    <w:p w14:paraId="5133F5A8" w14:textId="77777777" w:rsidR="00D3662C" w:rsidRPr="002573BA" w:rsidRDefault="00D3662C" w:rsidP="00D70F9A">
      <w:pPr>
        <w:pStyle w:val="CorpodeTexto"/>
      </w:pPr>
    </w:p>
    <w:p w14:paraId="51641103" w14:textId="77777777" w:rsidR="00D3662C" w:rsidRPr="00E2719C" w:rsidRDefault="00D3662C" w:rsidP="00D70F9A">
      <w:pPr>
        <w:pStyle w:val="CorpodeTexto"/>
      </w:pPr>
      <w:r w:rsidRPr="00E2719C">
        <w:t>Desta maneira, nos termos da</w:t>
      </w:r>
      <w:r>
        <w:t>s</w:t>
      </w:r>
      <w:r w:rsidRPr="00E2719C">
        <w:t xml:space="preserve"> Resoluç</w:t>
      </w:r>
      <w:r>
        <w:t>ões</w:t>
      </w:r>
      <w:r w:rsidRPr="00E2719C">
        <w:t xml:space="preserve">, o </w:t>
      </w:r>
      <w:r w:rsidRPr="00FA3CD1">
        <w:rPr>
          <w:b/>
        </w:rPr>
        <w:t>custo do benefício auxílio-acidente por acidente de trabalho (B94) é calculado com base na expectativa de sobrevida do beneficiário</w:t>
      </w:r>
      <w:r w:rsidRPr="00E2719C">
        <w:t>. Isto é, multiplica-se o valor mensal do benefício pelo número de meses estimado que o segurado irá recebê-lo, segundo sua expectativa de vida.</w:t>
      </w:r>
    </w:p>
    <w:p w14:paraId="06ED77E9" w14:textId="77777777" w:rsidR="00D3662C" w:rsidRDefault="00D3662C" w:rsidP="00D70F9A">
      <w:pPr>
        <w:pStyle w:val="CorpodeTexto"/>
        <w:rPr>
          <w:rFonts w:cs="Helvetica"/>
          <w:shd w:val="clear" w:color="auto" w:fill="FFFFFF"/>
        </w:rPr>
      </w:pPr>
      <w:r w:rsidRPr="00E2719C">
        <w:t>No entanto, a Lei nº 8.213/</w:t>
      </w:r>
      <w:r>
        <w:t>19</w:t>
      </w:r>
      <w:r w:rsidRPr="00E2719C">
        <w:t>91</w:t>
      </w:r>
      <w:r>
        <w:t>,</w:t>
      </w:r>
      <w:r w:rsidRPr="00E2719C">
        <w:t xml:space="preserve"> que dispõe sobre os Planos de Benefícios da Previdência Social e dá outras providências, norma que embasa e norteia todo o sistema previdenciário brasileiro, estabelece em seu art. 86 que o auxílio-acidente </w:t>
      </w:r>
      <w:r w:rsidRPr="00E2719C">
        <w:rPr>
          <w:rFonts w:cs="Helvetica"/>
          <w:shd w:val="clear" w:color="auto" w:fill="FFFFFF"/>
        </w:rPr>
        <w:t>é devido ao segurado acidentado que, após a consolidação das lesões decorrentes do acidente do trabalho, apresenta sequela que implique na redução de sua capacidade laborativa.</w:t>
      </w:r>
    </w:p>
    <w:p w14:paraId="5F1DD49F" w14:textId="77777777" w:rsidR="00D3662C" w:rsidRPr="00AA0553" w:rsidRDefault="00D3662C" w:rsidP="00D70F9A">
      <w:pPr>
        <w:pStyle w:val="CorpodeTexto"/>
        <w:rPr>
          <w:shd w:val="clear" w:color="auto" w:fill="FFFFFF"/>
        </w:rPr>
      </w:pPr>
    </w:p>
    <w:p w14:paraId="1672D3B2" w14:textId="77777777" w:rsidR="00D3662C" w:rsidRPr="00D70F9A" w:rsidRDefault="00D3662C" w:rsidP="00D70F9A">
      <w:pPr>
        <w:pStyle w:val="Jurisprudncia"/>
      </w:pPr>
      <w:r w:rsidRPr="00D70F9A">
        <w:t>Art. 86. O auxílio-acidente será concedido, como indenização, ao segurado quando, após consolidação das lesões decorrentes de acidente de qualquer natureza, resultarem sequelas que impliquem redução da capacidade para o trabalho que habitualmente exercia.</w:t>
      </w:r>
    </w:p>
    <w:p w14:paraId="4E3017C6" w14:textId="77777777" w:rsidR="00D3662C" w:rsidRPr="00E60DC3" w:rsidRDefault="00D3662C" w:rsidP="00D70F9A">
      <w:pPr>
        <w:pStyle w:val="CorpodeTexto"/>
        <w:rPr>
          <w:shd w:val="clear" w:color="auto" w:fill="FFFFFF"/>
        </w:rPr>
      </w:pPr>
    </w:p>
    <w:p w14:paraId="260CE50B" w14:textId="77777777" w:rsidR="00D3662C" w:rsidRDefault="00D3662C" w:rsidP="00D70F9A">
      <w:pPr>
        <w:pStyle w:val="CorpodeTexto"/>
        <w:rPr>
          <w:shd w:val="clear" w:color="auto" w:fill="FFFFFF"/>
        </w:rPr>
      </w:pPr>
      <w:r w:rsidRPr="00E2719C">
        <w:rPr>
          <w:shd w:val="clear" w:color="auto" w:fill="FFFFFF"/>
        </w:rPr>
        <w:t>Os parágrafos 1º e 2º estabelecem seu valor e duração, estipulando que será devido até o início de qualquer aposentadoria ou até a data do óbito do segurado, sendo vedada sua acumulação com qualquer aposentadoria.</w:t>
      </w:r>
    </w:p>
    <w:p w14:paraId="57BB8FDE" w14:textId="77777777" w:rsidR="00D3662C" w:rsidRPr="00E60DC3" w:rsidRDefault="00D3662C" w:rsidP="00D70F9A">
      <w:pPr>
        <w:pStyle w:val="CorpodeTexto"/>
        <w:rPr>
          <w:shd w:val="clear" w:color="auto" w:fill="FFFFFF"/>
        </w:rPr>
      </w:pPr>
    </w:p>
    <w:p w14:paraId="518B0C51" w14:textId="77777777" w:rsidR="00D3662C" w:rsidRPr="00D70F9A" w:rsidRDefault="00D3662C" w:rsidP="00D70F9A">
      <w:pPr>
        <w:pStyle w:val="Jurisprudncia"/>
      </w:pPr>
      <w:r w:rsidRPr="00D70F9A">
        <w:t xml:space="preserve">§ 1º O auxílio-acidente mensal corresponderá a cinquenta por cento do salário-de-benefício e será devido, observado o disposto no § 5º, </w:t>
      </w:r>
      <w:r w:rsidRPr="00D70F9A">
        <w:rPr>
          <w:b/>
          <w:bCs/>
        </w:rPr>
        <w:t>até a véspera do início de qualquer aposentadoria ou até a data do óbito do segurado</w:t>
      </w:r>
      <w:r w:rsidRPr="00D70F9A">
        <w:t>.</w:t>
      </w:r>
    </w:p>
    <w:p w14:paraId="5E646301" w14:textId="77777777" w:rsidR="00D3662C" w:rsidRPr="00D70F9A" w:rsidRDefault="00D3662C" w:rsidP="00D70F9A">
      <w:pPr>
        <w:pStyle w:val="Jurisprudncia"/>
      </w:pPr>
      <w:r w:rsidRPr="00D70F9A">
        <w:lastRenderedPageBreak/>
        <w:t xml:space="preserve">§ 2º O auxílio-acidente será devido a partir do dia seguinte ao da cessação do auxílio-doença, independentemente de qualquer remuneração ou rendimento auferido pelo acidentado, </w:t>
      </w:r>
      <w:r w:rsidRPr="00D70F9A">
        <w:rPr>
          <w:b/>
          <w:bCs/>
        </w:rPr>
        <w:t>vedada sua acumulação com qualquer aposentadoria</w:t>
      </w:r>
      <w:r w:rsidRPr="00D70F9A">
        <w:t>.</w:t>
      </w:r>
    </w:p>
    <w:p w14:paraId="4C370690" w14:textId="77777777" w:rsidR="00D3662C" w:rsidRPr="00E60DC3" w:rsidRDefault="00D3662C" w:rsidP="00D70F9A">
      <w:pPr>
        <w:pStyle w:val="CorpodeTexto"/>
      </w:pPr>
    </w:p>
    <w:p w14:paraId="76039D0C" w14:textId="77777777" w:rsidR="00D3662C" w:rsidRPr="008D0AC4" w:rsidRDefault="00D3662C" w:rsidP="00D70F9A">
      <w:pPr>
        <w:pStyle w:val="CorpodeTexto"/>
      </w:pPr>
      <w:r w:rsidRPr="008D0AC4">
        <w:t>Ou seja, quando o segurado se aposenta, qualquer que seja o tipo de aposentadoria, perde o direito ao recebimento do auxílio-acidente.</w:t>
      </w:r>
    </w:p>
    <w:p w14:paraId="03ACD44B" w14:textId="77777777" w:rsidR="00D3662C" w:rsidRPr="008D0AC4" w:rsidRDefault="00D3662C" w:rsidP="00D70F9A">
      <w:pPr>
        <w:pStyle w:val="CorpodeTexto"/>
        <w:rPr>
          <w:b/>
          <w:bCs/>
        </w:rPr>
      </w:pPr>
      <w:r w:rsidRPr="008D0AC4">
        <w:rPr>
          <w:b/>
          <w:bCs/>
        </w:rPr>
        <w:t>Da leitura em conjunto das normas resta inconteste a incompatibilidade entre elas.</w:t>
      </w:r>
    </w:p>
    <w:p w14:paraId="1858E956" w14:textId="77777777" w:rsidR="00D3662C" w:rsidRPr="008D0AC4" w:rsidRDefault="00D3662C" w:rsidP="00D70F9A">
      <w:pPr>
        <w:pStyle w:val="CorpodeTexto"/>
      </w:pPr>
      <w:r w:rsidRPr="00D70F9A">
        <w:rPr>
          <w:b/>
          <w:bCs/>
        </w:rPr>
        <w:t>As Resoluções nº 1.329/2017 e 1.347/2021</w:t>
      </w:r>
      <w:r w:rsidRPr="008D0AC4">
        <w:t xml:space="preserve"> considera</w:t>
      </w:r>
      <w:r>
        <w:t>m</w:t>
      </w:r>
      <w:r w:rsidRPr="008D0AC4">
        <w:t xml:space="preserve">, para o cálculo do índice de custo, que o benefício de auxílio-acidente por acidente de trabalho (B94) será pago com base na expectativa de </w:t>
      </w:r>
      <w:r>
        <w:t>sobre</w:t>
      </w:r>
      <w:r w:rsidRPr="008D0AC4">
        <w:t xml:space="preserve">vida do segurado, hoje aproximadamente 80 anos. Enquanto, a </w:t>
      </w:r>
      <w:r w:rsidRPr="00D70F9A">
        <w:rPr>
          <w:b/>
          <w:bCs/>
        </w:rPr>
        <w:t>Lei nº 8.213/1991</w:t>
      </w:r>
      <w:r w:rsidRPr="008D0AC4">
        <w:t xml:space="preserve"> estabelece que o benefício (B94) será pago até a concessão de qualquer aposentadoria ou morte do segurado, ressaltando a impossibilidade de acumulação com qualquer aposentadoria.</w:t>
      </w:r>
    </w:p>
    <w:p w14:paraId="25FC428A" w14:textId="77777777" w:rsidR="00D3662C" w:rsidRPr="008D0AC4" w:rsidRDefault="00D3662C" w:rsidP="00D70F9A">
      <w:pPr>
        <w:pStyle w:val="CorpodeTexto"/>
      </w:pPr>
      <w:r w:rsidRPr="008D0AC4">
        <w:t>Observe-se que a Resolução do FAP parte de premissa equivocada ao imaginar que a Previdência Social, quando da concessão do auxílio-acidente por acidente de trabalho, será onerada por todo o período de sobrevida do segurado. Isto não é verdade, uma vez que a Lei dos Benefícios veda a acumulação do auxílio com qualquer aposentadoria.</w:t>
      </w:r>
    </w:p>
    <w:p w14:paraId="599167BF" w14:textId="77777777" w:rsidR="00D3662C" w:rsidRPr="008D0AC4" w:rsidRDefault="00D3662C" w:rsidP="00D70F9A">
      <w:pPr>
        <w:pStyle w:val="CorpodeTexto"/>
      </w:pPr>
      <w:r w:rsidRPr="008D0AC4">
        <w:t>Portanto, sendo o auxílio-acidente (B94) benefício que não se cumula com aposentadoria, incabível o cálculo de seu custo com base na tábua de mortalidade.</w:t>
      </w:r>
    </w:p>
    <w:p w14:paraId="3A45EC65" w14:textId="77777777" w:rsidR="00D3662C" w:rsidRPr="008D0AC4" w:rsidRDefault="00D3662C" w:rsidP="00D70F9A">
      <w:pPr>
        <w:pStyle w:val="CorpodeTexto"/>
      </w:pPr>
      <w:r w:rsidRPr="008D0AC4">
        <w:t xml:space="preserve">Desta forma, </w:t>
      </w:r>
      <w:proofErr w:type="spellStart"/>
      <w:r w:rsidRPr="008D0AC4">
        <w:t>refoge</w:t>
      </w:r>
      <w:proofErr w:type="spellEnd"/>
      <w:r w:rsidRPr="008D0AC4">
        <w:t xml:space="preserve"> a sistemática, portanto, que o custo do benefício de auxílio-acidente seja calculado com base na tábua de mortalidade de acordo com a expectativa de </w:t>
      </w:r>
      <w:r>
        <w:t>sobre</w:t>
      </w:r>
      <w:r w:rsidRPr="008D0AC4">
        <w:t xml:space="preserve">vida do segurado, e não com base na cessação, com a implementação de uma </w:t>
      </w:r>
      <w:r>
        <w:t xml:space="preserve">possível </w:t>
      </w:r>
      <w:r w:rsidRPr="008D0AC4">
        <w:t xml:space="preserve">aposentadoria, </w:t>
      </w:r>
      <w:r w:rsidRPr="00D70F9A">
        <w:rPr>
          <w:b/>
          <w:bCs/>
        </w:rPr>
        <w:t>em regra com 65 anos de idade, se homem, e 62 anos, se mulher</w:t>
      </w:r>
      <w:r w:rsidRPr="008D0AC4">
        <w:t>.</w:t>
      </w:r>
    </w:p>
    <w:p w14:paraId="278AA8A6" w14:textId="77777777" w:rsidR="00D3662C" w:rsidRPr="00D70F9A" w:rsidRDefault="00D3662C" w:rsidP="00D70F9A">
      <w:pPr>
        <w:pStyle w:val="CorpodeTexto"/>
        <w:rPr>
          <w:b/>
          <w:bCs/>
        </w:rPr>
      </w:pPr>
      <w:r w:rsidRPr="00D70F9A">
        <w:rPr>
          <w:b/>
          <w:bCs/>
        </w:rPr>
        <w:t>Nosso ordenamento aponta que essa incompatibilidade de normas deve ser solucionada por meio da aplicação do critério hierárquico, pois não há que se falar em norma jurídica inferior contrária à superior.</w:t>
      </w:r>
    </w:p>
    <w:p w14:paraId="0D74A680" w14:textId="77777777" w:rsidR="00D3662C" w:rsidRPr="008D0AC4" w:rsidRDefault="00D3662C" w:rsidP="00D70F9A">
      <w:pPr>
        <w:pStyle w:val="CorpodeTexto"/>
      </w:pPr>
      <w:r w:rsidRPr="008D0AC4">
        <w:t>Isto porque, a norma que representa o fundamento de validade de uma outra norma é, em face desta, uma norma superior.</w:t>
      </w:r>
    </w:p>
    <w:p w14:paraId="4F2426D5" w14:textId="77777777" w:rsidR="00D3662C" w:rsidRPr="00E60DC3" w:rsidRDefault="00D3662C" w:rsidP="00D70F9A">
      <w:pPr>
        <w:pStyle w:val="CorpodeTexto"/>
      </w:pPr>
      <w:r w:rsidRPr="00587CF1">
        <w:t>Portanto, a utilização da expectativa de vida em detrimento da expectativa de aposentadoria afronta as determinações do Regulamento da Previdência Social</w:t>
      </w:r>
      <w:r w:rsidRPr="00E60DC3">
        <w:t>.</w:t>
      </w:r>
    </w:p>
    <w:p w14:paraId="38F2AB45" w14:textId="77777777" w:rsidR="00D3662C" w:rsidRPr="005A1907" w:rsidRDefault="00D3662C" w:rsidP="00D70F9A">
      <w:pPr>
        <w:pStyle w:val="CorpodeTexto"/>
      </w:pPr>
      <w:r w:rsidRPr="005A1907">
        <w:t xml:space="preserve">Para exemplificar os erros cometidos na apuração do índice de custo, suponhamos que um segurado, homem, teve concedido o benefício de auxílio-acidente por acidente de trabalho, espécie B94, aos </w:t>
      </w:r>
      <w:r w:rsidRPr="005A1907">
        <w:rPr>
          <w:b/>
          <w:bCs/>
        </w:rPr>
        <w:t>40 anos</w:t>
      </w:r>
      <w:r w:rsidRPr="005A1907">
        <w:t xml:space="preserve"> de idade – Data de Nascimento em 14/06/1976 – e com Data de Início do Benefício (DIB) em 26/10/2017, com Renda Mensal Inicial (RMI) fixada em R$ 500,00</w:t>
      </w:r>
      <w:r>
        <w:t>, e incluído na base de cálculo do FAP da empresa nas vigências 2019 e 2020.</w:t>
      </w:r>
    </w:p>
    <w:p w14:paraId="50A15380" w14:textId="77777777" w:rsidR="00D3662C" w:rsidRPr="005A1907" w:rsidRDefault="00D3662C" w:rsidP="00D70F9A">
      <w:pPr>
        <w:pStyle w:val="CorpodeTexto"/>
      </w:pPr>
      <w:r w:rsidRPr="005A1907">
        <w:lastRenderedPageBreak/>
        <w:t xml:space="preserve">Para apurar o custo do benefício, a Secretaria da Previdência estimou que ele seria pago por 480 meses – </w:t>
      </w:r>
      <w:r w:rsidRPr="005A1907">
        <w:rPr>
          <w:b/>
          <w:bCs/>
        </w:rPr>
        <w:t xml:space="preserve">40 anos </w:t>
      </w:r>
      <w:r w:rsidRPr="005A1907">
        <w:t xml:space="preserve">– Data Inicial da Contabilização 26/10/2017 e Data Final de Contabilização 26/10/2057. </w:t>
      </w:r>
    </w:p>
    <w:p w14:paraId="580D42BF" w14:textId="77777777" w:rsidR="00D3662C" w:rsidRDefault="00D3662C" w:rsidP="00D70F9A">
      <w:pPr>
        <w:pStyle w:val="CorpodeTexto"/>
      </w:pPr>
      <w:r w:rsidRPr="005A1907">
        <w:t>Somando a idade do segurado no momento da concessão – 40 anos – com a estimativa de sobrevida por 40 anos, temos 80 anos. Assim, o pagamento do benefício seria provisionado em R$ 240.000,00 (desconsiderando atualizações monetárias).</w:t>
      </w:r>
    </w:p>
    <w:p w14:paraId="0FC66CC9" w14:textId="77777777" w:rsidR="00D3662C" w:rsidRPr="005A1907" w:rsidRDefault="00D3662C" w:rsidP="00D70F9A">
      <w:pPr>
        <w:pStyle w:val="CorpodeTexto"/>
      </w:pPr>
      <w:r>
        <w:t>Isso porque</w:t>
      </w:r>
      <w:r w:rsidRPr="00050F47">
        <w:t xml:space="preserve">, o cálculo parte de lógica equivocada ao autorizar que o custo do benefício de auxílio-acidente seja </w:t>
      </w:r>
      <w:r>
        <w:t>calculado</w:t>
      </w:r>
      <w:r w:rsidRPr="00050F47">
        <w:t xml:space="preserve"> com base na expectativa de </w:t>
      </w:r>
      <w:r>
        <w:t>sobre</w:t>
      </w:r>
      <w:r w:rsidRPr="00050F47">
        <w:t>vida do segurado, ou seja, em período superior ao prescrito na Legislação Previdenciária.</w:t>
      </w:r>
    </w:p>
    <w:p w14:paraId="4A4814DD" w14:textId="77777777" w:rsidR="00D3662C" w:rsidRDefault="00D3662C" w:rsidP="00D70F9A">
      <w:pPr>
        <w:pStyle w:val="CorpodeTexto"/>
      </w:pPr>
      <w:r>
        <w:t>Em resumo</w:t>
      </w:r>
      <w:r w:rsidRPr="00227FA8">
        <w:t xml:space="preserve">, o prazo </w:t>
      </w:r>
      <w:r>
        <w:t>de</w:t>
      </w:r>
      <w:r w:rsidRPr="00227FA8">
        <w:t xml:space="preserve"> 80 anos</w:t>
      </w:r>
      <w:r>
        <w:t>,</w:t>
      </w:r>
      <w:r w:rsidRPr="00227FA8">
        <w:t xml:space="preserve"> considerado pela Previdência Social para o cálculo do custo do benefício</w:t>
      </w:r>
      <w:r>
        <w:t>,</w:t>
      </w:r>
      <w:r w:rsidRPr="00227FA8">
        <w:t xml:space="preserve"> </w:t>
      </w:r>
      <w:r w:rsidRPr="005A1907">
        <w:rPr>
          <w:b/>
          <w:bCs/>
        </w:rPr>
        <w:t>supera em 15 anos a idade prevista para a concessão da aposentadoria do segurado</w:t>
      </w:r>
      <w:r w:rsidRPr="00227FA8">
        <w:t>, em regra, 65 anos.</w:t>
      </w:r>
    </w:p>
    <w:p w14:paraId="4A5544D1" w14:textId="77777777" w:rsidR="00D3662C" w:rsidRDefault="00D3662C" w:rsidP="00D70F9A">
      <w:pPr>
        <w:pStyle w:val="CorpodeTexto"/>
      </w:pPr>
      <w:r>
        <w:t xml:space="preserve">Limitando a apuração </w:t>
      </w:r>
      <w:r w:rsidRPr="00E60DC3">
        <w:rPr>
          <w:bCs/>
        </w:rPr>
        <w:t xml:space="preserve">do </w:t>
      </w:r>
      <w:r w:rsidRPr="00E60DC3">
        <w:rPr>
          <w:bCs/>
          <w:i/>
          <w:iCs/>
        </w:rPr>
        <w:t>quantum</w:t>
      </w:r>
      <w:r w:rsidRPr="00E60DC3">
        <w:rPr>
          <w:bCs/>
        </w:rPr>
        <w:t xml:space="preserve"> até data estimada de aposentadoria do segurado, </w:t>
      </w:r>
      <w:r w:rsidRPr="00E60DC3">
        <w:t>65 anos de idade,</w:t>
      </w:r>
      <w:r>
        <w:t xml:space="preserve"> o </w:t>
      </w:r>
      <w:r w:rsidRPr="00D70F9A">
        <w:rPr>
          <w:b/>
          <w:bCs/>
        </w:rPr>
        <w:t>benefício seria pago por 300 meses</w:t>
      </w:r>
      <w:r>
        <w:t xml:space="preserve"> e, portanto, o custo seria provisionado em R$ 150.000,00. </w:t>
      </w:r>
    </w:p>
    <w:p w14:paraId="443DDA4C" w14:textId="77777777" w:rsidR="00D3662C" w:rsidRPr="00244FA5" w:rsidRDefault="00D3662C" w:rsidP="00D70F9A">
      <w:pPr>
        <w:pStyle w:val="CorpodeTexto"/>
      </w:pPr>
      <w:r>
        <w:t>Isto é, no exemplo utilizado, o equívoco na apuração utilizada pela previdência aumenta o custo de um único benefício em R$ 90.000,00. Dessa forma, nesse exemplo, eleva os índices nas vigências 2019 e 2020 e, por consequência, causa maior tributação para a empresa.</w:t>
      </w:r>
    </w:p>
    <w:p w14:paraId="13EC5D52" w14:textId="77777777" w:rsidR="00D3662C" w:rsidRPr="00050F47" w:rsidRDefault="00D3662C" w:rsidP="00D70F9A">
      <w:pPr>
        <w:pStyle w:val="CorpodeTexto"/>
      </w:pPr>
      <w:r>
        <w:t>C</w:t>
      </w:r>
      <w:r w:rsidRPr="00050F47">
        <w:t>omo demonstrado</w:t>
      </w:r>
      <w:r>
        <w:t xml:space="preserve"> no exemplo</w:t>
      </w:r>
      <w:r w:rsidRPr="00050F47">
        <w:t>, a Secretaria de Previdência inclu</w:t>
      </w:r>
      <w:r>
        <w:t xml:space="preserve">i </w:t>
      </w:r>
      <w:r w:rsidRPr="00050F47">
        <w:t xml:space="preserve">no cálculo do índice de custo do FAP, a provisão de pagamento do benefício de auxílio-acidente (B94) para período posterior </w:t>
      </w:r>
      <w:r>
        <w:t xml:space="preserve">das </w:t>
      </w:r>
      <w:r w:rsidRPr="00050F47">
        <w:t>aposentadoria</w:t>
      </w:r>
      <w:r>
        <w:t>s</w:t>
      </w:r>
      <w:r w:rsidRPr="00050F47">
        <w:t xml:space="preserve"> d</w:t>
      </w:r>
      <w:r>
        <w:t>os</w:t>
      </w:r>
      <w:r w:rsidRPr="00050F47">
        <w:t xml:space="preserve"> segurad</w:t>
      </w:r>
      <w:r>
        <w:t>os</w:t>
      </w:r>
      <w:r w:rsidRPr="00050F47">
        <w:t>, mesmo que essa acumulação – auxílio-acidente e aposentadoria – seja expressamente vedada por lei (art. 86, § 1º e 2º da Lei nº 8.213/91).</w:t>
      </w:r>
    </w:p>
    <w:p w14:paraId="6DC4BFBE" w14:textId="77777777" w:rsidR="00D3662C" w:rsidRPr="00E60DC3" w:rsidRDefault="00D3662C" w:rsidP="00D70F9A">
      <w:pPr>
        <w:pStyle w:val="CorpodeTexto"/>
        <w:rPr>
          <w:bCs/>
        </w:rPr>
      </w:pPr>
      <w:r>
        <w:rPr>
          <w:bCs/>
        </w:rPr>
        <w:t>Nesse sentido, a</w:t>
      </w:r>
      <w:r w:rsidRPr="00050F47">
        <w:rPr>
          <w:bCs/>
        </w:rPr>
        <w:t xml:space="preserve"> fim de corrigir o erro praticado pela Secretaria de Previdência, necessário ajustar o cálculo do índice de custo dos </w:t>
      </w:r>
      <w:r w:rsidRPr="00E60DC3">
        <w:rPr>
          <w:bCs/>
        </w:rPr>
        <w:t xml:space="preserve">benefícios de auxílios-acidente (B94), limitando a apuração do </w:t>
      </w:r>
      <w:r w:rsidRPr="00E60DC3">
        <w:rPr>
          <w:bCs/>
          <w:i/>
          <w:iCs/>
        </w:rPr>
        <w:t>quantum</w:t>
      </w:r>
      <w:r w:rsidRPr="00E60DC3">
        <w:rPr>
          <w:bCs/>
        </w:rPr>
        <w:t xml:space="preserve"> até data estimada de aposentadoria do</w:t>
      </w:r>
      <w:r>
        <w:rPr>
          <w:bCs/>
        </w:rPr>
        <w:t>s</w:t>
      </w:r>
      <w:r w:rsidRPr="00E60DC3">
        <w:rPr>
          <w:bCs/>
        </w:rPr>
        <w:t xml:space="preserve"> segurado</w:t>
      </w:r>
      <w:r>
        <w:rPr>
          <w:bCs/>
        </w:rPr>
        <w:t>s</w:t>
      </w:r>
      <w:r w:rsidRPr="00E60DC3">
        <w:rPr>
          <w:bCs/>
        </w:rPr>
        <w:t xml:space="preserve">, </w:t>
      </w:r>
      <w:r w:rsidRPr="00E60DC3">
        <w:t>65 anos de idade, se homem, e 62 anos, se mulher.</w:t>
      </w:r>
    </w:p>
    <w:p w14:paraId="2FFCDBA1" w14:textId="77777777" w:rsidR="00D3662C" w:rsidRDefault="00D3662C" w:rsidP="00D70F9A">
      <w:pPr>
        <w:pStyle w:val="CorpodeTexto"/>
      </w:pPr>
      <w:bookmarkStart w:id="2" w:name="_Hlk83204478"/>
      <w:r w:rsidRPr="00D11E03">
        <w:t xml:space="preserve">Desse modo, demonstrado o erro na forma de apuração do índice de custo dos benefícios de auxílios-acidente (B94), requer-se a determinação para que a Ré proceda ao recálculo dos índices FAP da Autora, com a correção do cálculo dos índices de custo dos benefícios B94, </w:t>
      </w:r>
      <w:r w:rsidRPr="00D11E03">
        <w:rPr>
          <w:b/>
          <w:bCs/>
        </w:rPr>
        <w:t>com o prazo de duração estimada de aposentadoria dos segurados</w:t>
      </w:r>
      <w:r w:rsidRPr="00D11E03">
        <w:t>, vez que não cumuláveis</w:t>
      </w:r>
      <w:bookmarkEnd w:id="2"/>
      <w:r w:rsidRPr="00D11E03">
        <w:t>.</w:t>
      </w:r>
    </w:p>
    <w:bookmarkEnd w:id="0"/>
    <w:bookmarkEnd w:id="1"/>
    <w:p w14:paraId="269CF714" w14:textId="77777777" w:rsidR="00D3662C" w:rsidRPr="00D70F9A" w:rsidRDefault="00D3662C" w:rsidP="00D70F9A">
      <w:pPr>
        <w:pStyle w:val="CorpodeTexto"/>
      </w:pPr>
    </w:p>
    <w:sectPr w:rsidR="00D3662C" w:rsidRPr="00D70F9A" w:rsidSect="00587F25">
      <w:headerReference w:type="first" r:id="rId8"/>
      <w:footerReference w:type="first" r:id="rId9"/>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6F055" w14:textId="77777777" w:rsidR="006A580D" w:rsidRDefault="006A580D" w:rsidP="00824C3A">
      <w:r>
        <w:separator/>
      </w:r>
    </w:p>
  </w:endnote>
  <w:endnote w:type="continuationSeparator" w:id="0">
    <w:p w14:paraId="0AA4BE4A" w14:textId="77777777" w:rsidR="006A580D" w:rsidRDefault="006A580D"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Helvetica">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CDEA" w14:textId="77777777" w:rsidR="006A580D" w:rsidRDefault="006A580D" w:rsidP="00824C3A">
      <w:r>
        <w:separator/>
      </w:r>
    </w:p>
  </w:footnote>
  <w:footnote w:type="continuationSeparator" w:id="0">
    <w:p w14:paraId="51963BDC" w14:textId="77777777" w:rsidR="006A580D" w:rsidRDefault="006A580D" w:rsidP="0082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84B"/>
    <w:multiLevelType w:val="multilevel"/>
    <w:tmpl w:val="0416001F"/>
    <w:numStyleLink w:val="Estilo1"/>
  </w:abstractNum>
  <w:abstractNum w:abstractNumId="1" w15:restartNumberingAfterBreak="0">
    <w:nsid w:val="0D441690"/>
    <w:multiLevelType w:val="hybridMultilevel"/>
    <w:tmpl w:val="BC72F7F0"/>
    <w:lvl w:ilvl="0" w:tplc="9A08B216">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EA42400"/>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6"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5310680">
    <w:abstractNumId w:val="5"/>
  </w:num>
  <w:num w:numId="2"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 w16cid:durableId="1044410315">
    <w:abstractNumId w:val="3"/>
  </w:num>
  <w:num w:numId="4" w16cid:durableId="486868066">
    <w:abstractNumId w:val="2"/>
  </w:num>
  <w:num w:numId="5" w16cid:durableId="1701739710">
    <w:abstractNumId w:val="6"/>
  </w:num>
  <w:num w:numId="6" w16cid:durableId="1162962532">
    <w:abstractNumId w:val="4"/>
  </w:num>
  <w:num w:numId="7" w16cid:durableId="38360180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grammar="clean"/>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13B3"/>
    <w:rsid w:val="00002FA9"/>
    <w:rsid w:val="00002FEE"/>
    <w:rsid w:val="000041CA"/>
    <w:rsid w:val="000077DB"/>
    <w:rsid w:val="00010131"/>
    <w:rsid w:val="00014997"/>
    <w:rsid w:val="000153D3"/>
    <w:rsid w:val="0001620F"/>
    <w:rsid w:val="00020E44"/>
    <w:rsid w:val="00023D2D"/>
    <w:rsid w:val="00026397"/>
    <w:rsid w:val="000377D6"/>
    <w:rsid w:val="00041014"/>
    <w:rsid w:val="0004172D"/>
    <w:rsid w:val="00042CFC"/>
    <w:rsid w:val="00047137"/>
    <w:rsid w:val="00051AE1"/>
    <w:rsid w:val="0005402B"/>
    <w:rsid w:val="00060099"/>
    <w:rsid w:val="0006062C"/>
    <w:rsid w:val="000609F8"/>
    <w:rsid w:val="0006652C"/>
    <w:rsid w:val="000724B0"/>
    <w:rsid w:val="00076044"/>
    <w:rsid w:val="0008061F"/>
    <w:rsid w:val="000807CB"/>
    <w:rsid w:val="000809D9"/>
    <w:rsid w:val="00081C78"/>
    <w:rsid w:val="000833A9"/>
    <w:rsid w:val="00083E8B"/>
    <w:rsid w:val="00085321"/>
    <w:rsid w:val="000878C1"/>
    <w:rsid w:val="00090375"/>
    <w:rsid w:val="000A1DC4"/>
    <w:rsid w:val="000A4D39"/>
    <w:rsid w:val="000A580F"/>
    <w:rsid w:val="000A6D92"/>
    <w:rsid w:val="000A75D7"/>
    <w:rsid w:val="000A79AD"/>
    <w:rsid w:val="000B0855"/>
    <w:rsid w:val="000C2B63"/>
    <w:rsid w:val="000C35CB"/>
    <w:rsid w:val="000D13A3"/>
    <w:rsid w:val="000D2344"/>
    <w:rsid w:val="000D5E0A"/>
    <w:rsid w:val="000D72E8"/>
    <w:rsid w:val="000E4AD8"/>
    <w:rsid w:val="000E4AFA"/>
    <w:rsid w:val="000F183E"/>
    <w:rsid w:val="000F68DF"/>
    <w:rsid w:val="00102C9E"/>
    <w:rsid w:val="0010362E"/>
    <w:rsid w:val="001051FD"/>
    <w:rsid w:val="001053D8"/>
    <w:rsid w:val="00106500"/>
    <w:rsid w:val="00110732"/>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2035"/>
    <w:rsid w:val="00142FE8"/>
    <w:rsid w:val="00144DCA"/>
    <w:rsid w:val="001452CB"/>
    <w:rsid w:val="00145E4B"/>
    <w:rsid w:val="001465E4"/>
    <w:rsid w:val="00151BCD"/>
    <w:rsid w:val="00153E9C"/>
    <w:rsid w:val="00155B34"/>
    <w:rsid w:val="00155E01"/>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4F3"/>
    <w:rsid w:val="001955BC"/>
    <w:rsid w:val="001A37BE"/>
    <w:rsid w:val="001A75E3"/>
    <w:rsid w:val="001A779D"/>
    <w:rsid w:val="001B6005"/>
    <w:rsid w:val="001C2C10"/>
    <w:rsid w:val="001C5949"/>
    <w:rsid w:val="001D3688"/>
    <w:rsid w:val="001D5C4F"/>
    <w:rsid w:val="001D6ECF"/>
    <w:rsid w:val="001D7B19"/>
    <w:rsid w:val="001E3418"/>
    <w:rsid w:val="001E4155"/>
    <w:rsid w:val="001E5B5B"/>
    <w:rsid w:val="001F104A"/>
    <w:rsid w:val="001F159F"/>
    <w:rsid w:val="001F1AA9"/>
    <w:rsid w:val="001F4276"/>
    <w:rsid w:val="001F5AE1"/>
    <w:rsid w:val="001F7444"/>
    <w:rsid w:val="00202B64"/>
    <w:rsid w:val="002037F3"/>
    <w:rsid w:val="002039FF"/>
    <w:rsid w:val="00205CD2"/>
    <w:rsid w:val="002074B9"/>
    <w:rsid w:val="00207616"/>
    <w:rsid w:val="00210E83"/>
    <w:rsid w:val="002115AD"/>
    <w:rsid w:val="00211922"/>
    <w:rsid w:val="00212569"/>
    <w:rsid w:val="002127FD"/>
    <w:rsid w:val="002128DB"/>
    <w:rsid w:val="00215D89"/>
    <w:rsid w:val="00216503"/>
    <w:rsid w:val="00232292"/>
    <w:rsid w:val="002342F3"/>
    <w:rsid w:val="00235C03"/>
    <w:rsid w:val="00236E4B"/>
    <w:rsid w:val="00244D54"/>
    <w:rsid w:val="00252AFC"/>
    <w:rsid w:val="00254509"/>
    <w:rsid w:val="0025687D"/>
    <w:rsid w:val="002573BA"/>
    <w:rsid w:val="00261168"/>
    <w:rsid w:val="0026521A"/>
    <w:rsid w:val="002665F7"/>
    <w:rsid w:val="0026697A"/>
    <w:rsid w:val="0026798D"/>
    <w:rsid w:val="00267F77"/>
    <w:rsid w:val="00271496"/>
    <w:rsid w:val="00271EC5"/>
    <w:rsid w:val="002736EC"/>
    <w:rsid w:val="0027572E"/>
    <w:rsid w:val="002770D5"/>
    <w:rsid w:val="00285930"/>
    <w:rsid w:val="002876B0"/>
    <w:rsid w:val="00295C1E"/>
    <w:rsid w:val="002A17E2"/>
    <w:rsid w:val="002A3A14"/>
    <w:rsid w:val="002A40E0"/>
    <w:rsid w:val="002A6445"/>
    <w:rsid w:val="002A7868"/>
    <w:rsid w:val="002B0048"/>
    <w:rsid w:val="002B03C5"/>
    <w:rsid w:val="002B30FA"/>
    <w:rsid w:val="002B4648"/>
    <w:rsid w:val="002B485D"/>
    <w:rsid w:val="002B7672"/>
    <w:rsid w:val="002B7BCB"/>
    <w:rsid w:val="002C3418"/>
    <w:rsid w:val="002C7268"/>
    <w:rsid w:val="002C74FB"/>
    <w:rsid w:val="002D1A7E"/>
    <w:rsid w:val="002D44A1"/>
    <w:rsid w:val="002E03DA"/>
    <w:rsid w:val="002E0EC8"/>
    <w:rsid w:val="002E42AE"/>
    <w:rsid w:val="002E5390"/>
    <w:rsid w:val="002E7420"/>
    <w:rsid w:val="002F42C0"/>
    <w:rsid w:val="002F46E8"/>
    <w:rsid w:val="002F5CD1"/>
    <w:rsid w:val="002F60F9"/>
    <w:rsid w:val="002F65BE"/>
    <w:rsid w:val="002F6AD3"/>
    <w:rsid w:val="002F6FEA"/>
    <w:rsid w:val="0030000F"/>
    <w:rsid w:val="00302ED4"/>
    <w:rsid w:val="00303982"/>
    <w:rsid w:val="00303A69"/>
    <w:rsid w:val="00304F5E"/>
    <w:rsid w:val="003050E2"/>
    <w:rsid w:val="003054D3"/>
    <w:rsid w:val="00310842"/>
    <w:rsid w:val="0031306B"/>
    <w:rsid w:val="00320179"/>
    <w:rsid w:val="0032139C"/>
    <w:rsid w:val="00321626"/>
    <w:rsid w:val="00322540"/>
    <w:rsid w:val="00323653"/>
    <w:rsid w:val="00326203"/>
    <w:rsid w:val="0032790A"/>
    <w:rsid w:val="00330AB7"/>
    <w:rsid w:val="00337872"/>
    <w:rsid w:val="00337F28"/>
    <w:rsid w:val="0034780C"/>
    <w:rsid w:val="003514D2"/>
    <w:rsid w:val="00353002"/>
    <w:rsid w:val="00354783"/>
    <w:rsid w:val="00355EF1"/>
    <w:rsid w:val="00357B58"/>
    <w:rsid w:val="00365613"/>
    <w:rsid w:val="003677D1"/>
    <w:rsid w:val="0037133F"/>
    <w:rsid w:val="003735C8"/>
    <w:rsid w:val="003842F8"/>
    <w:rsid w:val="003900F4"/>
    <w:rsid w:val="00391200"/>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D3B"/>
    <w:rsid w:val="003C6DA0"/>
    <w:rsid w:val="003D05C1"/>
    <w:rsid w:val="003D0CED"/>
    <w:rsid w:val="003D16E7"/>
    <w:rsid w:val="003D66E6"/>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78C3"/>
    <w:rsid w:val="00460E9B"/>
    <w:rsid w:val="0046505D"/>
    <w:rsid w:val="00466E0C"/>
    <w:rsid w:val="004724F3"/>
    <w:rsid w:val="004755A6"/>
    <w:rsid w:val="004768DC"/>
    <w:rsid w:val="004807D9"/>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C1447"/>
    <w:rsid w:val="004C32B4"/>
    <w:rsid w:val="004C4F09"/>
    <w:rsid w:val="004C6F59"/>
    <w:rsid w:val="004D25A9"/>
    <w:rsid w:val="004D25B4"/>
    <w:rsid w:val="004D2E5A"/>
    <w:rsid w:val="004D7F51"/>
    <w:rsid w:val="004E6CB2"/>
    <w:rsid w:val="004E70E2"/>
    <w:rsid w:val="004E7455"/>
    <w:rsid w:val="004F037B"/>
    <w:rsid w:val="004F20CE"/>
    <w:rsid w:val="0050032D"/>
    <w:rsid w:val="005004BE"/>
    <w:rsid w:val="00501E4A"/>
    <w:rsid w:val="00502D96"/>
    <w:rsid w:val="005066D3"/>
    <w:rsid w:val="00507DFE"/>
    <w:rsid w:val="005114E9"/>
    <w:rsid w:val="005128BE"/>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3392"/>
    <w:rsid w:val="00543B91"/>
    <w:rsid w:val="0054530A"/>
    <w:rsid w:val="005519BF"/>
    <w:rsid w:val="0055275E"/>
    <w:rsid w:val="00552A8B"/>
    <w:rsid w:val="00554E30"/>
    <w:rsid w:val="005553B2"/>
    <w:rsid w:val="0056315C"/>
    <w:rsid w:val="00563B88"/>
    <w:rsid w:val="00565436"/>
    <w:rsid w:val="00576B82"/>
    <w:rsid w:val="00580F16"/>
    <w:rsid w:val="005818E4"/>
    <w:rsid w:val="00583232"/>
    <w:rsid w:val="005845A9"/>
    <w:rsid w:val="00584A33"/>
    <w:rsid w:val="00584E43"/>
    <w:rsid w:val="00587F25"/>
    <w:rsid w:val="005939F8"/>
    <w:rsid w:val="005945CE"/>
    <w:rsid w:val="0059693F"/>
    <w:rsid w:val="005A38F6"/>
    <w:rsid w:val="005B0F97"/>
    <w:rsid w:val="005B4F9E"/>
    <w:rsid w:val="005C2347"/>
    <w:rsid w:val="005C39E8"/>
    <w:rsid w:val="005C48D0"/>
    <w:rsid w:val="005D76C0"/>
    <w:rsid w:val="005E1103"/>
    <w:rsid w:val="005E32CD"/>
    <w:rsid w:val="005E5F3B"/>
    <w:rsid w:val="005F01BA"/>
    <w:rsid w:val="005F1ED1"/>
    <w:rsid w:val="005F35A5"/>
    <w:rsid w:val="005F505E"/>
    <w:rsid w:val="005F5772"/>
    <w:rsid w:val="005F5BFE"/>
    <w:rsid w:val="005F69C3"/>
    <w:rsid w:val="00601089"/>
    <w:rsid w:val="006019D2"/>
    <w:rsid w:val="006051B9"/>
    <w:rsid w:val="006063CF"/>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3477"/>
    <w:rsid w:val="00653DF1"/>
    <w:rsid w:val="006545D0"/>
    <w:rsid w:val="00656D40"/>
    <w:rsid w:val="00660F3F"/>
    <w:rsid w:val="00664165"/>
    <w:rsid w:val="00666315"/>
    <w:rsid w:val="00666DF0"/>
    <w:rsid w:val="00667DBA"/>
    <w:rsid w:val="00667E10"/>
    <w:rsid w:val="006739BC"/>
    <w:rsid w:val="006749A4"/>
    <w:rsid w:val="0067695B"/>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580D"/>
    <w:rsid w:val="006A7169"/>
    <w:rsid w:val="006B3268"/>
    <w:rsid w:val="006B5198"/>
    <w:rsid w:val="006B53F1"/>
    <w:rsid w:val="006B613D"/>
    <w:rsid w:val="006B6751"/>
    <w:rsid w:val="006B6A03"/>
    <w:rsid w:val="006B7869"/>
    <w:rsid w:val="006C4346"/>
    <w:rsid w:val="006C6128"/>
    <w:rsid w:val="006D29A7"/>
    <w:rsid w:val="006D2BC4"/>
    <w:rsid w:val="006E283D"/>
    <w:rsid w:val="006E2AE0"/>
    <w:rsid w:val="006E393D"/>
    <w:rsid w:val="006F0786"/>
    <w:rsid w:val="006F18C5"/>
    <w:rsid w:val="006F1A08"/>
    <w:rsid w:val="006F1AFF"/>
    <w:rsid w:val="006F1C08"/>
    <w:rsid w:val="006F3459"/>
    <w:rsid w:val="006F48A8"/>
    <w:rsid w:val="006F5376"/>
    <w:rsid w:val="006F5591"/>
    <w:rsid w:val="00703850"/>
    <w:rsid w:val="00706E24"/>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B0AEF"/>
    <w:rsid w:val="007B110E"/>
    <w:rsid w:val="007B1112"/>
    <w:rsid w:val="007B2146"/>
    <w:rsid w:val="007B416C"/>
    <w:rsid w:val="007B624A"/>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1A1"/>
    <w:rsid w:val="007F2303"/>
    <w:rsid w:val="007F3264"/>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FCA"/>
    <w:rsid w:val="008417D8"/>
    <w:rsid w:val="0084186B"/>
    <w:rsid w:val="00841D90"/>
    <w:rsid w:val="00843552"/>
    <w:rsid w:val="008472DC"/>
    <w:rsid w:val="0086059C"/>
    <w:rsid w:val="008606C1"/>
    <w:rsid w:val="00865F64"/>
    <w:rsid w:val="00866D6A"/>
    <w:rsid w:val="00866FE8"/>
    <w:rsid w:val="00881D2A"/>
    <w:rsid w:val="00883AE1"/>
    <w:rsid w:val="00885448"/>
    <w:rsid w:val="0088581F"/>
    <w:rsid w:val="00885AB5"/>
    <w:rsid w:val="00892EEC"/>
    <w:rsid w:val="008978F0"/>
    <w:rsid w:val="008A337A"/>
    <w:rsid w:val="008A36A1"/>
    <w:rsid w:val="008A3A7D"/>
    <w:rsid w:val="008A511A"/>
    <w:rsid w:val="008B2DF8"/>
    <w:rsid w:val="008B3915"/>
    <w:rsid w:val="008B787B"/>
    <w:rsid w:val="008C29CD"/>
    <w:rsid w:val="008C6AA7"/>
    <w:rsid w:val="008C7611"/>
    <w:rsid w:val="008D12AD"/>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256F"/>
    <w:rsid w:val="00932EDD"/>
    <w:rsid w:val="00933285"/>
    <w:rsid w:val="00933836"/>
    <w:rsid w:val="00935E89"/>
    <w:rsid w:val="009364EE"/>
    <w:rsid w:val="00937097"/>
    <w:rsid w:val="00937DF4"/>
    <w:rsid w:val="00941137"/>
    <w:rsid w:val="0094129F"/>
    <w:rsid w:val="00942AFC"/>
    <w:rsid w:val="009436DC"/>
    <w:rsid w:val="009449A3"/>
    <w:rsid w:val="00947C19"/>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914F1"/>
    <w:rsid w:val="00994EC7"/>
    <w:rsid w:val="009967D8"/>
    <w:rsid w:val="009A0535"/>
    <w:rsid w:val="009A23A1"/>
    <w:rsid w:val="009A5196"/>
    <w:rsid w:val="009A6754"/>
    <w:rsid w:val="009A7411"/>
    <w:rsid w:val="009A7F09"/>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8A5"/>
    <w:rsid w:val="009D4C1D"/>
    <w:rsid w:val="009D6557"/>
    <w:rsid w:val="009E3495"/>
    <w:rsid w:val="009E3F1E"/>
    <w:rsid w:val="009F0A92"/>
    <w:rsid w:val="009F6796"/>
    <w:rsid w:val="009F7C5C"/>
    <w:rsid w:val="00A039C0"/>
    <w:rsid w:val="00A03FB0"/>
    <w:rsid w:val="00A06208"/>
    <w:rsid w:val="00A140B3"/>
    <w:rsid w:val="00A14A2F"/>
    <w:rsid w:val="00A156C1"/>
    <w:rsid w:val="00A20382"/>
    <w:rsid w:val="00A22C94"/>
    <w:rsid w:val="00A23B1D"/>
    <w:rsid w:val="00A24D31"/>
    <w:rsid w:val="00A25723"/>
    <w:rsid w:val="00A3401D"/>
    <w:rsid w:val="00A362F6"/>
    <w:rsid w:val="00A45CE4"/>
    <w:rsid w:val="00A4752A"/>
    <w:rsid w:val="00A52674"/>
    <w:rsid w:val="00A574AF"/>
    <w:rsid w:val="00A63E25"/>
    <w:rsid w:val="00A64C8D"/>
    <w:rsid w:val="00A65793"/>
    <w:rsid w:val="00A65E19"/>
    <w:rsid w:val="00A67127"/>
    <w:rsid w:val="00A67469"/>
    <w:rsid w:val="00A708D8"/>
    <w:rsid w:val="00A73620"/>
    <w:rsid w:val="00A77F58"/>
    <w:rsid w:val="00A86D0C"/>
    <w:rsid w:val="00A86E76"/>
    <w:rsid w:val="00A872C6"/>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5B"/>
    <w:rsid w:val="00AC223B"/>
    <w:rsid w:val="00AC2F02"/>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358F3"/>
    <w:rsid w:val="00B362B4"/>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9E0"/>
    <w:rsid w:val="00B7566C"/>
    <w:rsid w:val="00B77A66"/>
    <w:rsid w:val="00B81EC4"/>
    <w:rsid w:val="00B83D3F"/>
    <w:rsid w:val="00B87CF3"/>
    <w:rsid w:val="00B87D16"/>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C55E8"/>
    <w:rsid w:val="00BD169F"/>
    <w:rsid w:val="00BE290C"/>
    <w:rsid w:val="00BF0201"/>
    <w:rsid w:val="00BF0BFD"/>
    <w:rsid w:val="00BF2809"/>
    <w:rsid w:val="00C0410F"/>
    <w:rsid w:val="00C0727A"/>
    <w:rsid w:val="00C1043C"/>
    <w:rsid w:val="00C151E2"/>
    <w:rsid w:val="00C16D30"/>
    <w:rsid w:val="00C1790F"/>
    <w:rsid w:val="00C2150B"/>
    <w:rsid w:val="00C225C4"/>
    <w:rsid w:val="00C23407"/>
    <w:rsid w:val="00C24A41"/>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BF1"/>
    <w:rsid w:val="00C72D0A"/>
    <w:rsid w:val="00C76532"/>
    <w:rsid w:val="00C766D9"/>
    <w:rsid w:val="00C769C4"/>
    <w:rsid w:val="00C774EC"/>
    <w:rsid w:val="00C80441"/>
    <w:rsid w:val="00C80E53"/>
    <w:rsid w:val="00C816FE"/>
    <w:rsid w:val="00C82EDB"/>
    <w:rsid w:val="00C83429"/>
    <w:rsid w:val="00C85AA5"/>
    <w:rsid w:val="00C870C1"/>
    <w:rsid w:val="00C90C0D"/>
    <w:rsid w:val="00C9291B"/>
    <w:rsid w:val="00C92BBD"/>
    <w:rsid w:val="00C92C69"/>
    <w:rsid w:val="00C9534B"/>
    <w:rsid w:val="00C96842"/>
    <w:rsid w:val="00C97662"/>
    <w:rsid w:val="00CA060E"/>
    <w:rsid w:val="00CA18E9"/>
    <w:rsid w:val="00CA2064"/>
    <w:rsid w:val="00CA4B03"/>
    <w:rsid w:val="00CA6118"/>
    <w:rsid w:val="00CB1A6F"/>
    <w:rsid w:val="00CB34BF"/>
    <w:rsid w:val="00CB4C3A"/>
    <w:rsid w:val="00CB7D57"/>
    <w:rsid w:val="00CC0A0A"/>
    <w:rsid w:val="00CC1486"/>
    <w:rsid w:val="00CC78AD"/>
    <w:rsid w:val="00CD0597"/>
    <w:rsid w:val="00CD43A5"/>
    <w:rsid w:val="00CD5B38"/>
    <w:rsid w:val="00CD6309"/>
    <w:rsid w:val="00CD71EE"/>
    <w:rsid w:val="00CD7BAF"/>
    <w:rsid w:val="00CF0F30"/>
    <w:rsid w:val="00CF2E47"/>
    <w:rsid w:val="00CF7392"/>
    <w:rsid w:val="00D03260"/>
    <w:rsid w:val="00D0556B"/>
    <w:rsid w:val="00D10FAF"/>
    <w:rsid w:val="00D11079"/>
    <w:rsid w:val="00D14645"/>
    <w:rsid w:val="00D14D87"/>
    <w:rsid w:val="00D176C3"/>
    <w:rsid w:val="00D21A19"/>
    <w:rsid w:val="00D22D0B"/>
    <w:rsid w:val="00D27366"/>
    <w:rsid w:val="00D27EE8"/>
    <w:rsid w:val="00D32CE4"/>
    <w:rsid w:val="00D3662C"/>
    <w:rsid w:val="00D36771"/>
    <w:rsid w:val="00D36ACF"/>
    <w:rsid w:val="00D37576"/>
    <w:rsid w:val="00D437B7"/>
    <w:rsid w:val="00D5316E"/>
    <w:rsid w:val="00D53C09"/>
    <w:rsid w:val="00D573B2"/>
    <w:rsid w:val="00D63A7A"/>
    <w:rsid w:val="00D660D6"/>
    <w:rsid w:val="00D67E0C"/>
    <w:rsid w:val="00D70F9A"/>
    <w:rsid w:val="00D72D3E"/>
    <w:rsid w:val="00D7399B"/>
    <w:rsid w:val="00D74620"/>
    <w:rsid w:val="00D74FB2"/>
    <w:rsid w:val="00D81857"/>
    <w:rsid w:val="00D81999"/>
    <w:rsid w:val="00D81A91"/>
    <w:rsid w:val="00D826A4"/>
    <w:rsid w:val="00D87ECA"/>
    <w:rsid w:val="00D91190"/>
    <w:rsid w:val="00D931E6"/>
    <w:rsid w:val="00D93626"/>
    <w:rsid w:val="00D94133"/>
    <w:rsid w:val="00D952AF"/>
    <w:rsid w:val="00DB1B3B"/>
    <w:rsid w:val="00DB3BDF"/>
    <w:rsid w:val="00DC04DA"/>
    <w:rsid w:val="00DC05E4"/>
    <w:rsid w:val="00DC1D98"/>
    <w:rsid w:val="00DC1FAA"/>
    <w:rsid w:val="00DC525D"/>
    <w:rsid w:val="00DC5B9F"/>
    <w:rsid w:val="00DC78CC"/>
    <w:rsid w:val="00DD1FA1"/>
    <w:rsid w:val="00DD313B"/>
    <w:rsid w:val="00DD3D91"/>
    <w:rsid w:val="00DD417D"/>
    <w:rsid w:val="00DD4D76"/>
    <w:rsid w:val="00DD657A"/>
    <w:rsid w:val="00DE6B5B"/>
    <w:rsid w:val="00DE729E"/>
    <w:rsid w:val="00DE7BB0"/>
    <w:rsid w:val="00DF05EC"/>
    <w:rsid w:val="00DF085B"/>
    <w:rsid w:val="00DF0F7A"/>
    <w:rsid w:val="00DF1C34"/>
    <w:rsid w:val="00DF680D"/>
    <w:rsid w:val="00DF7B72"/>
    <w:rsid w:val="00E004E3"/>
    <w:rsid w:val="00E007B7"/>
    <w:rsid w:val="00E01536"/>
    <w:rsid w:val="00E02DBE"/>
    <w:rsid w:val="00E056F6"/>
    <w:rsid w:val="00E05E4A"/>
    <w:rsid w:val="00E11BA7"/>
    <w:rsid w:val="00E123C0"/>
    <w:rsid w:val="00E13C7D"/>
    <w:rsid w:val="00E144CE"/>
    <w:rsid w:val="00E25396"/>
    <w:rsid w:val="00E256BD"/>
    <w:rsid w:val="00E26C27"/>
    <w:rsid w:val="00E32142"/>
    <w:rsid w:val="00E33D39"/>
    <w:rsid w:val="00E346E4"/>
    <w:rsid w:val="00E35C3F"/>
    <w:rsid w:val="00E41C2B"/>
    <w:rsid w:val="00E42511"/>
    <w:rsid w:val="00E448D8"/>
    <w:rsid w:val="00E5787B"/>
    <w:rsid w:val="00E60CB2"/>
    <w:rsid w:val="00E60DC3"/>
    <w:rsid w:val="00E62FDF"/>
    <w:rsid w:val="00E654EF"/>
    <w:rsid w:val="00E6648C"/>
    <w:rsid w:val="00E66A73"/>
    <w:rsid w:val="00E674FB"/>
    <w:rsid w:val="00E71FED"/>
    <w:rsid w:val="00E8235D"/>
    <w:rsid w:val="00E91A42"/>
    <w:rsid w:val="00E92809"/>
    <w:rsid w:val="00E93CC9"/>
    <w:rsid w:val="00E97B3B"/>
    <w:rsid w:val="00EA2BC8"/>
    <w:rsid w:val="00EA4821"/>
    <w:rsid w:val="00EA66D6"/>
    <w:rsid w:val="00EA6C78"/>
    <w:rsid w:val="00EB2350"/>
    <w:rsid w:val="00EB5C7D"/>
    <w:rsid w:val="00EB7AE3"/>
    <w:rsid w:val="00EB7D92"/>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6B8C"/>
    <w:rsid w:val="00F278FD"/>
    <w:rsid w:val="00F32A9A"/>
    <w:rsid w:val="00F366EB"/>
    <w:rsid w:val="00F371A6"/>
    <w:rsid w:val="00F37E66"/>
    <w:rsid w:val="00F40E80"/>
    <w:rsid w:val="00F44089"/>
    <w:rsid w:val="00F517E0"/>
    <w:rsid w:val="00F55875"/>
    <w:rsid w:val="00F560DB"/>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A145E"/>
    <w:rsid w:val="00FA4F7F"/>
    <w:rsid w:val="00FB3276"/>
    <w:rsid w:val="00FB35DE"/>
    <w:rsid w:val="00FB3D14"/>
    <w:rsid w:val="00FB51FF"/>
    <w:rsid w:val="00FB72EF"/>
    <w:rsid w:val="00FB79CF"/>
    <w:rsid w:val="00FC3274"/>
    <w:rsid w:val="00FC3AA3"/>
    <w:rsid w:val="00FC6EC0"/>
    <w:rsid w:val="00FD2A18"/>
    <w:rsid w:val="00FE1D4C"/>
    <w:rsid w:val="00FE1E7F"/>
    <w:rsid w:val="00FE638B"/>
    <w:rsid w:val="00FE6D87"/>
    <w:rsid w:val="00FE7AFD"/>
    <w:rsid w:val="00FF1123"/>
    <w:rsid w:val="00FF1D63"/>
    <w:rsid w:val="00FF40C8"/>
    <w:rsid w:val="00FF6271"/>
    <w:rsid w:val="00FF74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D7095"/>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rsid w:val="00682AD3"/>
    <w:pPr>
      <w:ind w:left="720"/>
      <w:contextualSpacing/>
    </w:pPr>
  </w:style>
  <w:style w:type="numbering" w:customStyle="1" w:styleId="Estilo1">
    <w:name w:val="Estilo1"/>
    <w:rsid w:val="00682AD3"/>
    <w:pPr>
      <w:numPr>
        <w:numId w:val="3"/>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2"/>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
      </w:numPr>
      <w:ind w:left="1276" w:hanging="426"/>
    </w:pPr>
  </w:style>
  <w:style w:type="paragraph" w:customStyle="1" w:styleId="Sumrio">
    <w:name w:val="Sumário"/>
    <w:basedOn w:val="Sumrio1"/>
    <w:link w:val="SumrioChar"/>
    <w:qFormat/>
    <w:rsid w:val="002115AD"/>
    <w:pPr>
      <w:tabs>
        <w:tab w:val="left" w:pos="567"/>
        <w:tab w:val="right" w:leader="dot" w:pos="8931"/>
      </w:tabs>
      <w:spacing w:before="200" w:after="200" w:line="276" w:lineRule="auto"/>
    </w:pPr>
    <w:rPr>
      <w:rFonts w:ascii="Segoe UI" w:hAnsi="Segoe UI" w:cs="Segoe UI"/>
      <w:b w:val="0"/>
      <w:noProof/>
      <w:sz w:val="18"/>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2115AD"/>
    <w:rPr>
      <w:rFonts w:ascii="Segoe UI" w:eastAsia="Times New Roman" w:hAnsi="Segoe UI" w:cs="Segoe UI"/>
      <w:b w:val="0"/>
      <w:bCs/>
      <w:noProof/>
      <w:sz w:val="18"/>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 w:type="paragraph" w:customStyle="1" w:styleId="CorpodeTexto-Azul">
    <w:name w:val="Corpo de Texto - Azul"/>
    <w:basedOn w:val="CorpodeTexto"/>
    <w:link w:val="CorpodeTexto-AzulChar"/>
    <w:qFormat/>
    <w:rsid w:val="007B624A"/>
    <w:rPr>
      <w:b/>
      <w:color w:val="282D61"/>
    </w:rPr>
  </w:style>
  <w:style w:type="paragraph" w:customStyle="1" w:styleId="CorpodeTexto-Laranja">
    <w:name w:val="Corpo de Texto - Laranja"/>
    <w:basedOn w:val="CorpodeTexto"/>
    <w:next w:val="CorpodeTexto"/>
    <w:link w:val="CorpodeTexto-LaranjaChar"/>
    <w:qFormat/>
    <w:rsid w:val="007B624A"/>
    <w:rPr>
      <w:b/>
      <w:color w:val="EE7820"/>
    </w:rPr>
  </w:style>
  <w:style w:type="character" w:customStyle="1" w:styleId="CorpodeTexto-AzulChar">
    <w:name w:val="Corpo de Texto - Azul Char"/>
    <w:basedOn w:val="CorpodeTextoChar0"/>
    <w:link w:val="CorpodeTexto-Azul"/>
    <w:rsid w:val="007B624A"/>
    <w:rPr>
      <w:rFonts w:ascii="Segoe UI" w:eastAsia="Arial Narrow" w:hAnsi="Segoe UI" w:cs="Arial Narrow"/>
      <w:b/>
      <w:color w:val="282D61"/>
      <w:lang w:eastAsia="pt-BR"/>
    </w:rPr>
  </w:style>
  <w:style w:type="character" w:customStyle="1" w:styleId="CorpodeTexto-LaranjaChar">
    <w:name w:val="Corpo de Texto - Laranja Char"/>
    <w:basedOn w:val="CorpodeTextoChar0"/>
    <w:link w:val="CorpodeTexto-Laranja"/>
    <w:rsid w:val="007B624A"/>
    <w:rPr>
      <w:rFonts w:ascii="Segoe UI" w:eastAsia="Arial Narrow" w:hAnsi="Segoe UI" w:cs="Arial Narrow"/>
      <w:b/>
      <w:color w:val="EE78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Template>
  <TotalTime>139</TotalTime>
  <Pages>3</Pages>
  <Words>1210</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Ricardo Oberdan</cp:lastModifiedBy>
  <cp:revision>77</cp:revision>
  <cp:lastPrinted>2023-05-05T20:40:00Z</cp:lastPrinted>
  <dcterms:created xsi:type="dcterms:W3CDTF">2023-05-08T12:30:00Z</dcterms:created>
  <dcterms:modified xsi:type="dcterms:W3CDTF">2023-06-29T21:22:00Z</dcterms:modified>
</cp:coreProperties>
</file>