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Ficha de Artefato - Exemplo</w:t>
      </w:r>
    </w:p>
    <w:p>
      <w:pPr>
        <w:pStyle w:val="Heading2"/>
      </w:pPr>
      <w:r>
        <w:t>Exemplo de Ficha de Artefato</w:t>
      </w:r>
    </w:p>
    <w:p>
      <w:pPr>
        <w:pStyle w:val="ListBullet"/>
      </w:pPr>
      <w:r>
        <w:t xml:space="preserve">Artefato: </w:t>
      </w:r>
    </w:p>
    <w:p>
      <w:pPr>
        <w:ind w:left="400"/>
      </w:pPr>
      <w:r>
        <w:t>loader.exe</w:t>
      </w:r>
    </w:p>
    <w:p>
      <w:pPr>
        <w:pStyle w:val="ListBullet"/>
      </w:pPr>
      <w:r>
        <w:t xml:space="preserve">Hash (SHA256): </w:t>
      </w:r>
    </w:p>
    <w:p>
      <w:pPr>
        <w:ind w:left="400"/>
      </w:pPr>
      <w:r>
        <w:t>b71f9f6d6b9a42d7e3a22c7fae85a29f4d9fbbb1e4a29c5c9678c5eaa3a5c9b2</w:t>
      </w:r>
    </w:p>
    <w:p>
      <w:pPr>
        <w:pStyle w:val="ListBullet"/>
      </w:pPr>
      <w:r>
        <w:t xml:space="preserve">Origem: </w:t>
      </w:r>
    </w:p>
    <w:p>
      <w:pPr>
        <w:ind w:left="400"/>
      </w:pPr>
      <w:r>
        <w:t>Anexo de e-mail de spear phishing (.zip → .exe)</w:t>
      </w:r>
    </w:p>
    <w:p>
      <w:pPr>
        <w:pStyle w:val="ListBullet"/>
      </w:pPr>
      <w:r>
        <w:t xml:space="preserve">Comportamento: </w:t>
      </w:r>
    </w:p>
    <w:p>
      <w:pPr>
        <w:ind w:left="400"/>
      </w:pPr>
      <w:r>
        <w:t>Executa PowerShell ofuscado para baixar payload remoto</w:t>
      </w:r>
    </w:p>
    <w:p>
      <w:pPr>
        <w:pStyle w:val="ListBullet"/>
      </w:pPr>
      <w:r>
        <w:t xml:space="preserve">C2: </w:t>
      </w:r>
    </w:p>
    <w:p>
      <w:pPr>
        <w:ind w:left="400"/>
      </w:pPr>
      <w:r>
        <w:t>hxxp://update-windows[.]cc/payload.ps1</w:t>
      </w:r>
    </w:p>
    <w:p>
      <w:pPr>
        <w:pStyle w:val="ListBullet"/>
      </w:pPr>
      <w:r>
        <w:t xml:space="preserve">Técnicas MITRE ATT&amp;CK: </w:t>
      </w:r>
    </w:p>
    <w:p>
      <w:pPr>
        <w:ind w:left="400"/>
      </w:pPr>
      <w:r>
        <w:t>T1566.001 – Spearphishing Attachment; T1059.001 – PowerShell; T1105 – Ingress Tool Transfer</w:t>
      </w:r>
    </w:p>
    <w:p>
      <w:pPr>
        <w:pStyle w:val="ListBullet"/>
      </w:pPr>
      <w:r>
        <w:t xml:space="preserve">Relação: </w:t>
      </w:r>
    </w:p>
    <w:p>
      <w:pPr>
        <w:ind w:left="400"/>
      </w:pPr>
      <w:r>
        <w:t>Similar ao IceID Loader usado na campanha TA577 (2024)</w:t>
      </w:r>
    </w:p>
    <w:p>
      <w:pPr>
        <w:pStyle w:val="ListBullet"/>
      </w:pPr>
      <w:r>
        <w:t xml:space="preserve">Detecção: </w:t>
      </w:r>
    </w:p>
    <w:p>
      <w:pPr>
        <w:ind w:left="400"/>
      </w:pPr>
      <w:r>
        <w:t>YARA rule: rule Loader_PowerShell_Dropper; Sigma: Suspicious PowerShell from Email Attachment</w:t>
      </w:r>
    </w:p>
    <w:p>
      <w:pPr>
        <w:pStyle w:val="ListBullet"/>
      </w:pPr>
      <w:r>
        <w:t xml:space="preserve">Mitigação: </w:t>
      </w:r>
    </w:p>
    <w:p>
      <w:pPr>
        <w:ind w:left="400"/>
      </w:pPr>
      <w:r>
        <w:t>Bloquear domínio C2 e impedir execução de PowerShell proveniente de anexos externos.</w:t>
      </w:r>
    </w:p>
    <w:p>
      <w:r>
        <w:br w:type="page"/>
      </w:r>
    </w:p>
    <w:p>
      <w:pPr>
        <w:pStyle w:val="Heading1"/>
      </w:pPr>
      <w:r>
        <w:t>Modelo de Ficha de Artefato (a preencher)</w:t>
      </w:r>
    </w:p>
    <w:p>
      <w:pPr>
        <w:pStyle w:val="Heading2"/>
      </w:pPr>
      <w:r>
        <w:t>Identificação do Artefato</w:t>
      </w:r>
    </w:p>
    <w:p>
      <w:r>
        <w:t xml:space="preserve">                                                  </w:t>
      </w:r>
    </w:p>
    <w:p>
      <w:pPr>
        <w:pStyle w:val="Heading2"/>
      </w:pPr>
      <w:r>
        <w:t>Hash (MD5/SHA256)</w:t>
      </w:r>
    </w:p>
    <w:p>
      <w:r>
        <w:t xml:space="preserve">                                                  </w:t>
      </w:r>
    </w:p>
    <w:p>
      <w:pPr>
        <w:pStyle w:val="Heading2"/>
      </w:pPr>
      <w:r>
        <w:t>Tipo de Arquivo</w:t>
      </w:r>
    </w:p>
    <w:p>
      <w:r>
        <w:t xml:space="preserve">                                                  </w:t>
      </w:r>
    </w:p>
    <w:p>
      <w:pPr>
        <w:pStyle w:val="Heading2"/>
      </w:pPr>
      <w:r>
        <w:t>Origem / Vetor de Entrada</w:t>
      </w:r>
    </w:p>
    <w:p>
      <w:r>
        <w:t xml:space="preserve">                                                  </w:t>
      </w:r>
    </w:p>
    <w:p>
      <w:pPr>
        <w:pStyle w:val="Heading2"/>
      </w:pPr>
      <w:r>
        <w:t>Comportamento / Ação</w:t>
      </w:r>
    </w:p>
    <w:p>
      <w:r>
        <w:t xml:space="preserve">                                                  </w:t>
      </w:r>
    </w:p>
    <w:p>
      <w:pPr>
        <w:pStyle w:val="Heading2"/>
      </w:pPr>
      <w:r>
        <w:t>Indicadores de Comprometimento (IoCs)</w:t>
      </w:r>
    </w:p>
    <w:p>
      <w:r>
        <w:t xml:space="preserve">                                                  </w:t>
      </w:r>
    </w:p>
    <w:p>
      <w:pPr>
        <w:pStyle w:val="Heading2"/>
      </w:pPr>
      <w:r>
        <w:t>Análise Técnica / Dinâmica</w:t>
      </w:r>
    </w:p>
    <w:p>
      <w:r>
        <w:t xml:space="preserve">                                                  </w:t>
      </w:r>
    </w:p>
    <w:p>
      <w:pPr>
        <w:pStyle w:val="Heading2"/>
      </w:pPr>
      <w:r>
        <w:t>Relação com Campanhas / Ameaças Conhecidas</w:t>
      </w:r>
    </w:p>
    <w:p>
      <w:r>
        <w:t xml:space="preserve">                                                  </w:t>
      </w:r>
    </w:p>
    <w:p>
      <w:pPr>
        <w:pStyle w:val="Heading2"/>
      </w:pPr>
      <w:r>
        <w:t>Técnicas MITRE ATT&amp;CK</w:t>
      </w:r>
    </w:p>
    <w:p>
      <w:r>
        <w:t xml:space="preserve">                                                  </w:t>
      </w:r>
    </w:p>
    <w:p>
      <w:pPr>
        <w:pStyle w:val="Heading2"/>
      </w:pPr>
      <w:r>
        <w:t>Impacto Potencial</w:t>
      </w:r>
    </w:p>
    <w:p>
      <w:r>
        <w:t xml:space="preserve">                                                  </w:t>
      </w:r>
    </w:p>
    <w:p>
      <w:pPr>
        <w:pStyle w:val="Heading2"/>
      </w:pPr>
      <w:r>
        <w:t>Medidas de Detecção</w:t>
      </w:r>
    </w:p>
    <w:p>
      <w:r>
        <w:t xml:space="preserve">                                                  </w:t>
      </w:r>
    </w:p>
    <w:p>
      <w:pPr>
        <w:pStyle w:val="Heading2"/>
      </w:pPr>
      <w:r>
        <w:t>Medidas de Mitigação / Contenção</w:t>
      </w:r>
    </w:p>
    <w:p>
      <w:r>
        <w:t xml:space="preserve">                                                  </w:t>
      </w:r>
    </w:p>
    <w:p>
      <w:pPr>
        <w:pStyle w:val="Heading2"/>
      </w:pPr>
      <w:r>
        <w:t>Observações / Análise Complementar</w:t>
      </w:r>
    </w:p>
    <w:p>
      <w:r>
        <w:t xml:space="preserve">                                             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