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4f81bd" w:space="4" w:sz="8" w:val="single"/>
        </w:pBdr>
        <w:spacing w:after="0" w:lineRule="auto"/>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Universidad de Buenos Aires</w:t>
      </w:r>
    </w:p>
    <w:p w:rsidR="00000000" w:rsidDel="00000000" w:rsidP="00000000" w:rsidRDefault="00000000" w:rsidRPr="00000000" w14:paraId="00000002">
      <w:pPr>
        <w:pBdr>
          <w:bottom w:color="4f81bd" w:space="4" w:sz="8" w:val="single"/>
        </w:pBdr>
        <w:spacing w:after="0" w:lineRule="auto"/>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Facultad de Ciencias Económicas</w:t>
      </w:r>
    </w:p>
    <w:p w:rsidR="00000000" w:rsidDel="00000000" w:rsidP="00000000" w:rsidRDefault="00000000" w:rsidRPr="00000000" w14:paraId="00000003">
      <w:pPr>
        <w:pBdr>
          <w:bottom w:color="4f81bd" w:space="4" w:sz="8" w:val="single"/>
        </w:pBdr>
        <w:spacing w:after="0" w:lineRule="auto"/>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Escuela de Estudios de Posgrado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4f81bd" w:space="4" w:sz="8" w:val="single"/>
        </w:pBdr>
        <w:spacing w:after="0" w:lineRule="auto"/>
        <w:jc w:val="center"/>
        <w:rPr>
          <w:rFonts w:ascii="Cambria" w:cs="Cambria" w:eastAsia="Cambria" w:hAnsi="Cambria"/>
          <w:b w:val="1"/>
          <w:smallCaps w:val="1"/>
          <w:sz w:val="44"/>
          <w:szCs w:val="44"/>
        </w:rPr>
      </w:pPr>
      <w:r w:rsidDel="00000000" w:rsidR="00000000" w:rsidRPr="00000000">
        <w:rPr>
          <w:rFonts w:ascii="Cambria" w:cs="Cambria" w:eastAsia="Cambria" w:hAnsi="Cambria"/>
          <w:b w:val="1"/>
          <w:smallCaps w:val="1"/>
          <w:sz w:val="44"/>
          <w:szCs w:val="44"/>
          <w:rtl w:val="0"/>
        </w:rPr>
        <w:t xml:space="preserve">Maestría en Economía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4f81bd" w:space="4" w:sz="8" w:val="single"/>
        </w:pBdr>
        <w:spacing w:after="0" w:lineRule="auto"/>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0A">
      <w:pPr>
        <w:pBdr>
          <w:bottom w:color="4f81bd" w:space="4" w:sz="8" w:val="single"/>
        </w:pBdr>
        <w:spacing w:after="0" w:lineRule="auto"/>
        <w:jc w:val="center"/>
        <w:rPr>
          <w:rFonts w:ascii="Cambria" w:cs="Cambria" w:eastAsia="Cambria" w:hAnsi="Cambria"/>
          <w:smallCaps w:val="1"/>
          <w:sz w:val="44"/>
          <w:szCs w:val="44"/>
        </w:rPr>
      </w:pPr>
      <w:r w:rsidDel="00000000" w:rsidR="00000000" w:rsidRPr="00000000">
        <w:rPr>
          <w:rFonts w:ascii="Cambria" w:cs="Cambria" w:eastAsia="Cambria" w:hAnsi="Cambria"/>
          <w:smallCaps w:val="1"/>
          <w:sz w:val="44"/>
          <w:szCs w:val="44"/>
          <w:rtl w:val="0"/>
        </w:rPr>
        <w:t xml:space="preserve">PROYECTO</w:t>
      </w:r>
    </w:p>
    <w:p w:rsidR="00000000" w:rsidDel="00000000" w:rsidP="00000000" w:rsidRDefault="00000000" w:rsidRPr="00000000" w14:paraId="0000000B">
      <w:pPr>
        <w:pBdr>
          <w:bottom w:color="4f81bd" w:space="4" w:sz="8" w:val="single"/>
        </w:pBdr>
        <w:spacing w:after="0" w:lineRule="auto"/>
        <w:jc w:val="center"/>
        <w:rPr>
          <w:rFonts w:ascii="Cambria" w:cs="Cambria" w:eastAsia="Cambria" w:hAnsi="Cambria"/>
          <w:smallCaps w:val="1"/>
          <w:sz w:val="44"/>
          <w:szCs w:val="44"/>
        </w:rPr>
      </w:pPr>
      <w:r w:rsidDel="00000000" w:rsidR="00000000" w:rsidRPr="00000000">
        <w:rPr>
          <w:rFonts w:ascii="Cambria" w:cs="Cambria" w:eastAsia="Cambria" w:hAnsi="Cambria"/>
          <w:smallCaps w:val="1"/>
          <w:sz w:val="44"/>
          <w:szCs w:val="44"/>
          <w:rtl w:val="0"/>
        </w:rPr>
        <w:t xml:space="preserve">Trabajo Final de Maestría</w:t>
      </w:r>
    </w:p>
    <w:p w:rsidR="00000000" w:rsidDel="00000000" w:rsidP="00000000" w:rsidRDefault="00000000" w:rsidRPr="00000000" w14:paraId="0000000C">
      <w:pPr>
        <w:rPr>
          <w:sz w:val="44"/>
          <w:szCs w:val="44"/>
        </w:rPr>
      </w:pPr>
      <w:r w:rsidDel="00000000" w:rsidR="00000000" w:rsidRPr="00000000">
        <w:rPr>
          <w:rtl w:val="0"/>
        </w:rPr>
      </w:r>
    </w:p>
    <w:p w:rsidR="00000000" w:rsidDel="00000000" w:rsidP="00000000" w:rsidRDefault="00000000" w:rsidRPr="00000000" w14:paraId="0000000D">
      <w:pPr>
        <w:pBdr>
          <w:bottom w:color="4f81bd" w:space="4" w:sz="8" w:val="single"/>
        </w:pBdr>
        <w:tabs>
          <w:tab w:val="left" w:leader="none" w:pos="2985"/>
        </w:tabs>
        <w:spacing w:after="0" w:lineRule="auto"/>
        <w:rPr>
          <w:rFonts w:ascii="Cambria" w:cs="Cambria" w:eastAsia="Cambria" w:hAnsi="Cambria"/>
          <w:sz w:val="36"/>
          <w:szCs w:val="36"/>
        </w:rPr>
      </w:pPr>
      <w:r w:rsidDel="00000000" w:rsidR="00000000" w:rsidRPr="00000000">
        <w:rPr>
          <w:rFonts w:ascii="Cambria" w:cs="Cambria" w:eastAsia="Cambria" w:hAnsi="Cambria"/>
          <w:sz w:val="36"/>
          <w:szCs w:val="36"/>
          <w:highlight w:val="lightGray"/>
          <w:rtl w:val="0"/>
        </w:rPr>
        <w:t xml:space="preserve">Determinantes Macroeconómicos de los Spreads de Deuda Corporativa en Brasil 1993-2025.  Implicancias para la Sostenibilidad de la Deuda</w:t>
      </w:r>
      <w:r w:rsidDel="00000000" w:rsidR="00000000" w:rsidRPr="00000000">
        <w:rPr>
          <w:rtl w:val="0"/>
        </w:rPr>
      </w:r>
    </w:p>
    <w:p w:rsidR="00000000" w:rsidDel="00000000" w:rsidP="00000000" w:rsidRDefault="00000000" w:rsidRPr="00000000" w14:paraId="0000000E">
      <w:pPr>
        <w:rPr>
          <w:rFonts w:ascii="Cambria" w:cs="Cambria" w:eastAsia="Cambria" w:hAnsi="Cambria"/>
          <w:i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mallCaps w:val="1"/>
        </w:rPr>
      </w:pPr>
      <w:r w:rsidDel="00000000" w:rsidR="00000000" w:rsidRPr="00000000">
        <w:rPr>
          <w:rtl w:val="0"/>
        </w:rPr>
      </w:r>
    </w:p>
    <w:p w:rsidR="00000000" w:rsidDel="00000000" w:rsidP="00000000" w:rsidRDefault="00000000" w:rsidRPr="00000000" w14:paraId="00000014">
      <w:pPr>
        <w:rPr>
          <w:smallCaps w:val="1"/>
          <w:sz w:val="28"/>
          <w:szCs w:val="28"/>
        </w:rPr>
      </w:pPr>
      <w:r w:rsidDel="00000000" w:rsidR="00000000" w:rsidRPr="00000000">
        <w:rPr>
          <w:smallCaps w:val="1"/>
          <w:sz w:val="28"/>
          <w:szCs w:val="28"/>
          <w:rtl w:val="0"/>
        </w:rPr>
        <w:t xml:space="preserve">Autor: </w:t>
      </w:r>
      <w:r w:rsidDel="00000000" w:rsidR="00000000" w:rsidRPr="00000000">
        <w:rPr>
          <w:smallCaps w:val="1"/>
          <w:sz w:val="28"/>
          <w:szCs w:val="28"/>
          <w:highlight w:val="lightGray"/>
          <w:rtl w:val="0"/>
        </w:rPr>
        <w:t xml:space="preserve">Thiago da Silva Siqueira</w:t>
      </w:r>
      <w:r w:rsidDel="00000000" w:rsidR="00000000" w:rsidRPr="00000000">
        <w:rPr>
          <w:rtl w:val="0"/>
        </w:rPr>
      </w:r>
    </w:p>
    <w:p w:rsidR="00000000" w:rsidDel="00000000" w:rsidP="00000000" w:rsidRDefault="00000000" w:rsidRPr="00000000" w14:paraId="00000015">
      <w:pPr>
        <w:rPr>
          <w:smallCaps w:val="1"/>
          <w:sz w:val="28"/>
          <w:szCs w:val="28"/>
        </w:rPr>
      </w:pPr>
      <w:r w:rsidDel="00000000" w:rsidR="00000000" w:rsidRPr="00000000">
        <w:rPr>
          <w:rtl w:val="0"/>
        </w:rPr>
      </w:r>
    </w:p>
    <w:p w:rsidR="00000000" w:rsidDel="00000000" w:rsidP="00000000" w:rsidRDefault="00000000" w:rsidRPr="00000000" w14:paraId="00000016">
      <w:pPr>
        <w:rPr>
          <w:smallCaps w:val="1"/>
          <w:sz w:val="28"/>
          <w:szCs w:val="28"/>
        </w:rPr>
      </w:pPr>
      <w:r w:rsidDel="00000000" w:rsidR="00000000" w:rsidRPr="00000000">
        <w:rPr>
          <w:smallCaps w:val="1"/>
          <w:sz w:val="28"/>
          <w:szCs w:val="28"/>
          <w:rtl w:val="0"/>
        </w:rPr>
        <w:t xml:space="preserve">Director: </w:t>
      </w:r>
      <w:r w:rsidDel="00000000" w:rsidR="00000000" w:rsidRPr="00000000">
        <w:rPr>
          <w:smallCaps w:val="1"/>
          <w:sz w:val="28"/>
          <w:szCs w:val="28"/>
          <w:highlight w:val="lightGray"/>
          <w:rtl w:val="0"/>
        </w:rPr>
        <w:t xml:space="preserve">Martin Grandes</w:t>
      </w:r>
      <w:r w:rsidDel="00000000" w:rsidR="00000000" w:rsidRPr="00000000">
        <w:rPr>
          <w:rtl w:val="0"/>
        </w:rPr>
      </w:r>
    </w:p>
    <w:p w:rsidR="00000000" w:rsidDel="00000000" w:rsidP="00000000" w:rsidRDefault="00000000" w:rsidRPr="00000000" w14:paraId="00000017">
      <w:pPr>
        <w:rPr>
          <w:smallCaps w:val="1"/>
          <w:sz w:val="28"/>
          <w:szCs w:val="28"/>
        </w:rPr>
      </w:pPr>
      <w:r w:rsidDel="00000000" w:rsidR="00000000" w:rsidRPr="00000000">
        <w:rPr>
          <w:rtl w:val="0"/>
        </w:rPr>
      </w:r>
    </w:p>
    <w:p w:rsidR="00000000" w:rsidDel="00000000" w:rsidP="00000000" w:rsidRDefault="00000000" w:rsidRPr="00000000" w14:paraId="00000018">
      <w:pPr>
        <w:rPr>
          <w:smallCaps w:val="1"/>
          <w:sz w:val="28"/>
          <w:szCs w:val="28"/>
        </w:rPr>
      </w:pPr>
      <w:r w:rsidDel="00000000" w:rsidR="00000000" w:rsidRPr="00000000">
        <w:rPr>
          <w:rtl w:val="0"/>
        </w:rPr>
      </w:r>
    </w:p>
    <w:p w:rsidR="00000000" w:rsidDel="00000000" w:rsidP="00000000" w:rsidRDefault="00000000" w:rsidRPr="00000000" w14:paraId="00000019">
      <w:pPr>
        <w:rPr>
          <w:smallCaps w:val="1"/>
          <w:sz w:val="28"/>
          <w:szCs w:val="28"/>
        </w:rPr>
      </w:pPr>
      <w:r w:rsidDel="00000000" w:rsidR="00000000" w:rsidRPr="00000000">
        <w:rPr>
          <w:rtl w:val="0"/>
        </w:rPr>
      </w:r>
    </w:p>
    <w:p w:rsidR="00000000" w:rsidDel="00000000" w:rsidP="00000000" w:rsidRDefault="00000000" w:rsidRPr="00000000" w14:paraId="0000001A">
      <w:pPr>
        <w:rPr>
          <w:smallCaps w:val="1"/>
          <w:sz w:val="28"/>
          <w:szCs w:val="28"/>
        </w:rPr>
      </w:pPr>
      <w:r w:rsidDel="00000000" w:rsidR="00000000" w:rsidRPr="00000000">
        <w:rPr>
          <w:rtl w:val="0"/>
        </w:rPr>
      </w:r>
    </w:p>
    <w:p w:rsidR="00000000" w:rsidDel="00000000" w:rsidP="00000000" w:rsidRDefault="00000000" w:rsidRPr="00000000" w14:paraId="0000001B">
      <w:pPr>
        <w:rPr>
          <w:smallCaps w:val="1"/>
          <w:sz w:val="28"/>
          <w:szCs w:val="28"/>
        </w:rPr>
      </w:pPr>
      <w:r w:rsidDel="00000000" w:rsidR="00000000" w:rsidRPr="00000000">
        <w:rPr>
          <w:rtl w:val="0"/>
        </w:rPr>
      </w:r>
    </w:p>
    <w:p w:rsidR="00000000" w:rsidDel="00000000" w:rsidP="00000000" w:rsidRDefault="00000000" w:rsidRPr="00000000" w14:paraId="0000001C">
      <w:pPr>
        <w:rPr>
          <w:smallCaps w:val="1"/>
          <w:sz w:val="28"/>
          <w:szCs w:val="28"/>
        </w:rPr>
      </w:pPr>
      <w:r w:rsidDel="00000000" w:rsidR="00000000" w:rsidRPr="00000000">
        <w:rPr>
          <w:rtl w:val="0"/>
        </w:rPr>
      </w:r>
    </w:p>
    <w:p w:rsidR="00000000" w:rsidDel="00000000" w:rsidP="00000000" w:rsidRDefault="00000000" w:rsidRPr="00000000" w14:paraId="0000001D">
      <w:pPr>
        <w:rPr>
          <w:smallCaps w:val="1"/>
          <w:sz w:val="28"/>
          <w:szCs w:val="28"/>
        </w:rPr>
      </w:pPr>
      <w:r w:rsidDel="00000000" w:rsidR="00000000" w:rsidRPr="00000000">
        <w:rPr>
          <w:rtl w:val="0"/>
        </w:rPr>
      </w:r>
    </w:p>
    <w:p w:rsidR="00000000" w:rsidDel="00000000" w:rsidP="00000000" w:rsidRDefault="00000000" w:rsidRPr="00000000" w14:paraId="0000001E">
      <w:pPr>
        <w:pBdr>
          <w:bottom w:color="4f81bd" w:space="4" w:sz="8" w:val="single"/>
        </w:pBdr>
        <w:spacing w:after="300" w:lineRule="auto"/>
        <w:jc w:val="center"/>
        <w:rPr>
          <w:rFonts w:ascii="Cambria" w:cs="Cambria" w:eastAsia="Cambria" w:hAnsi="Cambria"/>
          <w:smallCaps w:val="1"/>
          <w:highlight w:val="lightGray"/>
        </w:rPr>
      </w:pPr>
      <w:r w:rsidDel="00000000" w:rsidR="00000000" w:rsidRPr="00000000">
        <w:rPr>
          <w:rFonts w:ascii="Cambria" w:cs="Cambria" w:eastAsia="Cambria" w:hAnsi="Cambria"/>
          <w:smallCaps w:val="1"/>
          <w:highlight w:val="lightGray"/>
          <w:rtl w:val="0"/>
        </w:rPr>
        <w:t xml:space="preserve">June 2025</w:t>
      </w:r>
    </w:p>
    <w:p w:rsidR="00000000" w:rsidDel="00000000" w:rsidP="00000000" w:rsidRDefault="00000000" w:rsidRPr="00000000" w14:paraId="0000001F">
      <w:pPr>
        <w:pBdr>
          <w:bottom w:color="4f81bd" w:space="4" w:sz="8" w:val="single"/>
        </w:pBdr>
        <w:spacing w:after="300" w:lineRule="auto"/>
        <w:jc w:val="center"/>
        <w:rPr>
          <w:rFonts w:ascii="Cambria" w:cs="Cambria" w:eastAsia="Cambria" w:hAnsi="Cambria"/>
          <w:smallCaps w:val="1"/>
          <w:highlight w:val="lightGray"/>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Resumen del Proyecto</w:t>
      </w:r>
    </w:p>
    <w:p w:rsidR="00000000" w:rsidDel="00000000" w:rsidP="00000000" w:rsidRDefault="00000000" w:rsidRPr="00000000" w14:paraId="00000021">
      <w:pPr>
        <w:tabs>
          <w:tab w:val="left" w:leader="none" w:pos="6840"/>
        </w:tabs>
        <w:ind w:left="0" w:firstLine="0"/>
        <w:jc w:val="both"/>
        <w:rPr>
          <w:color w:val="ff0000"/>
        </w:rPr>
      </w:pPr>
      <w:r w:rsidDel="00000000" w:rsidR="00000000" w:rsidRPr="00000000">
        <w:rPr>
          <w:rtl w:val="0"/>
        </w:rPr>
      </w:r>
    </w:p>
    <w:p w:rsidR="00000000" w:rsidDel="00000000" w:rsidP="00000000" w:rsidRDefault="00000000" w:rsidRPr="00000000" w14:paraId="00000022">
      <w:pPr>
        <w:tabs>
          <w:tab w:val="left" w:leader="none" w:pos="6840"/>
        </w:tabs>
        <w:ind w:firstLine="709"/>
        <w:jc w:val="both"/>
        <w:rPr/>
      </w:pPr>
      <w:r w:rsidDel="00000000" w:rsidR="00000000" w:rsidRPr="00000000">
        <w:rPr>
          <w:rtl w:val="0"/>
        </w:rPr>
        <w:t xml:space="preserve">Este proyecto analiza los determinantes macroeconómicos de los spreads de deuda corporativa denominada en reales y emitida en Brasil durante el período 1993–2025, con el objetivo de evaluar sus implicancias para la sostenibilidad de dicha deuda local. En el contexto de economías emergentes como Brasil, los spreads de deuda corporativa reflejan no solo el riesgo de crédito empresarial, sino también factores sistémicos como el riesgo soberano, las condiciones de liquidez global y las políticas macroeconómicas internas. La relevancia de este estudio radica en comprender cómo estos determinantes inciden en el costo de financiamiento privado y en la estabilidad financiera del país, especialmente en un entorno de alta volatilidad internacional.</w:t>
      </w:r>
    </w:p>
    <w:p w:rsidR="00000000" w:rsidDel="00000000" w:rsidP="00000000" w:rsidRDefault="00000000" w:rsidRPr="00000000" w14:paraId="00000023">
      <w:pPr>
        <w:tabs>
          <w:tab w:val="left" w:leader="none" w:pos="6840"/>
        </w:tabs>
        <w:ind w:firstLine="709"/>
        <w:jc w:val="both"/>
        <w:rPr/>
      </w:pPr>
      <w:r w:rsidDel="00000000" w:rsidR="00000000" w:rsidRPr="00000000">
        <w:rPr>
          <w:rtl w:val="0"/>
        </w:rPr>
      </w:r>
    </w:p>
    <w:p w:rsidR="00000000" w:rsidDel="00000000" w:rsidP="00000000" w:rsidRDefault="00000000" w:rsidRPr="00000000" w14:paraId="00000024">
      <w:pPr>
        <w:tabs>
          <w:tab w:val="left" w:leader="none" w:pos="6840"/>
        </w:tabs>
        <w:ind w:firstLine="709"/>
        <w:jc w:val="both"/>
        <w:rPr/>
      </w:pPr>
      <w:r w:rsidDel="00000000" w:rsidR="00000000" w:rsidRPr="00000000">
        <w:rPr>
          <w:rtl w:val="0"/>
        </w:rPr>
        <w:t xml:space="preserve">El proyecto propone estimar un modelo econométrico de corrección del error (VECM) para identificar relaciones dinámicas de corto y largo plazo entre los spreads corporativos y variables en reales emitido en Brasil con madurez y características similares (cupón o cero cupón), el índice de aversión al riesgo global (VIX), las tasas de interés internacionales (como la Fed Funds Rate o UST a 3 meses), y variables específicas tanto de las emisiones (plazo, monto, tipo de instrumento) como de las empresas (apalancamiento, liquidez, tamaño).</w:t>
      </w:r>
    </w:p>
    <w:p w:rsidR="00000000" w:rsidDel="00000000" w:rsidP="00000000" w:rsidRDefault="00000000" w:rsidRPr="00000000" w14:paraId="00000025">
      <w:pPr>
        <w:tabs>
          <w:tab w:val="left" w:leader="none" w:pos="6840"/>
        </w:tabs>
        <w:ind w:firstLine="709"/>
        <w:jc w:val="both"/>
        <w:rPr/>
      </w:pPr>
      <w:r w:rsidDel="00000000" w:rsidR="00000000" w:rsidRPr="00000000">
        <w:rPr>
          <w:rtl w:val="0"/>
        </w:rPr>
      </w:r>
    </w:p>
    <w:p w:rsidR="00000000" w:rsidDel="00000000" w:rsidP="00000000" w:rsidRDefault="00000000" w:rsidRPr="00000000" w14:paraId="00000026">
      <w:pPr>
        <w:tabs>
          <w:tab w:val="left" w:leader="none" w:pos="6840"/>
        </w:tabs>
        <w:ind w:firstLine="709"/>
        <w:jc w:val="both"/>
        <w:rPr/>
      </w:pPr>
      <w:r w:rsidDel="00000000" w:rsidR="00000000" w:rsidRPr="00000000">
        <w:rPr>
          <w:rtl w:val="0"/>
        </w:rPr>
        <w:t xml:space="preserve">Este trabajo se inserta en la confluencia de tres enfoques teóricos: la microestructura del mercado de deuda, la transmisión del riesgo soberano y los efectos de los shocks financieros globales. La investigación contribuye a la literatura al integrar estos marcos mediante un enfoque intertemporal basado en datos de panel a nivel de emisión y empresa, ofreciendo una cobertura histórica extensa que abarca distintos regímenes económicos. Sus resultados permitirán comprender mejor la interacción entre los sectores público y privado en el mercado de capitales brasileño y generar recomendaciones prácticas para el diseño de instrumentos de deuda corporativa más resilientes.</w:t>
      </w:r>
      <w:r w:rsidDel="00000000" w:rsidR="00000000" w:rsidRPr="00000000">
        <w:rPr>
          <w:rtl w:val="0"/>
        </w:rPr>
      </w:r>
    </w:p>
    <w:p w:rsidR="00000000" w:rsidDel="00000000" w:rsidP="00000000" w:rsidRDefault="00000000" w:rsidRPr="00000000" w14:paraId="00000027">
      <w:pPr>
        <w:tabs>
          <w:tab w:val="left" w:leader="none" w:pos="6840"/>
        </w:tabs>
        <w:ind w:left="360" w:firstLine="0"/>
        <w:rPr/>
      </w:pPr>
      <w:r w:rsidDel="00000000" w:rsidR="00000000" w:rsidRPr="00000000">
        <w:rPr>
          <w:rtl w:val="0"/>
        </w:rPr>
      </w:r>
    </w:p>
    <w:p w:rsidR="00000000" w:rsidDel="00000000" w:rsidP="00000000" w:rsidRDefault="00000000" w:rsidRPr="00000000" w14:paraId="00000028">
      <w:pPr>
        <w:tabs>
          <w:tab w:val="left" w:leader="none" w:pos="6840"/>
        </w:tabs>
        <w:ind w:left="360" w:firstLine="0"/>
        <w:jc w:val="center"/>
        <w:rPr>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Justificación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La elección del tema responde a la necesidad de comprender los factores que inciden en el comportamiento de los spreads de deuda corporativa en economías emergentes, con foco en Brasil, y en particular en los mercados de deuda domésticos denominados en reales. Este mercado es el más importante de América Latina en términos de volumen y profundidad (OECD, 2024) y constituye un laboratorio ideal para estudiar la interacción entre condiciones macroeconómicas, riesgo soberano y decisiones de financiamiento privado. En particular, según el estudio de la OCDE coautoría de Grandes et al. (2024), el sector corporativo no financiero en Brasil representa una proporción muy significativa de las emisiones de deuda con vencimiento mayor a un año, tanto por volumen total emitido como por número de bonos y diversidad de empresas participantes. Esta profundidad relativa lo convierte en un caso especialmente relevante dentro del universo de mercados emergentes.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En el contexto de la Maestría en Economía, esta problemática se inscribe en el área de la macroeconomía aplicada, las finanzas internacionales y la sostenibilidad de la deuda, aportando una mirada cuantitativa y empírica al análisis de un fenómeno con fuerte relevancia para la formulación de políticas públicas y el desarrollo eficiente de los mercados de capitales.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Este trabajo se posiciona en la intersección de tres ramas de la literatura. En primer lugar, los estudios de microestructura de mercado, que examinan cómo características contractuales (plazo, liquidez, monto de emisión) e idiosincráticas de las firmas (apalancamiento, activos, sector) afectan el costo del financiamiento (Carvalho &amp; Marques, 2020). En segundo lugar, los enfoques que destacan el papel de la volatilidad macroeconómica y el riesgo soberano como condicionantes estructurales de los spreads (Silva &amp; Paulo, 2015; Liu &amp; Spencer, 2013). Y, en tercer lugar, la literatura sobre transmisión del riesgo soberano a los emisores privados (en particular a través del mecanismo del “sovereign ceiling”) que plantea una correlación directa entre riesgo país y spreads corporativos, especialmente en contextos de estrés financiero (Grandes, Panigo &amp; Pasquini, 2017).</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Mientras que estos enfoques han sido desarrollados de forma aislada para Brasil, son escasos los trabajos que los integran en un marco dinámico intertemporal que permita evaluar simultáneamente la interacción entre shocks globales, fundamentos macroeconómicos, riesgo soberano y comportamiento del mercado corporativo. Este trabajo busca cubrir ese vacío para el caso brasileño, utilizando un modelo econométrico de corrección del error (VECM) con datos de panel a nivel de emisión y empresa durante un extenso período histórico (1993–2025).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Las contribuciones esperadas del estudio son las siguientes: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Construcción de una base de datos inédita de emisiones corporativas locales en moneda real, con información financiera y estructural, que cubre el período 1993–2025 e incluye tanto crisis como fases de recuperación, permitiendo actualizar y extender la evidencia empírica existente para Brasil.</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Estimación de un modelo VECM con funciones de impulso-respuesta, permitiendo captar la dinámica entre variables macro y financieras.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Evidencia empírica sobre el grado de transmisión del riesgo soberano a los spreads privados en el mercado doméstico brasileño.</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Medición del impacto de shocks globales (como el VIX o tasas internacionales) sobre el costo del financiamiento corporativo local.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t xml:space="preserve">La elección personal del tema surge del interés del autor por los vínculos entre macroeconomía y mercados financieros, reforzado por su experiencia previa en análisis cuantitativo y finanzas. En un contexto en que las economías emergentes enfrentan crecientes desafíos externos (como subas de tasas globales, salidas de capitales y vulnerabilidad fiscal), comprender estos mecanismos resulta clave para fortalecer la estabilidad financiera y la sostenibilidad del crecimiento económico.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pPr>
      <w:r w:rsidDel="00000000" w:rsidR="00000000" w:rsidRPr="00000000">
        <w:rPr>
          <w:rtl w:val="0"/>
        </w:rPr>
      </w:r>
    </w:p>
    <w:p w:rsidR="00000000" w:rsidDel="00000000" w:rsidP="00000000" w:rsidRDefault="00000000" w:rsidRPr="00000000" w14:paraId="00000037">
      <w:pPr>
        <w:tabs>
          <w:tab w:val="left" w:leader="none" w:pos="6840"/>
        </w:tabs>
        <w:rPr/>
      </w:pPr>
      <w:r w:rsidDel="00000000" w:rsidR="00000000" w:rsidRPr="00000000">
        <w:rPr>
          <w:rtl w:val="0"/>
        </w:rPr>
      </w:r>
    </w:p>
    <w:p w:rsidR="00000000" w:rsidDel="00000000" w:rsidP="00000000" w:rsidRDefault="00000000" w:rsidRPr="00000000" w14:paraId="00000038">
      <w:pPr>
        <w:tabs>
          <w:tab w:val="left" w:leader="none" w:pos="6840"/>
        </w:tabs>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Planteamiento del tema/problema</w:t>
      </w:r>
    </w:p>
    <w:p w:rsidR="00000000" w:rsidDel="00000000" w:rsidP="00000000" w:rsidRDefault="00000000" w:rsidRPr="00000000" w14:paraId="0000003A">
      <w:pPr>
        <w:ind w:left="0" w:firstLine="0"/>
        <w:jc w:val="both"/>
        <w:rPr>
          <w:color w:val="ff0000"/>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ind w:firstLine="720"/>
        <w:jc w:val="both"/>
        <w:rPr/>
      </w:pPr>
      <w:r w:rsidDel="00000000" w:rsidR="00000000" w:rsidRPr="00000000">
        <w:rPr>
          <w:rtl w:val="0"/>
        </w:rPr>
        <w:t xml:space="preserve">El presente trabajo tiene como objetivo investigar los determinantes de los spreads de deuda corporativa en Brasil, con un enfoque específico en los mercados de deuda locales denominados en reales, durante el período comprendido entre 1993 y 2025.</w:t>
      </w:r>
    </w:p>
    <w:p w:rsidR="00000000" w:rsidDel="00000000" w:rsidP="00000000" w:rsidRDefault="00000000" w:rsidRPr="00000000" w14:paraId="0000003D">
      <w:pPr>
        <w:ind w:firstLine="720"/>
        <w:jc w:val="both"/>
        <w:rPr/>
      </w:pPr>
      <w:r w:rsidDel="00000000" w:rsidR="00000000" w:rsidRPr="00000000">
        <w:rPr>
          <w:rtl w:val="0"/>
        </w:rPr>
      </w:r>
    </w:p>
    <w:p w:rsidR="00000000" w:rsidDel="00000000" w:rsidP="00000000" w:rsidRDefault="00000000" w:rsidRPr="00000000" w14:paraId="0000003E">
      <w:pPr>
        <w:ind w:firstLine="720"/>
        <w:jc w:val="both"/>
        <w:rPr/>
      </w:pPr>
      <w:r w:rsidDel="00000000" w:rsidR="00000000" w:rsidRPr="00000000">
        <w:rPr>
          <w:rtl w:val="0"/>
        </w:rPr>
        <w:t xml:space="preserve">En términos financieros, el spread de deuda corporativa se define como la diferencia entre el rendimiento al vencimiento (Yield to Maturity, YTM) de un bono corporativo y el rendimiento de un bono soberano o libre de riesgo de similar plazo, es decir un instrumento de deuda de un emisor AAA o AA sin riesgo de default, por ejemplo un bono del BID en reales emitido en Brasil u otra jurisdicción en dicha moneda:</w:t>
      </w:r>
    </w:p>
    <w:p w:rsidR="00000000" w:rsidDel="00000000" w:rsidP="00000000" w:rsidRDefault="00000000" w:rsidRPr="00000000" w14:paraId="0000003F">
      <w:pPr>
        <w:ind w:firstLine="720"/>
        <w:jc w:val="both"/>
        <w:rPr/>
      </w:pPr>
      <w:r w:rsidDel="00000000" w:rsidR="00000000" w:rsidRPr="00000000">
        <w:rPr>
          <w:rtl w:val="0"/>
        </w:rPr>
      </w:r>
    </w:p>
    <w:p w:rsidR="00000000" w:rsidDel="00000000" w:rsidP="00000000" w:rsidRDefault="00000000" w:rsidRPr="00000000" w14:paraId="00000040">
      <w:pPr>
        <w:ind w:firstLine="720"/>
        <w:jc w:val="center"/>
        <w:rPr/>
      </w:pPr>
      <m:oMath>
        <m:r>
          <w:rPr/>
          <m:t xml:space="preserve">Sprea</m:t>
        </m:r>
        <m:sSub>
          <m:sSubPr>
            <m:ctrlPr>
              <w:rPr/>
            </m:ctrlPr>
          </m:sSubPr>
          <m:e>
            <m:r>
              <w:rPr/>
              <m:t xml:space="preserve">d</m:t>
            </m:r>
          </m:e>
          <m:sub>
            <m:r>
              <w:rPr/>
              <m:t xml:space="preserve">i,t</m:t>
            </m:r>
          </m:sub>
        </m:sSub>
        <m:r>
          <w:rPr/>
          <m:t xml:space="preserve">=YT</m:t>
        </m:r>
        <m:sSub>
          <m:sSubPr>
            <m:ctrlPr>
              <w:rPr/>
            </m:ctrlPr>
          </m:sSubPr>
          <m:e>
            <m:r>
              <w:rPr/>
              <m:t xml:space="preserve">M</m:t>
            </m:r>
          </m:e>
          <m:sub>
            <m:r>
              <w:rPr/>
              <m:t xml:space="preserve">corp, i, t</m:t>
            </m:r>
          </m:sub>
        </m:sSub>
        <m:r>
          <w:rPr/>
          <m:t xml:space="preserve">-YT</m:t>
        </m:r>
        <m:sSub>
          <m:sSubPr>
            <m:ctrlPr>
              <w:rPr/>
            </m:ctrlPr>
          </m:sSubPr>
          <m:e>
            <m:r>
              <w:rPr/>
              <m:t xml:space="preserve">M</m:t>
            </m:r>
          </m:e>
          <m:sub>
            <m:r>
              <w:rPr/>
              <m:t xml:space="preserve">gov, t</m:t>
            </m:r>
          </m:sub>
        </m:sSub>
      </m:oMath>
      <w:r w:rsidDel="00000000" w:rsidR="00000000" w:rsidRPr="00000000">
        <w:rPr>
          <w:rtl w:val="0"/>
        </w:rPr>
      </w:r>
    </w:p>
    <w:p w:rsidR="00000000" w:rsidDel="00000000" w:rsidP="00000000" w:rsidRDefault="00000000" w:rsidRPr="00000000" w14:paraId="00000041">
      <w:pPr>
        <w:ind w:firstLine="720"/>
        <w:jc w:val="both"/>
        <w:rPr/>
      </w:pPr>
      <w:r w:rsidDel="00000000" w:rsidR="00000000" w:rsidRPr="00000000">
        <w:rPr>
          <w:rtl w:val="0"/>
        </w:rPr>
        <w:t xml:space="preserve"> </w:t>
      </w:r>
    </w:p>
    <w:p w:rsidR="00000000" w:rsidDel="00000000" w:rsidP="00000000" w:rsidRDefault="00000000" w:rsidRPr="00000000" w14:paraId="00000042">
      <w:pPr>
        <w:ind w:firstLine="720"/>
        <w:jc w:val="both"/>
        <w:rPr/>
      </w:pPr>
      <w:r w:rsidDel="00000000" w:rsidR="00000000" w:rsidRPr="00000000">
        <w:rPr>
          <w:rtl w:val="0"/>
        </w:rPr>
        <w:t xml:space="preserve">Este spread representa la prima de riesgo exigida por los inversores ante posibles eventos de default, iliquidez, u otros riesgos financieros asociados a la empresa emisora. En economías emergentes como Brasil, estos spreads capturan no solo el riesgo idiosincrático del emisor, sino también componentes sistémicos: riesgo soberano, condiciones de liquidez internacional, y el entorno macroeconómico interno.</w:t>
      </w:r>
    </w:p>
    <w:p w:rsidR="00000000" w:rsidDel="00000000" w:rsidP="00000000" w:rsidRDefault="00000000" w:rsidRPr="00000000" w14:paraId="00000043">
      <w:pPr>
        <w:ind w:firstLine="720"/>
        <w:jc w:val="both"/>
        <w:rPr/>
      </w:pPr>
      <w:r w:rsidDel="00000000" w:rsidR="00000000" w:rsidRPr="00000000">
        <w:rPr>
          <w:rtl w:val="0"/>
        </w:rPr>
      </w:r>
    </w:p>
    <w:p w:rsidR="00000000" w:rsidDel="00000000" w:rsidP="00000000" w:rsidRDefault="00000000" w:rsidRPr="00000000" w14:paraId="00000044">
      <w:pPr>
        <w:ind w:firstLine="720"/>
        <w:jc w:val="both"/>
        <w:rPr/>
      </w:pPr>
      <w:r w:rsidDel="00000000" w:rsidR="00000000" w:rsidRPr="00000000">
        <w:rPr>
          <w:rtl w:val="0"/>
        </w:rPr>
        <w:t xml:space="preserve">Comprender la formación y evolución de estos spreads es clave para analizar el costo de financiamiento privado, su relación con el riesgo país y sus implicancias para la sostenibilidad de la deuda corporativa. El período 1993–2025 es particularmente relevante por incluir episodios críticos de inestabilidad macroeconómica, reformas estructurales, cambios de régimen de política económica y una creciente consolidación del mercado de deuda en moneda local en Brasil, el más desarrollado de América Latina en términos de volumen emitido, número de instrumentos y profundidad relativa del mercado, especialmente en el segmento corporativo no financiero (OECD, 2024).</w:t>
      </w:r>
    </w:p>
    <w:p w:rsidR="00000000" w:rsidDel="00000000" w:rsidP="00000000" w:rsidRDefault="00000000" w:rsidRPr="00000000" w14:paraId="00000045">
      <w:pPr>
        <w:ind w:firstLine="720"/>
        <w:jc w:val="both"/>
        <w:rPr/>
      </w:pPr>
      <w:r w:rsidDel="00000000" w:rsidR="00000000" w:rsidRPr="00000000">
        <w:rPr>
          <w:rtl w:val="0"/>
        </w:rPr>
      </w:r>
    </w:p>
    <w:p w:rsidR="00000000" w:rsidDel="00000000" w:rsidP="00000000" w:rsidRDefault="00000000" w:rsidRPr="00000000" w14:paraId="00000046">
      <w:pPr>
        <w:ind w:firstLine="720"/>
        <w:jc w:val="both"/>
        <w:rPr/>
      </w:pPr>
      <w:r w:rsidDel="00000000" w:rsidR="00000000" w:rsidRPr="00000000">
        <w:rPr>
          <w:rtl w:val="0"/>
        </w:rPr>
        <w:t xml:space="preserve">Además de la definición técnica, el fenómeno del spread corporativo puede comprenderse mejor mediante una representación esquemática de sus principales determinantes y canales de transmisión. En este sentido, el siguiente diagrama resume los factores clave que inciden en su dinámica, agrupándolos en dimensiones globales, soberanas, macroeconómicas e idiosincráticas.</w:t>
      </w:r>
    </w:p>
    <w:p w:rsidR="00000000" w:rsidDel="00000000" w:rsidP="00000000" w:rsidRDefault="00000000" w:rsidRPr="00000000" w14:paraId="00000047">
      <w:pPr>
        <w:ind w:firstLine="720"/>
        <w:jc w:val="both"/>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t xml:space="preserve">Figura 1:  Esquema de los determinantes del spread de deuda corporativa en Brasil</w:t>
      </w:r>
    </w:p>
    <w:p w:rsidR="00000000" w:rsidDel="00000000" w:rsidP="00000000" w:rsidRDefault="00000000" w:rsidRPr="00000000" w14:paraId="00000049">
      <w:pPr>
        <w:ind w:left="0" w:firstLine="0"/>
        <w:jc w:val="both"/>
        <w:rPr/>
      </w:pPr>
      <w:r w:rsidDel="00000000" w:rsidR="00000000" w:rsidRPr="00000000">
        <w:rPr/>
        <w:drawing>
          <wp:inline distB="114300" distT="114300" distL="114300" distR="114300">
            <wp:extent cx="5579435" cy="1257300"/>
            <wp:effectExtent b="9525" l="9525" r="9525" t="9525"/>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79435" cy="1257300"/>
                    </a:xfrm>
                    <a:prstGeom prst="rect"/>
                    <a:ln w="9525">
                      <a:solidFill>
                        <a:srgbClr val="918F8E"/>
                      </a:solidFill>
                      <a:prstDash val="dash"/>
                    </a:ln>
                  </pic:spPr>
                </pic:pic>
              </a:graphicData>
            </a:graphic>
          </wp:inline>
        </w:drawing>
      </w: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Fuente: Elaboración propia basada en literatura relevante sobre spreads soberanos y corporativos en Brasil (ver Gómez-González et al., 2022; Grandes et al., 2017; Carvalho &amp; Marques, 2020).</w:t>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ind w:left="0" w:firstLine="720"/>
        <w:jc w:val="both"/>
        <w:rPr/>
      </w:pPr>
      <w:r w:rsidDel="00000000" w:rsidR="00000000" w:rsidRPr="00000000">
        <w:rPr>
          <w:rtl w:val="0"/>
        </w:rPr>
        <w:t xml:space="preserve">Como se observa en el esquema, el spread soberano cumple un rol central como canal de transmisión entre los shocks globales y los costos de financiamiento privado, actuando muchas veces como un “techo” que limita la reducción del riesgo percibido por los inversores. Asimismo, las características propias de las emisiones y de las empresas emisoras (como el plazo, tamaño, apalancamiento o liquidez) contribuyen a explicar la heterogeneidad de los spreads, incluso una vez controlado por los factores sistémicos.</w:t>
      </w:r>
    </w:p>
    <w:p w:rsidR="00000000" w:rsidDel="00000000" w:rsidP="00000000" w:rsidRDefault="00000000" w:rsidRPr="00000000" w14:paraId="0000004D">
      <w:pPr>
        <w:ind w:firstLine="720"/>
        <w:jc w:val="both"/>
        <w:rPr/>
      </w:pPr>
      <w:r w:rsidDel="00000000" w:rsidR="00000000" w:rsidRPr="00000000">
        <w:rPr>
          <w:rtl w:val="0"/>
        </w:rPr>
      </w:r>
    </w:p>
    <w:p w:rsidR="00000000" w:rsidDel="00000000" w:rsidP="00000000" w:rsidRDefault="00000000" w:rsidRPr="00000000" w14:paraId="0000004E">
      <w:pPr>
        <w:ind w:firstLine="720"/>
        <w:jc w:val="both"/>
        <w:rPr/>
      </w:pPr>
      <w:r w:rsidDel="00000000" w:rsidR="00000000" w:rsidRPr="00000000">
        <w:rPr>
          <w:rtl w:val="0"/>
        </w:rPr>
        <w:t xml:space="preserve">La pregunta principal que guía el estudio es:</w:t>
      </w:r>
    </w:p>
    <w:p w:rsidR="00000000" w:rsidDel="00000000" w:rsidP="00000000" w:rsidRDefault="00000000" w:rsidRPr="00000000" w14:paraId="0000004F">
      <w:pPr>
        <w:ind w:firstLine="720"/>
        <w:jc w:val="both"/>
        <w:rPr/>
      </w:pPr>
      <w:r w:rsidDel="00000000" w:rsidR="00000000" w:rsidRPr="00000000">
        <w:rPr>
          <w:rtl w:val="0"/>
        </w:rPr>
      </w:r>
    </w:p>
    <w:p w:rsidR="00000000" w:rsidDel="00000000" w:rsidP="00000000" w:rsidRDefault="00000000" w:rsidRPr="00000000" w14:paraId="00000050">
      <w:pPr>
        <w:ind w:firstLine="720"/>
        <w:jc w:val="both"/>
        <w:rPr/>
      </w:pPr>
      <w:r w:rsidDel="00000000" w:rsidR="00000000" w:rsidRPr="00000000">
        <w:rPr>
          <w:rtl w:val="0"/>
        </w:rPr>
        <w:t xml:space="preserve">¿Cuáles son los principales determinantes globales, soberanos e idiosincráticos de los spreads de deuda corporativa en los mercados de deuda locales denominados en reales en Brasil?</w:t>
      </w:r>
    </w:p>
    <w:p w:rsidR="00000000" w:rsidDel="00000000" w:rsidP="00000000" w:rsidRDefault="00000000" w:rsidRPr="00000000" w14:paraId="00000051">
      <w:pPr>
        <w:ind w:firstLine="720"/>
        <w:jc w:val="both"/>
        <w:rPr/>
      </w:pPr>
      <w:r w:rsidDel="00000000" w:rsidR="00000000" w:rsidRPr="00000000">
        <w:rPr>
          <w:rtl w:val="0"/>
        </w:rPr>
      </w:r>
    </w:p>
    <w:p w:rsidR="00000000" w:rsidDel="00000000" w:rsidP="00000000" w:rsidRDefault="00000000" w:rsidRPr="00000000" w14:paraId="00000052">
      <w:pPr>
        <w:ind w:firstLine="720"/>
        <w:jc w:val="both"/>
        <w:rPr/>
      </w:pPr>
      <w:r w:rsidDel="00000000" w:rsidR="00000000" w:rsidRPr="00000000">
        <w:rPr>
          <w:rtl w:val="0"/>
        </w:rPr>
        <w:t xml:space="preserve">Y en particular:</w:t>
      </w:r>
    </w:p>
    <w:p w:rsidR="00000000" w:rsidDel="00000000" w:rsidP="00000000" w:rsidRDefault="00000000" w:rsidRPr="00000000" w14:paraId="00000053">
      <w:pPr>
        <w:ind w:firstLine="720"/>
        <w:jc w:val="both"/>
        <w:rPr/>
      </w:pPr>
      <w:r w:rsidDel="00000000" w:rsidR="00000000" w:rsidRPr="00000000">
        <w:rPr>
          <w:rtl w:val="0"/>
        </w:rPr>
      </w:r>
    </w:p>
    <w:p w:rsidR="00000000" w:rsidDel="00000000" w:rsidP="00000000" w:rsidRDefault="00000000" w:rsidRPr="00000000" w14:paraId="00000054">
      <w:pPr>
        <w:numPr>
          <w:ilvl w:val="0"/>
          <w:numId w:val="3"/>
        </w:numPr>
        <w:ind w:left="1440" w:hanging="360"/>
        <w:jc w:val="both"/>
        <w:rPr>
          <w:u w:val="none"/>
        </w:rPr>
      </w:pPr>
      <w:r w:rsidDel="00000000" w:rsidR="00000000" w:rsidRPr="00000000">
        <w:rPr>
          <w:rtl w:val="0"/>
        </w:rPr>
        <w:t xml:space="preserve">¿Cómo reaccionan los spreads corporativos locales ante factores globales como el índice VIX o los cambios en las tasas de interés internacionales?</w:t>
      </w:r>
    </w:p>
    <w:p w:rsidR="00000000" w:rsidDel="00000000" w:rsidP="00000000" w:rsidRDefault="00000000" w:rsidRPr="00000000" w14:paraId="00000055">
      <w:pPr>
        <w:numPr>
          <w:ilvl w:val="0"/>
          <w:numId w:val="3"/>
        </w:numPr>
        <w:ind w:left="1440" w:hanging="360"/>
        <w:jc w:val="both"/>
        <w:rPr>
          <w:u w:val="none"/>
        </w:rPr>
      </w:pPr>
      <w:r w:rsidDel="00000000" w:rsidR="00000000" w:rsidRPr="00000000">
        <w:rPr>
          <w:rtl w:val="0"/>
        </w:rPr>
        <w:t xml:space="preserve">¿Qué relación existe entre los spreads soberanos y corporativos en el contexto brasileño?</w:t>
      </w:r>
    </w:p>
    <w:p w:rsidR="00000000" w:rsidDel="00000000" w:rsidP="00000000" w:rsidRDefault="00000000" w:rsidRPr="00000000" w14:paraId="00000056">
      <w:pPr>
        <w:numPr>
          <w:ilvl w:val="0"/>
          <w:numId w:val="3"/>
        </w:numPr>
        <w:ind w:left="1440" w:hanging="360"/>
        <w:jc w:val="both"/>
        <w:rPr>
          <w:u w:val="none"/>
        </w:rPr>
      </w:pPr>
      <w:r w:rsidDel="00000000" w:rsidR="00000000" w:rsidRPr="00000000">
        <w:rPr>
          <w:rtl w:val="0"/>
        </w:rPr>
        <w:t xml:space="preserve">¿Qué peso tienen las características individuales de las empresas —como el apalancamiento, la liquidez o el tamaño— en la determinación de los spreads?</w:t>
      </w:r>
    </w:p>
    <w:p w:rsidR="00000000" w:rsidDel="00000000" w:rsidP="00000000" w:rsidRDefault="00000000" w:rsidRPr="00000000" w14:paraId="00000057">
      <w:pPr>
        <w:ind w:firstLine="720"/>
        <w:jc w:val="both"/>
        <w:rPr/>
      </w:pPr>
      <w:r w:rsidDel="00000000" w:rsidR="00000000" w:rsidRPr="00000000">
        <w:rPr>
          <w:rtl w:val="0"/>
        </w:rPr>
      </w:r>
    </w:p>
    <w:p w:rsidR="00000000" w:rsidDel="00000000" w:rsidP="00000000" w:rsidRDefault="00000000" w:rsidRPr="00000000" w14:paraId="00000058">
      <w:pPr>
        <w:ind w:firstLine="720"/>
        <w:jc w:val="both"/>
        <w:rPr/>
      </w:pPr>
      <w:r w:rsidDel="00000000" w:rsidR="00000000" w:rsidRPr="00000000">
        <w:rPr>
          <w:rtl w:val="0"/>
        </w:rPr>
        <w:t xml:space="preserve">Estas preguntas son relevantes tanto para la investigación académica como para el diseño de políticas que promuevan un mercado de deuda corporativa más profundo, eficiente y resiliente. Permiten además establecer vínculos entre el análisis financiero y la macroeconomía aplicada, integrando elementos de riesgo soberano, exposición a shocks externos y heterogeneidad empresarial.</w:t>
      </w:r>
    </w:p>
    <w:p w:rsidR="00000000" w:rsidDel="00000000" w:rsidP="00000000" w:rsidRDefault="00000000" w:rsidRPr="00000000" w14:paraId="00000059">
      <w:pPr>
        <w:ind w:firstLine="720"/>
        <w:jc w:val="both"/>
        <w:rPr/>
      </w:pPr>
      <w:r w:rsidDel="00000000" w:rsidR="00000000" w:rsidRPr="00000000">
        <w:rPr>
          <w:rtl w:val="0"/>
        </w:rPr>
      </w:r>
    </w:p>
    <w:p w:rsidR="00000000" w:rsidDel="00000000" w:rsidP="00000000" w:rsidRDefault="00000000" w:rsidRPr="00000000" w14:paraId="0000005A">
      <w:pPr>
        <w:ind w:firstLine="720"/>
        <w:jc w:val="both"/>
        <w:rPr/>
      </w:pPr>
      <w:r w:rsidDel="00000000" w:rsidR="00000000" w:rsidRPr="00000000">
        <w:rPr>
          <w:rtl w:val="0"/>
        </w:rPr>
        <w:t xml:space="preserve">Estas preguntas orientan los objetivos específicos del trabajo, que buscan identificar empíricamente las relaciones entre los spreads corporativos y sus determinantes macroeconómicos, en el contexto del mercado brasileño de deuda local.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Objetivos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Objetivo general: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t xml:space="preserve">Analizar los factores macroeconómicos que determinan la evolución de los spreads de deuda corporativa en Brasil entre 1993 y 2025, con el fin de evaluar sus implicancias para la sostenibilidad del financiamiento empresarial en un contexto de alta volatilidad macroeconómica y financiera.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Objetivos específicos:</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Estimar un modelo econométrico de tipo VECM (o VAR, en caso de no verificarse cointegración) para identificar relaciones de corto y largo plazo entre los spreads corporativos y variables macroeconómicas relevantes.</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Analizar la relación entre el spread soberano y los spreads corporativos, evaluando el grado de transmisión del riesgo país hacia el sector privado.</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Evaluar el impacto de shocks macroeconómicos globales (como la aversión al riesgo medida por el índice VIX y los cambios en tasas internacionales) y locales (política fiscal, tipo de cambio, inflación) sobre los spreads corporativos, utilizando funciones de impulso-respuesta y descomposición de varianza.</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Determinar en qué medida las características específicas de las emisiones (plazo, tamaño) y de las empresas (apalancamiento, liquidez, tamaño) explican la dispersión de spreads, más allá de los factores macroeconómicos sistémicos.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t xml:space="preserve">Estos objetivos derivan directamente de las preguntas formuladas en la sección anterior y guían la estrategia empírica del trabajo. En conjunto, permiten abordar de manera estructurada el fenómeno de los spreads corporativos desde una perspectiva integral, articulando factores globales, nacionales y microeconómicos.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both"/>
        <w:rPr/>
      </w:pPr>
      <w:r w:rsidDel="00000000" w:rsidR="00000000" w:rsidRPr="00000000">
        <w:rPr>
          <w:rtl w:val="0"/>
        </w:rPr>
        <w:t xml:space="preserve">La metodología propuesta se basa en herramientas econométricas modernas y un panel extenso de datos a nivel de empresa y emisión, lo que permitirá contrastar empíricamente las hipótesis del estudio y aportar evidencia sólida para el debate académico y de política económica.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Hipótesis</w:t>
      </w:r>
    </w:p>
    <w:p w:rsidR="00000000" w:rsidDel="00000000" w:rsidP="00000000" w:rsidRDefault="00000000" w:rsidRPr="00000000" w14:paraId="0000006D">
      <w:pPr>
        <w:ind w:left="0" w:firstLine="0"/>
        <w:jc w:val="both"/>
        <w:rPr>
          <w:color w:val="ff0000"/>
        </w:rPr>
      </w:pPr>
      <w:r w:rsidDel="00000000" w:rsidR="00000000" w:rsidRPr="00000000">
        <w:rPr>
          <w:rtl w:val="0"/>
        </w:rPr>
      </w:r>
    </w:p>
    <w:p w:rsidR="00000000" w:rsidDel="00000000" w:rsidP="00000000" w:rsidRDefault="00000000" w:rsidRPr="00000000" w14:paraId="0000006E">
      <w:pPr>
        <w:ind w:firstLine="708"/>
        <w:jc w:val="both"/>
        <w:rPr/>
      </w:pPr>
      <w:r w:rsidDel="00000000" w:rsidR="00000000" w:rsidRPr="00000000">
        <w:rPr>
          <w:rtl w:val="0"/>
        </w:rPr>
        <w:t xml:space="preserve">La hipótesis central de este trabajo es que los spreads de deuda corporativa en los mercados locales denominados en reales en Brasil están significativamente determinados por factores globales y por el riesgo soberano, el cual actúa como un canal de transmisión de las condiciones macroeconómicas al sector privado. Esta transmisión se manifiesta particularmente en contextos de estrés financiero internacional o de aumento en la percepción de riesgo país.</w:t>
      </w:r>
    </w:p>
    <w:p w:rsidR="00000000" w:rsidDel="00000000" w:rsidP="00000000" w:rsidRDefault="00000000" w:rsidRPr="00000000" w14:paraId="0000006F">
      <w:pPr>
        <w:ind w:firstLine="708"/>
        <w:jc w:val="both"/>
        <w:rPr/>
      </w:pPr>
      <w:r w:rsidDel="00000000" w:rsidR="00000000" w:rsidRPr="00000000">
        <w:rPr>
          <w:rtl w:val="0"/>
        </w:rPr>
      </w:r>
    </w:p>
    <w:p w:rsidR="00000000" w:rsidDel="00000000" w:rsidP="00000000" w:rsidRDefault="00000000" w:rsidRPr="00000000" w14:paraId="00000070">
      <w:pPr>
        <w:ind w:firstLine="708"/>
        <w:jc w:val="both"/>
        <w:rPr/>
      </w:pPr>
      <w:r w:rsidDel="00000000" w:rsidR="00000000" w:rsidRPr="00000000">
        <w:rPr>
          <w:rtl w:val="0"/>
        </w:rPr>
        <w:t xml:space="preserve">Estas relaciones persisten incluso controlando por características específicas de las emisiones y de las empresas, tales como la madurez del bono (</w:t>
      </w:r>
      <w:r w:rsidDel="00000000" w:rsidR="00000000" w:rsidRPr="00000000">
        <w:rPr>
          <w:i w:val="1"/>
          <w:rtl w:val="0"/>
        </w:rPr>
        <w:t xml:space="preserve">“days to maturity”</w:t>
      </w:r>
      <w:r w:rsidDel="00000000" w:rsidR="00000000" w:rsidRPr="00000000">
        <w:rPr>
          <w:rtl w:val="0"/>
        </w:rPr>
        <w:t xml:space="preserve">), el apalancamiento (</w:t>
      </w:r>
      <w:r w:rsidDel="00000000" w:rsidR="00000000" w:rsidRPr="00000000">
        <w:rPr>
          <w:i w:val="1"/>
          <w:rtl w:val="0"/>
        </w:rPr>
        <w:t xml:space="preserve">“leverage”</w:t>
      </w:r>
      <w:r w:rsidDel="00000000" w:rsidR="00000000" w:rsidRPr="00000000">
        <w:rPr>
          <w:rtl w:val="0"/>
        </w:rPr>
        <w:t xml:space="preserve">), la liquidez y el tamaño de la firma, entre otras.</w:t>
      </w:r>
    </w:p>
    <w:p w:rsidR="00000000" w:rsidDel="00000000" w:rsidP="00000000" w:rsidRDefault="00000000" w:rsidRPr="00000000" w14:paraId="00000071">
      <w:pPr>
        <w:ind w:firstLine="708"/>
        <w:jc w:val="both"/>
        <w:rPr/>
      </w:pPr>
      <w:r w:rsidDel="00000000" w:rsidR="00000000" w:rsidRPr="00000000">
        <w:rPr>
          <w:rtl w:val="0"/>
        </w:rPr>
      </w:r>
    </w:p>
    <w:p w:rsidR="00000000" w:rsidDel="00000000" w:rsidP="00000000" w:rsidRDefault="00000000" w:rsidRPr="00000000" w14:paraId="00000072">
      <w:pPr>
        <w:ind w:firstLine="708"/>
        <w:jc w:val="both"/>
        <w:rPr/>
      </w:pPr>
      <w:r w:rsidDel="00000000" w:rsidR="00000000" w:rsidRPr="00000000">
        <w:rPr>
          <w:rtl w:val="0"/>
        </w:rPr>
        <w:t xml:space="preserve">De esta hipótesis general se derivan las siguientes hipótesis específicas:</w:t>
      </w:r>
    </w:p>
    <w:p w:rsidR="00000000" w:rsidDel="00000000" w:rsidP="00000000" w:rsidRDefault="00000000" w:rsidRPr="00000000" w14:paraId="00000073">
      <w:pPr>
        <w:ind w:firstLine="708"/>
        <w:jc w:val="both"/>
        <w:rPr/>
      </w:pPr>
      <w:r w:rsidDel="00000000" w:rsidR="00000000" w:rsidRPr="00000000">
        <w:rPr>
          <w:rtl w:val="0"/>
        </w:rPr>
      </w:r>
    </w:p>
    <w:p w:rsidR="00000000" w:rsidDel="00000000" w:rsidP="00000000" w:rsidRDefault="00000000" w:rsidRPr="00000000" w14:paraId="00000074">
      <w:pPr>
        <w:ind w:firstLine="708"/>
        <w:jc w:val="both"/>
        <w:rPr/>
      </w:pPr>
      <w:r w:rsidDel="00000000" w:rsidR="00000000" w:rsidRPr="00000000">
        <w:rPr>
          <w:rtl w:val="0"/>
        </w:rPr>
        <w:t xml:space="preserve">Hipótesis 1: La evolución del spread soberano brasileño tiene un efecto positivo y estadísticamente significativo sobre los spreads corporativos denominados en reales, actuando como un techo (</w:t>
      </w:r>
      <w:r w:rsidDel="00000000" w:rsidR="00000000" w:rsidRPr="00000000">
        <w:rPr>
          <w:i w:val="1"/>
          <w:rtl w:val="0"/>
        </w:rPr>
        <w:t xml:space="preserve">“sovereign ceiling”</w:t>
      </w:r>
      <w:r w:rsidDel="00000000" w:rsidR="00000000" w:rsidRPr="00000000">
        <w:rPr>
          <w:rtl w:val="0"/>
        </w:rPr>
        <w:t xml:space="preserve">) que limita la reducción del riesgo percibido para emisores privados. Esta hipótesis se sustenta en la literatura sobre el “sovereign ceiling” (Grandes, Panigo &amp; Pasquini, 2017), que documenta cómo el riesgo país funciona como umbral que condiciona el spread corporativo, incluso cuando los fundamentales de las empresas son sólidos. Esta transmisión directa justifica el uso de modelos VECM para captar relaciones de largo plazo entre ambos tipos de spreads.</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firstLine="708"/>
        <w:jc w:val="both"/>
        <w:rPr/>
      </w:pPr>
      <w:r w:rsidDel="00000000" w:rsidR="00000000" w:rsidRPr="00000000">
        <w:rPr>
          <w:rtl w:val="0"/>
        </w:rPr>
        <w:t xml:space="preserve">Hipótesis 2: Shocks externos, como aumentos en la aversión al riesgo global (medida por el índice VIX) o ajustes en las tasas de interés de referencia en economías desarrolladas, generan un aumento en los spreads corporativos en Brasil, a través del canal financiero internacional. Esta hipótesis se vincula con los hallazgos de González‐Rozada &amp; Levy Yeyati (2008) y Gómez-González et al. (2022), que muestran cómo los factores globales influyen en los spreads emergentes. El VECM es adecuado para modelar estos choques exógenos y su efecto dinámico sobre los spreads corporativos en economías abiertas como Brasil.</w:t>
      </w:r>
    </w:p>
    <w:p w:rsidR="00000000" w:rsidDel="00000000" w:rsidP="00000000" w:rsidRDefault="00000000" w:rsidRPr="00000000" w14:paraId="00000077">
      <w:pPr>
        <w:ind w:firstLine="708"/>
        <w:jc w:val="both"/>
        <w:rPr/>
      </w:pPr>
      <w:r w:rsidDel="00000000" w:rsidR="00000000" w:rsidRPr="00000000">
        <w:rPr>
          <w:rtl w:val="0"/>
        </w:rPr>
      </w:r>
    </w:p>
    <w:p w:rsidR="00000000" w:rsidDel="00000000" w:rsidP="00000000" w:rsidRDefault="00000000" w:rsidRPr="00000000" w14:paraId="00000078">
      <w:pPr>
        <w:ind w:firstLine="708"/>
        <w:jc w:val="both"/>
        <w:rPr/>
      </w:pPr>
      <w:r w:rsidDel="00000000" w:rsidR="00000000" w:rsidRPr="00000000">
        <w:rPr>
          <w:rtl w:val="0"/>
        </w:rPr>
        <w:t xml:space="preserve">Hipótesis 3: Las características idiosincráticas de las empresas emisoras (como apalancamiento, liquidez y tamaño) y de los bonos (como plazo hasta el vencimiento) explican parte significativa de la variación en los spreads, capturando riesgos que no están contenidos en las variables sistémicas. Esta hipótesis se inscribe en la literatura de microestructura del mercado de deuda (Carvalho &amp; Marques, 2020), que destaca el papel de variables </w:t>
      </w:r>
      <w:r w:rsidDel="00000000" w:rsidR="00000000" w:rsidRPr="00000000">
        <w:rPr>
          <w:i w:val="1"/>
          <w:rtl w:val="0"/>
        </w:rPr>
        <w:t xml:space="preserve">“firm-specific”</w:t>
      </w:r>
      <w:r w:rsidDel="00000000" w:rsidR="00000000" w:rsidRPr="00000000">
        <w:rPr>
          <w:rtl w:val="0"/>
        </w:rPr>
        <w:t xml:space="preserve"> en la formación del spread. Incluir estas variables permite controlar por heterogeneidad no observada y validar la robustez de las relaciones macro observadas en el modelo dinámico.</w:t>
      </w:r>
    </w:p>
    <w:p w:rsidR="00000000" w:rsidDel="00000000" w:rsidP="00000000" w:rsidRDefault="00000000" w:rsidRPr="00000000" w14:paraId="00000079">
      <w:pPr>
        <w:ind w:firstLine="708"/>
        <w:jc w:val="both"/>
        <w:rPr/>
      </w:pPr>
      <w:r w:rsidDel="00000000" w:rsidR="00000000" w:rsidRPr="00000000">
        <w:rPr>
          <w:rtl w:val="0"/>
        </w:rPr>
      </w:r>
    </w:p>
    <w:p w:rsidR="00000000" w:rsidDel="00000000" w:rsidP="00000000" w:rsidRDefault="00000000" w:rsidRPr="00000000" w14:paraId="0000007A">
      <w:pPr>
        <w:ind w:firstLine="708"/>
        <w:jc w:val="both"/>
        <w:rPr/>
      </w:pPr>
      <w:r w:rsidDel="00000000" w:rsidR="00000000" w:rsidRPr="00000000">
        <w:rPr>
          <w:rtl w:val="0"/>
        </w:rPr>
        <w:t xml:space="preserve">Estas hipótesis serán contrastadas empíricamente mediante la estimación de modelos VECM para datos de panel, pruebas de cointegración y análisis de impulso-respuesta, utilizando datos del período 1993–2025. Esta estrategia permitirá identificar no solo correlaciones estáticas, sino relaciones estructurales y dinámicas entre las variables clave.</w:t>
      </w:r>
      <w:r w:rsidDel="00000000" w:rsidR="00000000" w:rsidRPr="00000000">
        <w:rPr>
          <w:rtl w:val="0"/>
        </w:rPr>
      </w:r>
    </w:p>
    <w:p w:rsidR="00000000" w:rsidDel="00000000" w:rsidP="00000000" w:rsidRDefault="00000000" w:rsidRPr="00000000" w14:paraId="0000007B">
      <w:pPr>
        <w:ind w:firstLine="708"/>
        <w:jc w:val="both"/>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Marco teórico (preliminar)</w:t>
      </w:r>
    </w:p>
    <w:p w:rsidR="00000000" w:rsidDel="00000000" w:rsidP="00000000" w:rsidRDefault="00000000" w:rsidRPr="00000000" w14:paraId="0000007E">
      <w:pPr>
        <w:ind w:left="0" w:firstLine="0"/>
        <w:jc w:val="both"/>
        <w:rPr>
          <w:color w:val="ff0000"/>
        </w:rPr>
      </w:pPr>
      <w:r w:rsidDel="00000000" w:rsidR="00000000" w:rsidRPr="00000000">
        <w:rPr>
          <w:rtl w:val="0"/>
        </w:rPr>
      </w:r>
    </w:p>
    <w:p w:rsidR="00000000" w:rsidDel="00000000" w:rsidP="00000000" w:rsidRDefault="00000000" w:rsidRPr="00000000" w14:paraId="0000007F">
      <w:pPr>
        <w:ind w:firstLine="708"/>
        <w:jc w:val="both"/>
        <w:rPr/>
      </w:pPr>
      <w:r w:rsidDel="00000000" w:rsidR="00000000" w:rsidRPr="00000000">
        <w:rPr>
          <w:rtl w:val="0"/>
        </w:rPr>
        <w:t xml:space="preserve">Este trabajo se inserta en una línea de investigación que conecta tres ramas principales de la literatura sobre spreads de deuda en economías emergentes, y en Brasil en particular. En primer lugar, la microestructura de los mercados de deuda corporativa, que enfatiza el rol de características contractuales e idiosincráticas de las firmas (Carvalho &amp; Marques, 2020). En segundo lugar, los estudios sobre volatilidad macroeconómica y riesgo soberano, que analizan cómo los desequilibrios fiscales, la inflación y el tipo de cambio afectan los spreads (Silva &amp; Paulo, 2015; Liu &amp; Spencer, 2013). Por último, la literatura sobre transmisión entre riesgo soberano y corporativo, que investiga el fenómeno del “sovereign ceiling” y sus implicancias en el financiamiento privado (Grandes et al., 2017; Gómez-González et al., 2022). Esta investigación busca articular estas vertientes mediante un análisis dinámico y empírico de la interacción entre factores globales, soberanos y microeconómicos en el contexto brasileño.</w:t>
      </w:r>
    </w:p>
    <w:p w:rsidR="00000000" w:rsidDel="00000000" w:rsidP="00000000" w:rsidRDefault="00000000" w:rsidRPr="00000000" w14:paraId="00000080">
      <w:pPr>
        <w:ind w:firstLine="708"/>
        <w:jc w:val="both"/>
        <w:rPr/>
      </w:pPr>
      <w:r w:rsidDel="00000000" w:rsidR="00000000" w:rsidRPr="00000000">
        <w:rPr>
          <w:rtl w:val="0"/>
        </w:rPr>
        <w:t xml:space="preserve">Para comprender los determinantes de los spreads de deuda corporativa en Brasil y su relación con variables macroeconómicas, es necesario partir de varios marcos conceptuales interrelacionados que explican tanto la formación de precios del riesgo financiero como los canales de transmisión entre el entorno macroeconómico y los mercados de deuda.</w:t>
      </w:r>
    </w:p>
    <w:p w:rsidR="00000000" w:rsidDel="00000000" w:rsidP="00000000" w:rsidRDefault="00000000" w:rsidRPr="00000000" w14:paraId="00000081">
      <w:pPr>
        <w:ind w:firstLine="708"/>
        <w:jc w:val="both"/>
        <w:rPr/>
      </w:pPr>
      <w:r w:rsidDel="00000000" w:rsidR="00000000" w:rsidRPr="00000000">
        <w:rPr>
          <w:rtl w:val="0"/>
        </w:rPr>
      </w:r>
    </w:p>
    <w:p w:rsidR="00000000" w:rsidDel="00000000" w:rsidP="00000000" w:rsidRDefault="00000000" w:rsidRPr="00000000" w14:paraId="00000082">
      <w:pPr>
        <w:ind w:firstLine="708"/>
        <w:jc w:val="both"/>
        <w:rPr/>
      </w:pPr>
      <w:r w:rsidDel="00000000" w:rsidR="00000000" w:rsidRPr="00000000">
        <w:rPr>
          <w:rtl w:val="0"/>
        </w:rPr>
        <w:t xml:space="preserve">1. Determinación del Spread en Mercados Emergentes</w:t>
      </w:r>
    </w:p>
    <w:p w:rsidR="00000000" w:rsidDel="00000000" w:rsidP="00000000" w:rsidRDefault="00000000" w:rsidRPr="00000000" w14:paraId="00000083">
      <w:pPr>
        <w:ind w:firstLine="708"/>
        <w:jc w:val="both"/>
        <w:rPr/>
      </w:pPr>
      <w:r w:rsidDel="00000000" w:rsidR="00000000" w:rsidRPr="00000000">
        <w:rPr>
          <w:rtl w:val="0"/>
        </w:rPr>
        <w:t xml:space="preserve">Los spreads de deuda corporativa reflejan la prima de riesgo que exigen los inversores por encima de activos libres de riesgo. En mercados emergentes, esta prima incorpora riesgos específicos del emisor, así como riesgos sistémicos, políticos y de liquidez (González‐Rozada &amp; Levy Yeyati, 2008). En particular, la literatura reconoce la influencia de factores externos (como las tasas de interés internacionales y el índice VIX) y factores internos (como política fiscal, inflación y tipo de cambio) en la formación de estos spreads.</w:t>
      </w:r>
    </w:p>
    <w:p w:rsidR="00000000" w:rsidDel="00000000" w:rsidP="00000000" w:rsidRDefault="00000000" w:rsidRPr="00000000" w14:paraId="00000084">
      <w:pPr>
        <w:ind w:firstLine="708"/>
        <w:jc w:val="both"/>
        <w:rPr/>
      </w:pPr>
      <w:r w:rsidDel="00000000" w:rsidR="00000000" w:rsidRPr="00000000">
        <w:rPr>
          <w:rtl w:val="0"/>
        </w:rPr>
      </w:r>
    </w:p>
    <w:p w:rsidR="00000000" w:rsidDel="00000000" w:rsidP="00000000" w:rsidRDefault="00000000" w:rsidRPr="00000000" w14:paraId="00000085">
      <w:pPr>
        <w:ind w:firstLine="708"/>
        <w:jc w:val="both"/>
        <w:rPr/>
      </w:pPr>
      <w:r w:rsidDel="00000000" w:rsidR="00000000" w:rsidRPr="00000000">
        <w:rPr>
          <w:rtl w:val="0"/>
        </w:rPr>
        <w:t xml:space="preserve">2. Riesgo Soberano y “Sovereign Ceiling”</w:t>
      </w:r>
    </w:p>
    <w:p w:rsidR="00000000" w:rsidDel="00000000" w:rsidP="00000000" w:rsidRDefault="00000000" w:rsidRPr="00000000" w14:paraId="00000086">
      <w:pPr>
        <w:ind w:firstLine="708"/>
        <w:jc w:val="both"/>
        <w:rPr/>
      </w:pPr>
      <w:r w:rsidDel="00000000" w:rsidR="00000000" w:rsidRPr="00000000">
        <w:rPr>
          <w:rtl w:val="0"/>
        </w:rPr>
        <w:t xml:space="preserve">Una línea teórica central en este trabajo es la noción del “sovereign ceiling” o techo soberano, según la cual las empresas de un país no pueden tener un riesgo menor al soberano (Durbin &amp; Ng, 2001; Grandes &amp; Peter, 2005; Grandes, Panigo &amp; Pasquini, 2017). Esto implica una transmisión directa del riesgo país hacia los emisores corporativos, especialmente en contextos de crisis o deterioro fiscal.</w:t>
      </w:r>
    </w:p>
    <w:p w:rsidR="00000000" w:rsidDel="00000000" w:rsidP="00000000" w:rsidRDefault="00000000" w:rsidRPr="00000000" w14:paraId="00000087">
      <w:pPr>
        <w:ind w:firstLine="708"/>
        <w:jc w:val="both"/>
        <w:rPr/>
      </w:pPr>
      <w:r w:rsidDel="00000000" w:rsidR="00000000" w:rsidRPr="00000000">
        <w:rPr>
          <w:rtl w:val="0"/>
        </w:rPr>
      </w:r>
    </w:p>
    <w:p w:rsidR="00000000" w:rsidDel="00000000" w:rsidP="00000000" w:rsidRDefault="00000000" w:rsidRPr="00000000" w14:paraId="00000088">
      <w:pPr>
        <w:ind w:firstLine="708"/>
        <w:jc w:val="both"/>
        <w:rPr/>
      </w:pPr>
      <w:r w:rsidDel="00000000" w:rsidR="00000000" w:rsidRPr="00000000">
        <w:rPr>
          <w:rtl w:val="0"/>
        </w:rPr>
        <w:t xml:space="preserve">3. Factores Globales y Transmisión de Shocks</w:t>
      </w:r>
    </w:p>
    <w:p w:rsidR="00000000" w:rsidDel="00000000" w:rsidP="00000000" w:rsidRDefault="00000000" w:rsidRPr="00000000" w14:paraId="00000089">
      <w:pPr>
        <w:ind w:firstLine="708"/>
        <w:jc w:val="both"/>
        <w:rPr/>
      </w:pPr>
      <w:r w:rsidDel="00000000" w:rsidR="00000000" w:rsidRPr="00000000">
        <w:rPr>
          <w:rtl w:val="0"/>
        </w:rPr>
        <w:t xml:space="preserve">Diversos estudios (Gómez-González, Uribe &amp; Valencia, 2022) han documentado cómo los factores globales, como la aversión al riesgo y los precios de los commodities, afectan a los spreads tanto soberanos como corporativos en América Latina. Esta transmisión se produce a través del canal financiero internacional, impactando en el acceso y costo del financiamiento corporativo.</w:t>
      </w:r>
    </w:p>
    <w:p w:rsidR="00000000" w:rsidDel="00000000" w:rsidP="00000000" w:rsidRDefault="00000000" w:rsidRPr="00000000" w14:paraId="0000008A">
      <w:pPr>
        <w:ind w:left="0" w:firstLine="0"/>
        <w:jc w:val="both"/>
        <w:rPr/>
      </w:pPr>
      <w:r w:rsidDel="00000000" w:rsidR="00000000" w:rsidRPr="00000000">
        <w:rPr>
          <w:rtl w:val="0"/>
        </w:rPr>
      </w:r>
    </w:p>
    <w:p w:rsidR="00000000" w:rsidDel="00000000" w:rsidP="00000000" w:rsidRDefault="00000000" w:rsidRPr="00000000" w14:paraId="0000008B">
      <w:pPr>
        <w:jc w:val="both"/>
        <w:rPr>
          <w:color w:val="339966"/>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Metodología y técnicas a utilizar</w:t>
      </w:r>
    </w:p>
    <w:p w:rsidR="00000000" w:rsidDel="00000000" w:rsidP="00000000" w:rsidRDefault="00000000" w:rsidRPr="00000000" w14:paraId="0000008D">
      <w:pPr>
        <w:spacing w:after="200" w:line="276" w:lineRule="auto"/>
        <w:rPr/>
      </w:pPr>
      <w:r w:rsidDel="00000000" w:rsidR="00000000" w:rsidRPr="00000000">
        <w:rPr>
          <w:rtl w:val="0"/>
        </w:rPr>
      </w:r>
    </w:p>
    <w:p w:rsidR="00000000" w:rsidDel="00000000" w:rsidP="00000000" w:rsidRDefault="00000000" w:rsidRPr="00000000" w14:paraId="0000008E">
      <w:pPr>
        <w:spacing w:after="200" w:line="276" w:lineRule="auto"/>
        <w:ind w:firstLine="720"/>
        <w:rPr/>
      </w:pPr>
      <w:r w:rsidDel="00000000" w:rsidR="00000000" w:rsidRPr="00000000">
        <w:rPr>
          <w:rtl w:val="0"/>
        </w:rPr>
        <w:t xml:space="preserve">El presente trabajo adoptará un enfoque cuantitativo, explicativo y correlacional, con un diseño no experimental, longitudinal, retrospectivo y de datos de panel dinámico, adecuado para analizar relaciones de dependencia entre variables económicas y financieras a lo largo del período 1993–2025 sin intervención directa del investigador.</w:t>
      </w:r>
    </w:p>
    <w:p w:rsidR="00000000" w:rsidDel="00000000" w:rsidP="00000000" w:rsidRDefault="00000000" w:rsidRPr="00000000" w14:paraId="0000008F">
      <w:pPr>
        <w:spacing w:after="200" w:line="276" w:lineRule="auto"/>
        <w:ind w:firstLine="720"/>
        <w:rPr/>
      </w:pPr>
      <w:r w:rsidDel="00000000" w:rsidR="00000000" w:rsidRPr="00000000">
        <w:rPr>
          <w:rtl w:val="0"/>
        </w:rPr>
        <w:t xml:space="preserve">La unidad de análisis estará compuesta por bonos corporativos emitidos en moneda local (reales) por empresas brasileñas en el mercado doméstico. El análisis se realizará sobre una base de datos en panel estructurada a nivel de empresa y emisión, con observaciones trimestrales o mensuales, dependiendo de la disponibilidad de datos.</w:t>
      </w:r>
    </w:p>
    <w:p w:rsidR="00000000" w:rsidDel="00000000" w:rsidP="00000000" w:rsidRDefault="00000000" w:rsidRPr="00000000" w14:paraId="00000090">
      <w:pPr>
        <w:spacing w:after="200" w:line="276" w:lineRule="auto"/>
        <w:ind w:firstLine="720"/>
        <w:rPr/>
      </w:pPr>
      <w:r w:rsidDel="00000000" w:rsidR="00000000" w:rsidRPr="00000000">
        <w:rPr>
          <w:rtl w:val="0"/>
        </w:rPr>
        <w:t xml:space="preserve">Variables principales:</w:t>
      </w:r>
    </w:p>
    <w:p w:rsidR="00000000" w:rsidDel="00000000" w:rsidP="00000000" w:rsidRDefault="00000000" w:rsidRPr="00000000" w14:paraId="00000091">
      <w:pPr>
        <w:numPr>
          <w:ilvl w:val="0"/>
          <w:numId w:val="9"/>
        </w:numPr>
        <w:spacing w:after="0" w:afterAutospacing="0" w:line="276" w:lineRule="auto"/>
        <w:ind w:left="1440" w:hanging="360"/>
        <w:rPr>
          <w:u w:val="none"/>
        </w:rPr>
      </w:pPr>
      <w:r w:rsidDel="00000000" w:rsidR="00000000" w:rsidRPr="00000000">
        <w:rPr>
          <w:rtl w:val="0"/>
        </w:rPr>
        <w:t xml:space="preserve">Dependiente:</w:t>
      </w:r>
    </w:p>
    <w:p w:rsidR="00000000" w:rsidDel="00000000" w:rsidP="00000000" w:rsidRDefault="00000000" w:rsidRPr="00000000" w14:paraId="00000092">
      <w:pPr>
        <w:numPr>
          <w:ilvl w:val="1"/>
          <w:numId w:val="9"/>
        </w:numPr>
        <w:spacing w:after="0" w:afterAutospacing="0" w:line="276" w:lineRule="auto"/>
        <w:ind w:left="2160" w:hanging="360"/>
        <w:rPr>
          <w:u w:val="none"/>
        </w:rPr>
      </w:pPr>
      <w:r w:rsidDel="00000000" w:rsidR="00000000" w:rsidRPr="00000000">
        <w:rPr>
          <w:rtl w:val="0"/>
        </w:rPr>
        <w:t xml:space="preserve">Spread de deuda corporativa en reales (por emisión o promedio ponderado).</w:t>
      </w:r>
    </w:p>
    <w:p w:rsidR="00000000" w:rsidDel="00000000" w:rsidP="00000000" w:rsidRDefault="00000000" w:rsidRPr="00000000" w14:paraId="00000093">
      <w:pPr>
        <w:numPr>
          <w:ilvl w:val="0"/>
          <w:numId w:val="9"/>
        </w:numPr>
        <w:spacing w:after="0" w:afterAutospacing="0" w:line="276" w:lineRule="auto"/>
        <w:ind w:left="1440" w:hanging="360"/>
        <w:rPr>
          <w:u w:val="none"/>
        </w:rPr>
      </w:pPr>
      <w:r w:rsidDel="00000000" w:rsidR="00000000" w:rsidRPr="00000000">
        <w:rPr>
          <w:rtl w:val="0"/>
        </w:rPr>
        <w:t xml:space="preserve">Explicativas:</w:t>
      </w:r>
    </w:p>
    <w:p w:rsidR="00000000" w:rsidDel="00000000" w:rsidP="00000000" w:rsidRDefault="00000000" w:rsidRPr="00000000" w14:paraId="00000094">
      <w:pPr>
        <w:numPr>
          <w:ilvl w:val="1"/>
          <w:numId w:val="9"/>
        </w:numPr>
        <w:spacing w:after="0" w:afterAutospacing="0" w:line="276" w:lineRule="auto"/>
        <w:ind w:left="2160" w:hanging="360"/>
        <w:rPr>
          <w:u w:val="none"/>
        </w:rPr>
      </w:pPr>
      <w:r w:rsidDel="00000000" w:rsidR="00000000" w:rsidRPr="00000000">
        <w:rPr>
          <w:rtl w:val="0"/>
        </w:rPr>
        <w:t xml:space="preserve">Spread soberano en reales: dado que no existe un EMBI local soberano en reales publicado, se construirá un spread soberano en moneda local basado en bonos soberanos emitidos en Brasil en reales, emparejados por madurez y tipo de instrumento con los bonos corporativos.</w:t>
      </w:r>
    </w:p>
    <w:p w:rsidR="00000000" w:rsidDel="00000000" w:rsidP="00000000" w:rsidRDefault="00000000" w:rsidRPr="00000000" w14:paraId="00000095">
      <w:pPr>
        <w:numPr>
          <w:ilvl w:val="1"/>
          <w:numId w:val="9"/>
        </w:numPr>
        <w:spacing w:after="0" w:afterAutospacing="0" w:line="276" w:lineRule="auto"/>
        <w:ind w:left="2160" w:hanging="360"/>
        <w:rPr>
          <w:u w:val="none"/>
        </w:rPr>
      </w:pPr>
      <w:r w:rsidDel="00000000" w:rsidR="00000000" w:rsidRPr="00000000">
        <w:rPr>
          <w:rtl w:val="0"/>
        </w:rPr>
        <w:t xml:space="preserve">Índice VIX (aversión global al riesgo)</w:t>
      </w:r>
    </w:p>
    <w:p w:rsidR="00000000" w:rsidDel="00000000" w:rsidP="00000000" w:rsidRDefault="00000000" w:rsidRPr="00000000" w14:paraId="00000096">
      <w:pPr>
        <w:numPr>
          <w:ilvl w:val="1"/>
          <w:numId w:val="9"/>
        </w:numPr>
        <w:spacing w:after="0" w:afterAutospacing="0" w:line="276" w:lineRule="auto"/>
        <w:ind w:left="2160" w:hanging="360"/>
        <w:rPr>
          <w:u w:val="none"/>
        </w:rPr>
      </w:pPr>
      <w:r w:rsidDel="00000000" w:rsidR="00000000" w:rsidRPr="00000000">
        <w:rPr>
          <w:rtl w:val="0"/>
        </w:rPr>
        <w:t xml:space="preserve">Tasas de interés internacionales (e.g. Fed Funds Rate)</w:t>
      </w:r>
    </w:p>
    <w:p w:rsidR="00000000" w:rsidDel="00000000" w:rsidP="00000000" w:rsidRDefault="00000000" w:rsidRPr="00000000" w14:paraId="00000097">
      <w:pPr>
        <w:numPr>
          <w:ilvl w:val="1"/>
          <w:numId w:val="9"/>
        </w:numPr>
        <w:spacing w:after="0" w:afterAutospacing="0" w:line="276" w:lineRule="auto"/>
        <w:ind w:left="2160" w:hanging="360"/>
        <w:rPr>
          <w:u w:val="none"/>
        </w:rPr>
      </w:pPr>
      <w:r w:rsidDel="00000000" w:rsidR="00000000" w:rsidRPr="00000000">
        <w:rPr>
          <w:rtl w:val="0"/>
        </w:rPr>
        <w:t xml:space="preserve">Características del bono: madurez, monto emitido, tipo de instrumento</w:t>
      </w:r>
    </w:p>
    <w:p w:rsidR="00000000" w:rsidDel="00000000" w:rsidP="00000000" w:rsidRDefault="00000000" w:rsidRPr="00000000" w14:paraId="00000098">
      <w:pPr>
        <w:numPr>
          <w:ilvl w:val="1"/>
          <w:numId w:val="9"/>
        </w:numPr>
        <w:spacing w:after="200" w:line="276" w:lineRule="auto"/>
        <w:ind w:left="2160" w:hanging="360"/>
        <w:rPr>
          <w:u w:val="none"/>
        </w:rPr>
      </w:pPr>
      <w:r w:rsidDel="00000000" w:rsidR="00000000" w:rsidRPr="00000000">
        <w:rPr>
          <w:rtl w:val="0"/>
        </w:rPr>
        <w:t xml:space="preserve">Características de la empresa: apalancamiento, liquidez, monto de activos, sector económico</w:t>
      </w:r>
    </w:p>
    <w:p w:rsidR="00000000" w:rsidDel="00000000" w:rsidP="00000000" w:rsidRDefault="00000000" w:rsidRPr="00000000" w14:paraId="00000099">
      <w:pPr>
        <w:spacing w:after="200" w:line="276" w:lineRule="auto"/>
        <w:ind w:firstLine="720"/>
        <w:rPr/>
      </w:pPr>
      <w:r w:rsidDel="00000000" w:rsidR="00000000" w:rsidRPr="00000000">
        <w:rPr>
          <w:rtl w:val="0"/>
        </w:rPr>
        <w:t xml:space="preserve">Las variables macroeconómicas locales (tipo de cambio, inflación, crecimiento del PIB, deuda pública) estarán parcialmente incorporadas en el spread soberano y por lo tanto no se incluirán de forma redundante.</w:t>
      </w:r>
    </w:p>
    <w:p w:rsidR="00000000" w:rsidDel="00000000" w:rsidP="00000000" w:rsidRDefault="00000000" w:rsidRPr="00000000" w14:paraId="0000009A">
      <w:pPr>
        <w:spacing w:after="200" w:line="276" w:lineRule="auto"/>
        <w:ind w:firstLine="720"/>
        <w:rPr/>
      </w:pPr>
      <w:r w:rsidDel="00000000" w:rsidR="00000000" w:rsidRPr="00000000">
        <w:rPr>
          <w:rtl w:val="0"/>
        </w:rPr>
        <w:t xml:space="preserve">Fuentes de datos secundarias:</w:t>
      </w:r>
    </w:p>
    <w:p w:rsidR="00000000" w:rsidDel="00000000" w:rsidP="00000000" w:rsidRDefault="00000000" w:rsidRPr="00000000" w14:paraId="0000009B">
      <w:pPr>
        <w:numPr>
          <w:ilvl w:val="0"/>
          <w:numId w:val="5"/>
        </w:numPr>
        <w:spacing w:after="0" w:afterAutospacing="0" w:line="276" w:lineRule="auto"/>
        <w:ind w:left="1440" w:hanging="360"/>
        <w:rPr>
          <w:u w:val="none"/>
        </w:rPr>
      </w:pPr>
      <w:r w:rsidDel="00000000" w:rsidR="00000000" w:rsidRPr="00000000">
        <w:rPr>
          <w:rtl w:val="0"/>
        </w:rPr>
        <w:t xml:space="preserve">Banco Central de Brasil (BCB)</w:t>
      </w:r>
    </w:p>
    <w:p w:rsidR="00000000" w:rsidDel="00000000" w:rsidP="00000000" w:rsidRDefault="00000000" w:rsidRPr="00000000" w14:paraId="0000009C">
      <w:pPr>
        <w:numPr>
          <w:ilvl w:val="0"/>
          <w:numId w:val="5"/>
        </w:numPr>
        <w:spacing w:after="0" w:afterAutospacing="0" w:line="276" w:lineRule="auto"/>
        <w:ind w:left="1440" w:hanging="360"/>
        <w:rPr>
          <w:u w:val="none"/>
        </w:rPr>
      </w:pPr>
      <w:r w:rsidDel="00000000" w:rsidR="00000000" w:rsidRPr="00000000">
        <w:rPr>
          <w:rtl w:val="0"/>
        </w:rPr>
        <w:t xml:space="preserve">Bloomberg (emisiones, spreads, datos financieros)</w:t>
      </w:r>
    </w:p>
    <w:p w:rsidR="00000000" w:rsidDel="00000000" w:rsidP="00000000" w:rsidRDefault="00000000" w:rsidRPr="00000000" w14:paraId="0000009D">
      <w:pPr>
        <w:numPr>
          <w:ilvl w:val="0"/>
          <w:numId w:val="5"/>
        </w:numPr>
        <w:spacing w:after="0" w:afterAutospacing="0" w:line="276" w:lineRule="auto"/>
        <w:ind w:left="1440" w:hanging="360"/>
        <w:rPr>
          <w:u w:val="none"/>
        </w:rPr>
      </w:pPr>
      <w:r w:rsidDel="00000000" w:rsidR="00000000" w:rsidRPr="00000000">
        <w:rPr>
          <w:rtl w:val="0"/>
        </w:rPr>
        <w:t xml:space="preserve">JP Morgan (EMBI+)</w:t>
      </w:r>
    </w:p>
    <w:p w:rsidR="00000000" w:rsidDel="00000000" w:rsidP="00000000" w:rsidRDefault="00000000" w:rsidRPr="00000000" w14:paraId="0000009E">
      <w:pPr>
        <w:numPr>
          <w:ilvl w:val="0"/>
          <w:numId w:val="5"/>
        </w:numPr>
        <w:spacing w:after="200" w:line="276" w:lineRule="auto"/>
        <w:ind w:left="1440" w:hanging="360"/>
        <w:rPr>
          <w:u w:val="none"/>
        </w:rPr>
      </w:pPr>
      <w:r w:rsidDel="00000000" w:rsidR="00000000" w:rsidRPr="00000000">
        <w:rPr>
          <w:rtl w:val="0"/>
        </w:rPr>
        <w:t xml:space="preserve">FMI, BIS, World Bank, IBGE, Datastream</w:t>
      </w:r>
    </w:p>
    <w:p w:rsidR="00000000" w:rsidDel="00000000" w:rsidP="00000000" w:rsidRDefault="00000000" w:rsidRPr="00000000" w14:paraId="0000009F">
      <w:pPr>
        <w:spacing w:after="200" w:line="276" w:lineRule="auto"/>
        <w:ind w:firstLine="720"/>
        <w:rPr/>
      </w:pPr>
      <w:r w:rsidDel="00000000" w:rsidR="00000000" w:rsidRPr="00000000">
        <w:rPr>
          <w:rtl w:val="0"/>
        </w:rPr>
        <w:t xml:space="preserve">Técnicas de análisis:</w:t>
      </w:r>
    </w:p>
    <w:p w:rsidR="00000000" w:rsidDel="00000000" w:rsidP="00000000" w:rsidRDefault="00000000" w:rsidRPr="00000000" w14:paraId="000000A0">
      <w:pPr>
        <w:numPr>
          <w:ilvl w:val="0"/>
          <w:numId w:val="1"/>
        </w:numPr>
        <w:spacing w:after="0" w:afterAutospacing="0" w:line="276" w:lineRule="auto"/>
        <w:ind w:left="1440" w:hanging="360"/>
        <w:rPr>
          <w:u w:val="none"/>
        </w:rPr>
      </w:pPr>
      <w:r w:rsidDel="00000000" w:rsidR="00000000" w:rsidRPr="00000000">
        <w:rPr>
          <w:rtl w:val="0"/>
        </w:rPr>
        <w:t xml:space="preserve">Pruebas de raíces unitarias para panel (Levin-Lin-Chu, Im-Pesaran-Shin)</w:t>
      </w:r>
    </w:p>
    <w:p w:rsidR="00000000" w:rsidDel="00000000" w:rsidP="00000000" w:rsidRDefault="00000000" w:rsidRPr="00000000" w14:paraId="000000A1">
      <w:pPr>
        <w:numPr>
          <w:ilvl w:val="0"/>
          <w:numId w:val="1"/>
        </w:numPr>
        <w:spacing w:after="0" w:afterAutospacing="0" w:line="276" w:lineRule="auto"/>
        <w:ind w:left="1440" w:hanging="360"/>
        <w:rPr>
          <w:u w:val="none"/>
        </w:rPr>
      </w:pPr>
      <w:r w:rsidDel="00000000" w:rsidR="00000000" w:rsidRPr="00000000">
        <w:rPr>
          <w:rtl w:val="0"/>
        </w:rPr>
        <w:t xml:space="preserve">Pruebas de cointegración (Pedroni, Kao, Johansen)</w:t>
      </w:r>
    </w:p>
    <w:p w:rsidR="00000000" w:rsidDel="00000000" w:rsidP="00000000" w:rsidRDefault="00000000" w:rsidRPr="00000000" w14:paraId="000000A2">
      <w:pPr>
        <w:numPr>
          <w:ilvl w:val="0"/>
          <w:numId w:val="1"/>
        </w:numPr>
        <w:spacing w:after="0" w:afterAutospacing="0" w:line="276" w:lineRule="auto"/>
        <w:ind w:left="1440" w:hanging="360"/>
        <w:rPr>
          <w:u w:val="none"/>
        </w:rPr>
      </w:pPr>
      <w:r w:rsidDel="00000000" w:rsidR="00000000" w:rsidRPr="00000000">
        <w:rPr>
          <w:rtl w:val="0"/>
        </w:rPr>
        <w:t xml:space="preserve">Estimación de modelos VAR/VECM para panel dinámico</w:t>
      </w:r>
    </w:p>
    <w:p w:rsidR="00000000" w:rsidDel="00000000" w:rsidP="00000000" w:rsidRDefault="00000000" w:rsidRPr="00000000" w14:paraId="000000A3">
      <w:pPr>
        <w:numPr>
          <w:ilvl w:val="0"/>
          <w:numId w:val="1"/>
        </w:numPr>
        <w:spacing w:after="0" w:afterAutospacing="0" w:line="276" w:lineRule="auto"/>
        <w:ind w:left="1440" w:hanging="360"/>
        <w:rPr>
          <w:u w:val="none"/>
        </w:rPr>
      </w:pPr>
      <w:r w:rsidDel="00000000" w:rsidR="00000000" w:rsidRPr="00000000">
        <w:rPr>
          <w:rtl w:val="0"/>
        </w:rPr>
        <w:t xml:space="preserve">Análisis de causalidad de Granger</w:t>
      </w:r>
    </w:p>
    <w:p w:rsidR="00000000" w:rsidDel="00000000" w:rsidP="00000000" w:rsidRDefault="00000000" w:rsidRPr="00000000" w14:paraId="000000A4">
      <w:pPr>
        <w:numPr>
          <w:ilvl w:val="0"/>
          <w:numId w:val="1"/>
        </w:numPr>
        <w:spacing w:after="0" w:afterAutospacing="0" w:line="276" w:lineRule="auto"/>
        <w:ind w:left="1440" w:hanging="360"/>
        <w:rPr>
          <w:u w:val="none"/>
        </w:rPr>
      </w:pPr>
      <w:r w:rsidDel="00000000" w:rsidR="00000000" w:rsidRPr="00000000">
        <w:rPr>
          <w:rtl w:val="0"/>
        </w:rPr>
        <w:t xml:space="preserve">Funciones de impulso-respuesta (IRF)</w:t>
      </w:r>
    </w:p>
    <w:p w:rsidR="00000000" w:rsidDel="00000000" w:rsidP="00000000" w:rsidRDefault="00000000" w:rsidRPr="00000000" w14:paraId="000000A5">
      <w:pPr>
        <w:numPr>
          <w:ilvl w:val="0"/>
          <w:numId w:val="1"/>
        </w:numPr>
        <w:spacing w:after="0" w:afterAutospacing="0" w:line="276" w:lineRule="auto"/>
        <w:ind w:left="1440" w:hanging="360"/>
        <w:rPr>
          <w:u w:val="none"/>
        </w:rPr>
      </w:pPr>
      <w:r w:rsidDel="00000000" w:rsidR="00000000" w:rsidRPr="00000000">
        <w:rPr>
          <w:rtl w:val="0"/>
        </w:rPr>
        <w:t xml:space="preserve">Descomposición de varianza del error de pronóstico (FEVD)</w:t>
      </w:r>
    </w:p>
    <w:p w:rsidR="00000000" w:rsidDel="00000000" w:rsidP="00000000" w:rsidRDefault="00000000" w:rsidRPr="00000000" w14:paraId="000000A6">
      <w:pPr>
        <w:numPr>
          <w:ilvl w:val="0"/>
          <w:numId w:val="1"/>
        </w:numPr>
        <w:spacing w:after="200" w:line="276" w:lineRule="auto"/>
        <w:ind w:left="1440" w:hanging="360"/>
        <w:rPr>
          <w:u w:val="none"/>
        </w:rPr>
      </w:pPr>
      <w:r w:rsidDel="00000000" w:rsidR="00000000" w:rsidRPr="00000000">
        <w:rPr>
          <w:rtl w:val="0"/>
        </w:rPr>
        <w:t xml:space="preserve">Análisis de robustez con estimadores alternativos y escenarios contrafactuales</w:t>
      </w:r>
    </w:p>
    <w:p w:rsidR="00000000" w:rsidDel="00000000" w:rsidP="00000000" w:rsidRDefault="00000000" w:rsidRPr="00000000" w14:paraId="000000A7">
      <w:pPr>
        <w:spacing w:after="200" w:line="276" w:lineRule="auto"/>
        <w:ind w:firstLine="720"/>
        <w:rPr/>
      </w:pPr>
      <w:r w:rsidDel="00000000" w:rsidR="00000000" w:rsidRPr="00000000">
        <w:rPr>
          <w:rtl w:val="0"/>
        </w:rPr>
        <w:t xml:space="preserve">Metodológicamente, se destacan estudios previos que aplican modelos VAR y VECM para captar la dinámica entre spreads y variables macroeconómicas en mercados emergentes (Silva &amp; Paulo, 2015). Estos enfoques permiten modelar relaciones de largo plazo (cointegración) entre variables no estacionarias, así como su ajuste dinámico de corto plazo. A través de funciones de impulso-respuesta y descomposición de varianza del error de pronóstico, se puede analizar cómo shocks externos o domésticos impactan en los spreads corporativos a lo largo del tiempo. La elección de este enfoque permite construir un marco empírico coherente con la literatura y robusto frente a problemas comunes de endogeneidad y no estacionariedad.</w:t>
      </w:r>
    </w:p>
    <w:p w:rsidR="00000000" w:rsidDel="00000000" w:rsidP="00000000" w:rsidRDefault="00000000" w:rsidRPr="00000000" w14:paraId="000000A8">
      <w:pPr>
        <w:spacing w:after="200" w:line="276" w:lineRule="auto"/>
        <w:ind w:firstLine="720"/>
        <w:rPr/>
      </w:pPr>
      <w:r w:rsidDel="00000000" w:rsidR="00000000" w:rsidRPr="00000000">
        <w:rPr>
          <w:rtl w:val="0"/>
        </w:rPr>
        <w:t xml:space="preserve">La elección del modelo VECM responde a la necesidad de capturar tanto relaciones de equilibrio de largo plazo como dinámicas de corto plazo entre los spreads y sus determinantes. A diferencia de modelos estáticos o de corte transversal, el VECM permite modelar cointegración entre variables no estacionarias y en muchos casos endógenas, condición habitual en series financieras macroeconómicas. Otras metodologías, como GARCH o regresiones de panel estáticas, si bien útiles para estudiar volatilidad o efectos contemporáneos, no permiten capturar la persistencia ni la causalidad temporal entre los shocks macroeconómicos y los spreads. Asimismo, se evaluaron alternativas como BVAR y modelos con cambios de régimen, pero se privilegió el VECM por su interpretabilidad económica y la posibilidad de incorporar tests de causalidad de Granger, funciones de impulso-respuesta y descomposición de varianza del error de pronóstico.</w:t>
      </w:r>
    </w:p>
    <w:p w:rsidR="00000000" w:rsidDel="00000000" w:rsidP="00000000" w:rsidRDefault="00000000" w:rsidRPr="00000000" w14:paraId="000000A9">
      <w:pPr>
        <w:spacing w:after="200" w:line="276" w:lineRule="auto"/>
        <w:ind w:firstLine="720"/>
        <w:rPr/>
      </w:pPr>
      <w:r w:rsidDel="00000000" w:rsidR="00000000" w:rsidRPr="00000000">
        <w:rPr>
          <w:rtl w:val="0"/>
        </w:rPr>
        <w:t xml:space="preserve">El trabajo se apoyará en software especializado como STATA, EViews y R para el tratamiento estadístico y la estimación de modelos.</w:t>
      </w:r>
    </w:p>
    <w:p w:rsidR="00000000" w:rsidDel="00000000" w:rsidP="00000000" w:rsidRDefault="00000000" w:rsidRPr="00000000" w14:paraId="000000AA">
      <w:pPr>
        <w:spacing w:after="200" w:line="276" w:lineRule="auto"/>
        <w:ind w:firstLine="720"/>
        <w:rPr/>
      </w:pPr>
      <w:r w:rsidDel="00000000" w:rsidR="00000000" w:rsidRPr="00000000">
        <w:rPr>
          <w:rtl w:val="0"/>
        </w:rPr>
        <w:t xml:space="preserve">Este enfoque metodológico buscará garantizar la rigurosidad empírica del análisis, permitiendo evaluar de forma sistemática la influencia de distintos factores en la evolución de los spreads corporativos en Brasil, y ofrecerá insumos relevantes tanto para la investigación académica como para el diseño de políticas financieras sólidas.</w:t>
      </w:r>
    </w:p>
    <w:p w:rsidR="00000000" w:rsidDel="00000000" w:rsidP="00000000" w:rsidRDefault="00000000" w:rsidRPr="00000000" w14:paraId="000000AB">
      <w:pPr>
        <w:spacing w:after="200" w:line="276" w:lineRule="auto"/>
        <w:ind w:firstLine="720"/>
        <w:rPr/>
      </w:pPr>
      <w:r w:rsidDel="00000000" w:rsidR="00000000" w:rsidRPr="00000000">
        <w:rPr>
          <w:rtl w:val="0"/>
        </w:rPr>
        <w:t xml:space="preserve">A continuación, se presenta una tabla resumen metodológica por objetivo específico:</w:t>
      </w:r>
    </w:p>
    <w:tbl>
      <w:tblPr>
        <w:tblStyle w:val="Table1"/>
        <w:tblW w:w="87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55"/>
        <w:gridCol w:w="1455"/>
        <w:gridCol w:w="1635"/>
        <w:gridCol w:w="1710"/>
        <w:gridCol w:w="1905"/>
        <w:tblGridChange w:id="0">
          <w:tblGrid>
            <w:gridCol w:w="2055"/>
            <w:gridCol w:w="1455"/>
            <w:gridCol w:w="1635"/>
            <w:gridCol w:w="1710"/>
            <w:gridCol w:w="1905"/>
          </w:tblGrid>
        </w:tblGridChange>
      </w:tblGrid>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C">
            <w:pPr>
              <w:spacing w:after="240" w:before="240" w:line="276" w:lineRule="auto"/>
              <w:jc w:val="center"/>
              <w:rPr>
                <w:b w:val="1"/>
              </w:rPr>
            </w:pPr>
            <w:r w:rsidDel="00000000" w:rsidR="00000000" w:rsidRPr="00000000">
              <w:rPr>
                <w:b w:val="1"/>
                <w:rtl w:val="0"/>
              </w:rPr>
              <w:t xml:space="preserve">Objetivo específico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D">
            <w:pPr>
              <w:spacing w:after="240" w:before="240" w:line="276" w:lineRule="auto"/>
              <w:jc w:val="center"/>
              <w:rPr>
                <w:b w:val="1"/>
              </w:rPr>
            </w:pPr>
            <w:r w:rsidDel="00000000" w:rsidR="00000000" w:rsidRPr="00000000">
              <w:rPr>
                <w:b w:val="1"/>
                <w:rtl w:val="0"/>
              </w:rPr>
              <w:t xml:space="preserve">Fuente secundaria de datos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E">
            <w:pPr>
              <w:spacing w:after="240" w:before="240" w:line="276" w:lineRule="auto"/>
              <w:jc w:val="center"/>
              <w:rPr>
                <w:b w:val="1"/>
              </w:rPr>
            </w:pPr>
            <w:r w:rsidDel="00000000" w:rsidR="00000000" w:rsidRPr="00000000">
              <w:rPr>
                <w:b w:val="1"/>
                <w:rtl w:val="0"/>
              </w:rPr>
              <w:t xml:space="preserve">Fuente primaria / Instrumento de recolección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F">
            <w:pPr>
              <w:spacing w:after="240" w:before="240" w:line="276" w:lineRule="auto"/>
              <w:jc w:val="center"/>
              <w:rPr>
                <w:b w:val="1"/>
              </w:rPr>
            </w:pPr>
            <w:r w:rsidDel="00000000" w:rsidR="00000000" w:rsidRPr="00000000">
              <w:rPr>
                <w:b w:val="1"/>
                <w:rtl w:val="0"/>
              </w:rPr>
              <w:t xml:space="preserve">Población / muestra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0">
            <w:pPr>
              <w:spacing w:after="240" w:before="240" w:line="276" w:lineRule="auto"/>
              <w:jc w:val="center"/>
              <w:rPr>
                <w:b w:val="1"/>
              </w:rPr>
            </w:pPr>
            <w:r w:rsidDel="00000000" w:rsidR="00000000" w:rsidRPr="00000000">
              <w:rPr>
                <w:b w:val="1"/>
                <w:rtl w:val="0"/>
              </w:rPr>
              <w:t xml:space="preserve">Técnicas de procesamiento</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1">
            <w:pPr>
              <w:spacing w:after="240" w:before="240" w:line="276" w:lineRule="auto"/>
              <w:rPr/>
            </w:pPr>
            <w:r w:rsidDel="00000000" w:rsidR="00000000" w:rsidRPr="00000000">
              <w:rPr>
                <w:rtl w:val="0"/>
              </w:rPr>
              <w:t xml:space="preserve">Estimar un modelo VECM para spreads y determinantes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2">
            <w:pPr>
              <w:spacing w:after="240" w:before="240" w:line="276" w:lineRule="auto"/>
              <w:rPr/>
            </w:pPr>
            <w:r w:rsidDel="00000000" w:rsidR="00000000" w:rsidRPr="00000000">
              <w:rPr>
                <w:rtl w:val="0"/>
              </w:rPr>
              <w:t xml:space="preserve">BCB, Bloomberg, EMBI+, VIX, FMI, BIS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3">
            <w:pPr>
              <w:spacing w:after="240" w:before="240" w:line="276" w:lineRule="auto"/>
              <w:rPr/>
            </w:pPr>
            <w:r w:rsidDel="00000000" w:rsidR="00000000" w:rsidRPr="00000000">
              <w:rPr>
                <w:rtl w:val="0"/>
              </w:rPr>
              <w:t xml:space="preserve">Bloomberg, IMF, BCB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4">
            <w:pPr>
              <w:spacing w:after="240" w:before="240" w:line="276" w:lineRule="auto"/>
              <w:rPr/>
            </w:pPr>
            <w:r w:rsidDel="00000000" w:rsidR="00000000" w:rsidRPr="00000000">
              <w:rPr>
                <w:rtl w:val="0"/>
              </w:rPr>
              <w:t xml:space="preserve">Panel de bonos emitidos en reales (1993–2025)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5">
            <w:pPr>
              <w:spacing w:after="240" w:before="240" w:line="276" w:lineRule="auto"/>
              <w:rPr/>
            </w:pPr>
            <w:r w:rsidDel="00000000" w:rsidR="00000000" w:rsidRPr="00000000">
              <w:rPr>
                <w:rtl w:val="0"/>
              </w:rPr>
              <w:t xml:space="preserve">Pruebas de raíz unitaria para panel, cointegración, VECM</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6">
            <w:pPr>
              <w:spacing w:after="240" w:before="240" w:line="276" w:lineRule="auto"/>
              <w:rPr/>
            </w:pPr>
            <w:r w:rsidDel="00000000" w:rsidR="00000000" w:rsidRPr="00000000">
              <w:rPr>
                <w:rtl w:val="0"/>
              </w:rPr>
              <w:t xml:space="preserve">Explorar relación entre spread soberano y corporativo</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7">
            <w:pPr>
              <w:spacing w:after="240" w:before="240" w:line="276" w:lineRule="auto"/>
              <w:rPr/>
            </w:pPr>
            <w:r w:rsidDel="00000000" w:rsidR="00000000" w:rsidRPr="00000000">
              <w:rPr>
                <w:rtl w:val="0"/>
              </w:rPr>
              <w:t xml:space="preserve">Bloomberg, EMBI+, emisiones primarias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8">
            <w:pPr>
              <w:spacing w:after="240" w:before="240" w:line="276" w:lineRule="auto"/>
              <w:rPr/>
            </w:pPr>
            <w:r w:rsidDel="00000000" w:rsidR="00000000" w:rsidRPr="00000000">
              <w:rPr>
                <w:rtl w:val="0"/>
              </w:rPr>
              <w:t xml:space="preserve">Bloomberg, BCB</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9">
            <w:pPr>
              <w:spacing w:after="240" w:before="240" w:line="276" w:lineRule="auto"/>
              <w:rPr/>
            </w:pPr>
            <w:r w:rsidDel="00000000" w:rsidR="00000000" w:rsidRPr="00000000">
              <w:rPr>
                <w:rtl w:val="0"/>
              </w:rPr>
              <w:t xml:space="preserve">Panel de bonos con EMBI y datos específicos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A">
            <w:pPr>
              <w:spacing w:after="240" w:before="240" w:line="276" w:lineRule="auto"/>
              <w:rPr/>
            </w:pPr>
            <w:r w:rsidDel="00000000" w:rsidR="00000000" w:rsidRPr="00000000">
              <w:rPr>
                <w:rtl w:val="0"/>
              </w:rPr>
              <w:t xml:space="preserve">Causalidad de Granger / VECM estructural</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B">
            <w:pPr>
              <w:spacing w:after="240" w:before="240" w:line="276" w:lineRule="auto"/>
              <w:rPr/>
            </w:pPr>
            <w:r w:rsidDel="00000000" w:rsidR="00000000" w:rsidRPr="00000000">
              <w:rPr>
                <w:rtl w:val="0"/>
              </w:rPr>
              <w:t xml:space="preserve">Evaluar impacto de shocks globales sobre spreads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C">
            <w:pPr>
              <w:spacing w:after="240" w:before="240" w:line="276" w:lineRule="auto"/>
              <w:rPr/>
            </w:pPr>
            <w:r w:rsidDel="00000000" w:rsidR="00000000" w:rsidRPr="00000000">
              <w:rPr>
                <w:rtl w:val="0"/>
              </w:rPr>
              <w:t xml:space="preserve">VIX, tasas Fed, Bloomberg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D">
            <w:pPr>
              <w:spacing w:after="240" w:before="240" w:line="276" w:lineRule="auto"/>
              <w:rPr/>
            </w:pPr>
            <w:r w:rsidDel="00000000" w:rsidR="00000000" w:rsidRPr="00000000">
              <w:rPr>
                <w:rtl w:val="0"/>
              </w:rPr>
              <w:t xml:space="preserve">Bloomberg, IMF, BIS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E">
            <w:pPr>
              <w:spacing w:after="240" w:before="240" w:line="276" w:lineRule="auto"/>
              <w:rPr/>
            </w:pPr>
            <w:r w:rsidDel="00000000" w:rsidR="00000000" w:rsidRPr="00000000">
              <w:rPr>
                <w:rtl w:val="0"/>
              </w:rPr>
              <w:t xml:space="preserve">Spreads corporativos por emisión vs. contexto global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F">
            <w:pPr>
              <w:spacing w:after="240" w:before="240" w:line="276" w:lineRule="auto"/>
              <w:rPr/>
            </w:pPr>
            <w:r w:rsidDel="00000000" w:rsidR="00000000" w:rsidRPr="00000000">
              <w:rPr>
                <w:rtl w:val="0"/>
              </w:rPr>
              <w:t xml:space="preserve">IRF / FEVD / escenarios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0">
            <w:pPr>
              <w:spacing w:after="240" w:before="240" w:line="276" w:lineRule="auto"/>
              <w:rPr/>
            </w:pPr>
            <w:r w:rsidDel="00000000" w:rsidR="00000000" w:rsidRPr="00000000">
              <w:rPr>
                <w:rtl w:val="0"/>
              </w:rPr>
              <w:t xml:space="preserve">Medir impacto de variables firm- y bond-specific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1">
            <w:pPr>
              <w:spacing w:after="240" w:before="240" w:line="276" w:lineRule="auto"/>
              <w:rPr/>
            </w:pPr>
            <w:r w:rsidDel="00000000" w:rsidR="00000000" w:rsidRPr="00000000">
              <w:rPr>
                <w:rtl w:val="0"/>
              </w:rPr>
              <w:t xml:space="preserve">Bloomberg, bases de datos financieras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2">
            <w:pPr>
              <w:spacing w:after="240" w:before="240" w:line="276" w:lineRule="auto"/>
              <w:rPr/>
            </w:pPr>
            <w:r w:rsidDel="00000000" w:rsidR="00000000" w:rsidRPr="00000000">
              <w:rPr>
                <w:rtl w:val="0"/>
              </w:rPr>
              <w:t xml:space="preserve">Bloomberg, BCB, informes contables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3">
            <w:pPr>
              <w:spacing w:after="240" w:before="240" w:line="276" w:lineRule="auto"/>
              <w:rPr/>
            </w:pPr>
            <w:r w:rsidDel="00000000" w:rsidR="00000000" w:rsidRPr="00000000">
              <w:rPr>
                <w:rtl w:val="0"/>
              </w:rPr>
              <w:t xml:space="preserve">Emisiones individuales con datos empresariales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4">
            <w:pPr>
              <w:spacing w:after="240" w:before="240" w:line="276" w:lineRule="auto"/>
              <w:rPr/>
            </w:pPr>
            <w:r w:rsidDel="00000000" w:rsidR="00000000" w:rsidRPr="00000000">
              <w:rPr>
                <w:rtl w:val="0"/>
              </w:rPr>
              <w:t xml:space="preserve">Panel dinámico / VECM con controles</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5">
            <w:pPr>
              <w:spacing w:after="240" w:before="240" w:line="276" w:lineRule="auto"/>
              <w:rPr/>
            </w:pPr>
            <w:r w:rsidDel="00000000" w:rsidR="00000000" w:rsidRPr="00000000">
              <w:rPr>
                <w:rtl w:val="0"/>
              </w:rPr>
              <w:t xml:space="preserve">Formular recomendaciones para emisiones resilientes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6">
            <w:pPr>
              <w:spacing w:after="240" w:before="240" w:line="276" w:lineRule="auto"/>
              <w:rPr/>
            </w:pPr>
            <w:r w:rsidDel="00000000" w:rsidR="00000000" w:rsidRPr="00000000">
              <w:rPr>
                <w:rtl w:val="0"/>
              </w:rPr>
              <w:t xml:space="preserve">Literatura técnica, datos históricos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7">
            <w:pPr>
              <w:spacing w:after="240" w:before="240" w:line="276" w:lineRule="auto"/>
              <w:rPr/>
            </w:pPr>
            <w:r w:rsidDel="00000000" w:rsidR="00000000" w:rsidRPr="00000000">
              <w:rPr>
                <w:rtl w:val="0"/>
              </w:rPr>
              <w:t xml:space="preserve">Bloomberg, IMF, BIS, regulación brasileña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8">
            <w:pPr>
              <w:spacing w:after="240" w:before="240" w:line="276" w:lineRule="auto"/>
              <w:rPr/>
            </w:pPr>
            <w:r w:rsidDel="00000000" w:rsidR="00000000" w:rsidRPr="00000000">
              <w:rPr>
                <w:rtl w:val="0"/>
              </w:rPr>
              <w:t xml:space="preserve">Bonos emitidos bajo distintas condiciones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9">
            <w:pPr>
              <w:spacing w:after="240" w:before="240" w:line="276" w:lineRule="auto"/>
              <w:rPr/>
            </w:pPr>
            <w:r w:rsidDel="00000000" w:rsidR="00000000" w:rsidRPr="00000000">
              <w:rPr>
                <w:rtl w:val="0"/>
              </w:rPr>
              <w:t xml:space="preserve">Revisión de casos / análisis de contexto regulatorio</w:t>
            </w:r>
          </w:p>
        </w:tc>
      </w:tr>
    </w:tbl>
    <w:p w:rsidR="00000000" w:rsidDel="00000000" w:rsidP="00000000" w:rsidRDefault="00000000" w:rsidRPr="00000000" w14:paraId="000000CA">
      <w:pPr>
        <w:spacing w:after="200" w:line="276" w:lineRule="auto"/>
        <w:rPr/>
      </w:pPr>
      <w:r w:rsidDel="00000000" w:rsidR="00000000" w:rsidRPr="00000000">
        <w:rPr>
          <w:rtl w:val="0"/>
        </w:rPr>
      </w:r>
    </w:p>
    <w:p w:rsidR="00000000" w:rsidDel="00000000" w:rsidP="00000000" w:rsidRDefault="00000000" w:rsidRPr="00000000" w14:paraId="000000CB">
      <w:pPr>
        <w:spacing w:after="200" w:line="276" w:lineRule="auto"/>
        <w:ind w:firstLine="720"/>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t xml:space="preserve">Este diseño metodológico permite evaluar de forma rigurosa, empírica y robusta las relaciones dinámicas entre los spreads corporativos y sus determinantes globales, soberanos e idiosincráticos, con una cobertura temporal extensa y una estructura de datos de panel que refleja la heterogeneidad del mercado brasileño de deuda en moneda local.</w:t>
      </w: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Cronograma</w:t>
      </w:r>
    </w:p>
    <w:p w:rsidR="00000000" w:rsidDel="00000000" w:rsidP="00000000" w:rsidRDefault="00000000" w:rsidRPr="00000000" w14:paraId="000000CC">
      <w:pPr>
        <w:ind w:left="0" w:firstLine="0"/>
        <w:jc w:val="both"/>
        <w:rPr/>
      </w:pPr>
      <w:r w:rsidDel="00000000" w:rsidR="00000000" w:rsidRPr="00000000">
        <w:rPr>
          <w:rtl w:val="0"/>
        </w:rPr>
      </w:r>
    </w:p>
    <w:p w:rsidR="00000000" w:rsidDel="00000000" w:rsidP="00000000" w:rsidRDefault="00000000" w:rsidRPr="00000000" w14:paraId="000000CD">
      <w:pPr>
        <w:ind w:left="284" w:firstLine="0"/>
        <w:jc w:val="both"/>
        <w:rPr/>
      </w:pPr>
      <w:r w:rsidDel="00000000" w:rsidR="00000000" w:rsidRPr="00000000">
        <w:rPr>
          <w:rtl w:val="0"/>
        </w:rPr>
      </w:r>
    </w:p>
    <w:tbl>
      <w:tblPr>
        <w:tblStyle w:val="Table2"/>
        <w:tblW w:w="8787.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005"/>
        <w:gridCol w:w="538"/>
        <w:gridCol w:w="537"/>
        <w:gridCol w:w="537"/>
        <w:gridCol w:w="537"/>
        <w:gridCol w:w="537"/>
        <w:gridCol w:w="537"/>
        <w:gridCol w:w="537"/>
        <w:gridCol w:w="537"/>
        <w:gridCol w:w="539"/>
        <w:gridCol w:w="539"/>
        <w:gridCol w:w="456"/>
        <w:tblGridChange w:id="0">
          <w:tblGrid>
            <w:gridCol w:w="1951"/>
            <w:gridCol w:w="1005"/>
            <w:gridCol w:w="538"/>
            <w:gridCol w:w="537"/>
            <w:gridCol w:w="537"/>
            <w:gridCol w:w="537"/>
            <w:gridCol w:w="537"/>
            <w:gridCol w:w="537"/>
            <w:gridCol w:w="537"/>
            <w:gridCol w:w="537"/>
            <w:gridCol w:w="539"/>
            <w:gridCol w:w="539"/>
            <w:gridCol w:w="456"/>
          </w:tblGrid>
        </w:tblGridChange>
      </w:tblGrid>
      <w:tr>
        <w:trPr>
          <w:cantSplit w:val="1"/>
          <w:tblHeader w:val="1"/>
        </w:trPr>
        <w:tc>
          <w:tcPr>
            <w:shd w:fill="auto" w:val="clear"/>
          </w:tcPr>
          <w:p w:rsidR="00000000" w:rsidDel="00000000" w:rsidP="00000000" w:rsidRDefault="00000000" w:rsidRPr="00000000" w14:paraId="000000CE">
            <w:pPr>
              <w:jc w:val="center"/>
              <w:rPr>
                <w:b w:val="1"/>
                <w:sz w:val="18"/>
                <w:szCs w:val="18"/>
              </w:rPr>
            </w:pPr>
            <w:r w:rsidDel="00000000" w:rsidR="00000000" w:rsidRPr="00000000">
              <w:rPr>
                <w:b w:val="1"/>
                <w:sz w:val="18"/>
                <w:szCs w:val="18"/>
                <w:rtl w:val="0"/>
              </w:rPr>
              <w:t xml:space="preserve">Actividad</w:t>
            </w:r>
          </w:p>
        </w:tc>
        <w:tc>
          <w:tcPr>
            <w:gridSpan w:val="12"/>
            <w:tcBorders>
              <w:bottom w:color="000000" w:space="0" w:sz="4" w:val="single"/>
            </w:tcBorders>
            <w:shd w:fill="auto" w:val="clear"/>
          </w:tcPr>
          <w:p w:rsidR="00000000" w:rsidDel="00000000" w:rsidP="00000000" w:rsidRDefault="00000000" w:rsidRPr="00000000" w14:paraId="000000CF">
            <w:pPr>
              <w:jc w:val="center"/>
              <w:rPr>
                <w:b w:val="1"/>
                <w:sz w:val="18"/>
                <w:szCs w:val="18"/>
              </w:rPr>
            </w:pPr>
            <w:r w:rsidDel="00000000" w:rsidR="00000000" w:rsidRPr="00000000">
              <w:rPr>
                <w:b w:val="1"/>
                <w:sz w:val="18"/>
                <w:szCs w:val="18"/>
                <w:rtl w:val="0"/>
              </w:rPr>
              <w:t xml:space="preserve">Meses del año 20</w:t>
            </w:r>
            <w:r w:rsidDel="00000000" w:rsidR="00000000" w:rsidRPr="00000000">
              <w:rPr>
                <w:b w:val="1"/>
                <w:sz w:val="18"/>
                <w:szCs w:val="18"/>
                <w:highlight w:val="lightGray"/>
                <w:rtl w:val="0"/>
              </w:rPr>
              <w:t xml:space="preserve">25</w:t>
            </w:r>
            <w:r w:rsidDel="00000000" w:rsidR="00000000" w:rsidRPr="00000000">
              <w:rPr>
                <w:rtl w:val="0"/>
              </w:rPr>
            </w:r>
          </w:p>
        </w:tc>
      </w:tr>
      <w:tr>
        <w:trPr>
          <w:cantSplit w:val="0"/>
          <w:tblHeader w:val="1"/>
        </w:trPr>
        <w:tc>
          <w:tcPr/>
          <w:p w:rsidR="00000000" w:rsidDel="00000000" w:rsidP="00000000" w:rsidRDefault="00000000" w:rsidRPr="00000000" w14:paraId="000000DB">
            <w:pPr>
              <w:jc w:val="center"/>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C">
            <w:pPr>
              <w:jc w:val="center"/>
              <w:rPr>
                <w:b w:val="1"/>
                <w:sz w:val="18"/>
                <w:szCs w:val="18"/>
              </w:rPr>
            </w:pPr>
            <w:r w:rsidDel="00000000" w:rsidR="00000000" w:rsidRPr="00000000">
              <w:rPr>
                <w:b w:val="1"/>
                <w:sz w:val="18"/>
                <w:szCs w:val="18"/>
                <w:rtl w:val="0"/>
              </w:rPr>
              <w:t xml:space="preserve">1</w:t>
            </w:r>
          </w:p>
        </w:tc>
        <w:tc>
          <w:tcPr>
            <w:tcBorders>
              <w:bottom w:color="000000" w:space="0" w:sz="4" w:val="single"/>
            </w:tcBorders>
          </w:tcPr>
          <w:p w:rsidR="00000000" w:rsidDel="00000000" w:rsidP="00000000" w:rsidRDefault="00000000" w:rsidRPr="00000000" w14:paraId="000000DD">
            <w:pPr>
              <w:jc w:val="center"/>
              <w:rPr>
                <w:b w:val="1"/>
                <w:sz w:val="18"/>
                <w:szCs w:val="18"/>
              </w:rPr>
            </w:pPr>
            <w:r w:rsidDel="00000000" w:rsidR="00000000" w:rsidRPr="00000000">
              <w:rPr>
                <w:b w:val="1"/>
                <w:sz w:val="18"/>
                <w:szCs w:val="18"/>
                <w:rtl w:val="0"/>
              </w:rPr>
              <w:t xml:space="preserve">2</w:t>
            </w:r>
          </w:p>
        </w:tc>
        <w:tc>
          <w:tcPr/>
          <w:p w:rsidR="00000000" w:rsidDel="00000000" w:rsidP="00000000" w:rsidRDefault="00000000" w:rsidRPr="00000000" w14:paraId="000000DE">
            <w:pPr>
              <w:jc w:val="center"/>
              <w:rPr>
                <w:b w:val="1"/>
                <w:sz w:val="18"/>
                <w:szCs w:val="18"/>
              </w:rPr>
            </w:pPr>
            <w:r w:rsidDel="00000000" w:rsidR="00000000" w:rsidRPr="00000000">
              <w:rPr>
                <w:b w:val="1"/>
                <w:sz w:val="18"/>
                <w:szCs w:val="18"/>
                <w:rtl w:val="0"/>
              </w:rPr>
              <w:t xml:space="preserve">3</w:t>
            </w:r>
          </w:p>
        </w:tc>
        <w:tc>
          <w:tcPr/>
          <w:p w:rsidR="00000000" w:rsidDel="00000000" w:rsidP="00000000" w:rsidRDefault="00000000" w:rsidRPr="00000000" w14:paraId="000000DF">
            <w:pPr>
              <w:jc w:val="center"/>
              <w:rPr>
                <w:b w:val="1"/>
                <w:sz w:val="18"/>
                <w:szCs w:val="18"/>
              </w:rPr>
            </w:pPr>
            <w:r w:rsidDel="00000000" w:rsidR="00000000" w:rsidRPr="00000000">
              <w:rPr>
                <w:b w:val="1"/>
                <w:sz w:val="18"/>
                <w:szCs w:val="18"/>
                <w:rtl w:val="0"/>
              </w:rPr>
              <w:t xml:space="preserve">4</w:t>
            </w:r>
          </w:p>
        </w:tc>
        <w:tc>
          <w:tcPr/>
          <w:p w:rsidR="00000000" w:rsidDel="00000000" w:rsidP="00000000" w:rsidRDefault="00000000" w:rsidRPr="00000000" w14:paraId="000000E0">
            <w:pPr>
              <w:jc w:val="center"/>
              <w:rPr>
                <w:b w:val="1"/>
                <w:sz w:val="18"/>
                <w:szCs w:val="18"/>
              </w:rPr>
            </w:pPr>
            <w:r w:rsidDel="00000000" w:rsidR="00000000" w:rsidRPr="00000000">
              <w:rPr>
                <w:b w:val="1"/>
                <w:sz w:val="18"/>
                <w:szCs w:val="18"/>
                <w:rtl w:val="0"/>
              </w:rPr>
              <w:t xml:space="preserve">5</w:t>
            </w:r>
          </w:p>
        </w:tc>
        <w:tc>
          <w:tcPr/>
          <w:p w:rsidR="00000000" w:rsidDel="00000000" w:rsidP="00000000" w:rsidRDefault="00000000" w:rsidRPr="00000000" w14:paraId="000000E1">
            <w:pPr>
              <w:jc w:val="center"/>
              <w:rPr>
                <w:b w:val="1"/>
                <w:sz w:val="18"/>
                <w:szCs w:val="18"/>
              </w:rPr>
            </w:pPr>
            <w:r w:rsidDel="00000000" w:rsidR="00000000" w:rsidRPr="00000000">
              <w:rPr>
                <w:b w:val="1"/>
                <w:sz w:val="18"/>
                <w:szCs w:val="18"/>
                <w:rtl w:val="0"/>
              </w:rPr>
              <w:t xml:space="preserve">6</w:t>
            </w:r>
          </w:p>
        </w:tc>
        <w:tc>
          <w:tcPr/>
          <w:p w:rsidR="00000000" w:rsidDel="00000000" w:rsidP="00000000" w:rsidRDefault="00000000" w:rsidRPr="00000000" w14:paraId="000000E2">
            <w:pPr>
              <w:jc w:val="center"/>
              <w:rPr>
                <w:b w:val="1"/>
                <w:sz w:val="18"/>
                <w:szCs w:val="18"/>
              </w:rPr>
            </w:pPr>
            <w:r w:rsidDel="00000000" w:rsidR="00000000" w:rsidRPr="00000000">
              <w:rPr>
                <w:b w:val="1"/>
                <w:sz w:val="18"/>
                <w:szCs w:val="18"/>
                <w:rtl w:val="0"/>
              </w:rPr>
              <w:t xml:space="preserve">7</w:t>
            </w:r>
          </w:p>
        </w:tc>
        <w:tc>
          <w:tcPr/>
          <w:p w:rsidR="00000000" w:rsidDel="00000000" w:rsidP="00000000" w:rsidRDefault="00000000" w:rsidRPr="00000000" w14:paraId="000000E3">
            <w:pPr>
              <w:jc w:val="center"/>
              <w:rPr>
                <w:b w:val="1"/>
                <w:sz w:val="18"/>
                <w:szCs w:val="18"/>
              </w:rPr>
            </w:pPr>
            <w:r w:rsidDel="00000000" w:rsidR="00000000" w:rsidRPr="00000000">
              <w:rPr>
                <w:b w:val="1"/>
                <w:sz w:val="18"/>
                <w:szCs w:val="18"/>
                <w:rtl w:val="0"/>
              </w:rPr>
              <w:t xml:space="preserve">8</w:t>
            </w:r>
          </w:p>
        </w:tc>
        <w:tc>
          <w:tcPr/>
          <w:p w:rsidR="00000000" w:rsidDel="00000000" w:rsidP="00000000" w:rsidRDefault="00000000" w:rsidRPr="00000000" w14:paraId="000000E4">
            <w:pPr>
              <w:jc w:val="center"/>
              <w:rPr>
                <w:b w:val="1"/>
                <w:sz w:val="18"/>
                <w:szCs w:val="18"/>
              </w:rPr>
            </w:pPr>
            <w:r w:rsidDel="00000000" w:rsidR="00000000" w:rsidRPr="00000000">
              <w:rPr>
                <w:b w:val="1"/>
                <w:sz w:val="18"/>
                <w:szCs w:val="18"/>
                <w:rtl w:val="0"/>
              </w:rPr>
              <w:t xml:space="preserve">9</w:t>
            </w:r>
          </w:p>
        </w:tc>
        <w:tc>
          <w:tcPr/>
          <w:p w:rsidR="00000000" w:rsidDel="00000000" w:rsidP="00000000" w:rsidRDefault="00000000" w:rsidRPr="00000000" w14:paraId="000000E5">
            <w:pPr>
              <w:jc w:val="center"/>
              <w:rPr>
                <w:b w:val="1"/>
                <w:sz w:val="18"/>
                <w:szCs w:val="18"/>
              </w:rPr>
            </w:pPr>
            <w:r w:rsidDel="00000000" w:rsidR="00000000" w:rsidRPr="00000000">
              <w:rPr>
                <w:b w:val="1"/>
                <w:sz w:val="18"/>
                <w:szCs w:val="18"/>
                <w:rtl w:val="0"/>
              </w:rPr>
              <w:t xml:space="preserve">10</w:t>
            </w:r>
          </w:p>
        </w:tc>
        <w:tc>
          <w:tcPr/>
          <w:p w:rsidR="00000000" w:rsidDel="00000000" w:rsidP="00000000" w:rsidRDefault="00000000" w:rsidRPr="00000000" w14:paraId="000000E6">
            <w:pPr>
              <w:jc w:val="center"/>
              <w:rPr>
                <w:b w:val="1"/>
                <w:sz w:val="18"/>
                <w:szCs w:val="18"/>
              </w:rPr>
            </w:pPr>
            <w:r w:rsidDel="00000000" w:rsidR="00000000" w:rsidRPr="00000000">
              <w:rPr>
                <w:b w:val="1"/>
                <w:sz w:val="18"/>
                <w:szCs w:val="18"/>
                <w:rtl w:val="0"/>
              </w:rPr>
              <w:t xml:space="preserve">11</w:t>
            </w:r>
          </w:p>
        </w:tc>
        <w:tc>
          <w:tcPr/>
          <w:p w:rsidR="00000000" w:rsidDel="00000000" w:rsidP="00000000" w:rsidRDefault="00000000" w:rsidRPr="00000000" w14:paraId="000000E7">
            <w:pPr>
              <w:jc w:val="center"/>
              <w:rPr>
                <w:b w:val="1"/>
                <w:sz w:val="18"/>
                <w:szCs w:val="18"/>
              </w:rPr>
            </w:pPr>
            <w:r w:rsidDel="00000000" w:rsidR="00000000" w:rsidRPr="00000000">
              <w:rPr>
                <w:b w:val="1"/>
                <w:sz w:val="18"/>
                <w:szCs w:val="18"/>
                <w:rtl w:val="0"/>
              </w:rPr>
              <w:t xml:space="preserve">12</w:t>
            </w:r>
          </w:p>
        </w:tc>
      </w:tr>
      <w:tr>
        <w:trPr>
          <w:cantSplit w:val="0"/>
          <w:tblHeader w:val="0"/>
        </w:trPr>
        <w:tc>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Revisión bibliográfica y marco teórico</w:t>
            </w:r>
          </w:p>
        </w:tc>
        <w:tc>
          <w:tcPr>
            <w:shd w:fill="auto" w:val="clear"/>
          </w:tcPr>
          <w:p w:rsidR="00000000" w:rsidDel="00000000" w:rsidP="00000000" w:rsidRDefault="00000000" w:rsidRPr="00000000" w14:paraId="000000E9">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0EA">
            <w:pPr>
              <w:jc w:val="both"/>
              <w:rPr>
                <w:b w:val="1"/>
                <w:sz w:val="18"/>
                <w:szCs w:val="18"/>
                <w:highlight w:val="yellow"/>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EB">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EC">
            <w:pPr>
              <w:jc w:val="both"/>
              <w:rPr>
                <w:b w:val="1"/>
                <w:sz w:val="18"/>
                <w:szCs w:val="18"/>
              </w:rPr>
            </w:pPr>
            <w:r w:rsidDel="00000000" w:rsidR="00000000" w:rsidRPr="00000000">
              <w:rPr>
                <w:b w:val="1"/>
                <w:sz w:val="18"/>
                <w:szCs w:val="18"/>
                <w:rtl w:val="0"/>
              </w:rPr>
              <w:t xml:space="preserve">x</w:t>
            </w:r>
          </w:p>
        </w:tc>
        <w:tc>
          <w:tcPr>
            <w:shd w:fill="auto" w:val="clear"/>
          </w:tcPr>
          <w:p w:rsidR="00000000" w:rsidDel="00000000" w:rsidP="00000000" w:rsidRDefault="00000000" w:rsidRPr="00000000" w14:paraId="000000ED">
            <w:pPr>
              <w:jc w:val="both"/>
              <w:rPr>
                <w:b w:val="1"/>
                <w:sz w:val="18"/>
                <w:szCs w:val="18"/>
              </w:rPr>
            </w:pPr>
            <w:r w:rsidDel="00000000" w:rsidR="00000000" w:rsidRPr="00000000">
              <w:rPr>
                <w:b w:val="1"/>
                <w:sz w:val="18"/>
                <w:szCs w:val="18"/>
                <w:rtl w:val="0"/>
              </w:rPr>
              <w:t xml:space="preserve">x</w:t>
            </w:r>
          </w:p>
        </w:tc>
        <w:tc>
          <w:tcPr/>
          <w:p w:rsidR="00000000" w:rsidDel="00000000" w:rsidP="00000000" w:rsidRDefault="00000000" w:rsidRPr="00000000" w14:paraId="000000EE">
            <w:pPr>
              <w:jc w:val="both"/>
              <w:rPr>
                <w:b w:val="1"/>
                <w:sz w:val="18"/>
                <w:szCs w:val="18"/>
              </w:rPr>
            </w:pPr>
            <w:r w:rsidDel="00000000" w:rsidR="00000000" w:rsidRPr="00000000">
              <w:rPr>
                <w:rtl w:val="0"/>
              </w:rPr>
            </w:r>
          </w:p>
        </w:tc>
        <w:tc>
          <w:tcPr/>
          <w:p w:rsidR="00000000" w:rsidDel="00000000" w:rsidP="00000000" w:rsidRDefault="00000000" w:rsidRPr="00000000" w14:paraId="000000EF">
            <w:pPr>
              <w:jc w:val="both"/>
              <w:rPr>
                <w:b w:val="1"/>
                <w:sz w:val="18"/>
                <w:szCs w:val="18"/>
              </w:rPr>
            </w:pPr>
            <w:r w:rsidDel="00000000" w:rsidR="00000000" w:rsidRPr="00000000">
              <w:rPr>
                <w:rtl w:val="0"/>
              </w:rPr>
            </w:r>
          </w:p>
        </w:tc>
        <w:tc>
          <w:tcPr/>
          <w:p w:rsidR="00000000" w:rsidDel="00000000" w:rsidP="00000000" w:rsidRDefault="00000000" w:rsidRPr="00000000" w14:paraId="000000F0">
            <w:pPr>
              <w:jc w:val="both"/>
              <w:rPr>
                <w:b w:val="1"/>
                <w:sz w:val="18"/>
                <w:szCs w:val="18"/>
              </w:rPr>
            </w:pPr>
            <w:r w:rsidDel="00000000" w:rsidR="00000000" w:rsidRPr="00000000">
              <w:rPr>
                <w:rtl w:val="0"/>
              </w:rPr>
            </w:r>
          </w:p>
        </w:tc>
        <w:tc>
          <w:tcPr/>
          <w:p w:rsidR="00000000" w:rsidDel="00000000" w:rsidP="00000000" w:rsidRDefault="00000000" w:rsidRPr="00000000" w14:paraId="000000F1">
            <w:pPr>
              <w:jc w:val="both"/>
              <w:rPr>
                <w:b w:val="1"/>
                <w:sz w:val="18"/>
                <w:szCs w:val="18"/>
              </w:rPr>
            </w:pPr>
            <w:r w:rsidDel="00000000" w:rsidR="00000000" w:rsidRPr="00000000">
              <w:rPr>
                <w:rtl w:val="0"/>
              </w:rPr>
            </w:r>
          </w:p>
        </w:tc>
        <w:tc>
          <w:tcPr/>
          <w:p w:rsidR="00000000" w:rsidDel="00000000" w:rsidP="00000000" w:rsidRDefault="00000000" w:rsidRPr="00000000" w14:paraId="000000F2">
            <w:pPr>
              <w:jc w:val="both"/>
              <w:rPr>
                <w:b w:val="1"/>
                <w:sz w:val="18"/>
                <w:szCs w:val="18"/>
              </w:rPr>
            </w:pPr>
            <w:r w:rsidDel="00000000" w:rsidR="00000000" w:rsidRPr="00000000">
              <w:rPr>
                <w:rtl w:val="0"/>
              </w:rPr>
            </w:r>
          </w:p>
        </w:tc>
        <w:tc>
          <w:tcPr/>
          <w:p w:rsidR="00000000" w:rsidDel="00000000" w:rsidP="00000000" w:rsidRDefault="00000000" w:rsidRPr="00000000" w14:paraId="000000F3">
            <w:pPr>
              <w:jc w:val="both"/>
              <w:rPr>
                <w:b w:val="1"/>
                <w:sz w:val="18"/>
                <w:szCs w:val="18"/>
              </w:rPr>
            </w:pPr>
            <w:r w:rsidDel="00000000" w:rsidR="00000000" w:rsidRPr="00000000">
              <w:rPr>
                <w:rtl w:val="0"/>
              </w:rPr>
            </w:r>
          </w:p>
        </w:tc>
        <w:tc>
          <w:tcPr/>
          <w:p w:rsidR="00000000" w:rsidDel="00000000" w:rsidP="00000000" w:rsidRDefault="00000000" w:rsidRPr="00000000" w14:paraId="000000F4">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Recolección y limpieza de datos</w:t>
            </w:r>
          </w:p>
        </w:tc>
        <w:tc>
          <w:tcPr>
            <w:shd w:fill="auto" w:val="clear"/>
          </w:tcPr>
          <w:p w:rsidR="00000000" w:rsidDel="00000000" w:rsidP="00000000" w:rsidRDefault="00000000" w:rsidRPr="00000000" w14:paraId="000000F6">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0F7">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0F8">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0F9">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FA">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0FB">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0FC">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D">
            <w:pPr>
              <w:jc w:val="both"/>
              <w:rPr>
                <w:b w:val="1"/>
                <w:sz w:val="18"/>
                <w:szCs w:val="18"/>
              </w:rPr>
            </w:pPr>
            <w:r w:rsidDel="00000000" w:rsidR="00000000" w:rsidRPr="00000000">
              <w:rPr>
                <w:rtl w:val="0"/>
              </w:rPr>
            </w:r>
          </w:p>
        </w:tc>
        <w:tc>
          <w:tcPr/>
          <w:p w:rsidR="00000000" w:rsidDel="00000000" w:rsidP="00000000" w:rsidRDefault="00000000" w:rsidRPr="00000000" w14:paraId="000000FE">
            <w:pPr>
              <w:jc w:val="both"/>
              <w:rPr>
                <w:b w:val="1"/>
                <w:sz w:val="18"/>
                <w:szCs w:val="18"/>
              </w:rPr>
            </w:pPr>
            <w:r w:rsidDel="00000000" w:rsidR="00000000" w:rsidRPr="00000000">
              <w:rPr>
                <w:rtl w:val="0"/>
              </w:rPr>
            </w:r>
          </w:p>
        </w:tc>
        <w:tc>
          <w:tcPr/>
          <w:p w:rsidR="00000000" w:rsidDel="00000000" w:rsidP="00000000" w:rsidRDefault="00000000" w:rsidRPr="00000000" w14:paraId="000000FF">
            <w:pPr>
              <w:jc w:val="both"/>
              <w:rPr>
                <w:b w:val="1"/>
                <w:sz w:val="18"/>
                <w:szCs w:val="18"/>
              </w:rPr>
            </w:pPr>
            <w:r w:rsidDel="00000000" w:rsidR="00000000" w:rsidRPr="00000000">
              <w:rPr>
                <w:rtl w:val="0"/>
              </w:rPr>
            </w:r>
          </w:p>
        </w:tc>
        <w:tc>
          <w:tcPr/>
          <w:p w:rsidR="00000000" w:rsidDel="00000000" w:rsidP="00000000" w:rsidRDefault="00000000" w:rsidRPr="00000000" w14:paraId="00000100">
            <w:pPr>
              <w:jc w:val="both"/>
              <w:rPr>
                <w:b w:val="1"/>
                <w:sz w:val="18"/>
                <w:szCs w:val="18"/>
              </w:rPr>
            </w:pPr>
            <w:r w:rsidDel="00000000" w:rsidR="00000000" w:rsidRPr="00000000">
              <w:rPr>
                <w:rtl w:val="0"/>
              </w:rPr>
            </w:r>
          </w:p>
        </w:tc>
        <w:tc>
          <w:tcPr/>
          <w:p w:rsidR="00000000" w:rsidDel="00000000" w:rsidP="00000000" w:rsidRDefault="00000000" w:rsidRPr="00000000" w14:paraId="00000101">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2">
            <w:pPr>
              <w:jc w:val="both"/>
              <w:rPr>
                <w:sz w:val="18"/>
                <w:szCs w:val="18"/>
              </w:rPr>
            </w:pPr>
            <w:r w:rsidDel="00000000" w:rsidR="00000000" w:rsidRPr="00000000">
              <w:rPr>
                <w:sz w:val="18"/>
                <w:szCs w:val="18"/>
                <w:rtl w:val="0"/>
              </w:rPr>
              <w:t xml:space="preserve">Pruebas estadísticas (estacionariedad, cointegración)</w:t>
            </w:r>
          </w:p>
        </w:tc>
        <w:tc>
          <w:tcPr>
            <w:shd w:fill="auto" w:val="clear"/>
          </w:tcPr>
          <w:p w:rsidR="00000000" w:rsidDel="00000000" w:rsidP="00000000" w:rsidRDefault="00000000" w:rsidRPr="00000000" w14:paraId="00000103">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04">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05">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06">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07">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8">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09">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0A">
            <w:pPr>
              <w:jc w:val="both"/>
              <w:rPr>
                <w:b w:val="1"/>
                <w:sz w:val="18"/>
                <w:szCs w:val="18"/>
              </w:rPr>
            </w:pPr>
            <w:r w:rsidDel="00000000" w:rsidR="00000000" w:rsidRPr="00000000">
              <w:rPr>
                <w:rtl w:val="0"/>
              </w:rPr>
            </w:r>
          </w:p>
        </w:tc>
        <w:tc>
          <w:tcPr/>
          <w:p w:rsidR="00000000" w:rsidDel="00000000" w:rsidP="00000000" w:rsidRDefault="00000000" w:rsidRPr="00000000" w14:paraId="0000010B">
            <w:pPr>
              <w:jc w:val="both"/>
              <w:rPr>
                <w:b w:val="1"/>
                <w:sz w:val="18"/>
                <w:szCs w:val="18"/>
              </w:rPr>
            </w:pPr>
            <w:r w:rsidDel="00000000" w:rsidR="00000000" w:rsidRPr="00000000">
              <w:rPr>
                <w:rtl w:val="0"/>
              </w:rPr>
            </w:r>
          </w:p>
        </w:tc>
        <w:tc>
          <w:tcPr/>
          <w:p w:rsidR="00000000" w:rsidDel="00000000" w:rsidP="00000000" w:rsidRDefault="00000000" w:rsidRPr="00000000" w14:paraId="0000010C">
            <w:pPr>
              <w:jc w:val="both"/>
              <w:rPr>
                <w:b w:val="1"/>
                <w:sz w:val="18"/>
                <w:szCs w:val="18"/>
              </w:rPr>
            </w:pPr>
            <w:r w:rsidDel="00000000" w:rsidR="00000000" w:rsidRPr="00000000">
              <w:rPr>
                <w:rtl w:val="0"/>
              </w:rPr>
            </w:r>
          </w:p>
        </w:tc>
        <w:tc>
          <w:tcPr/>
          <w:p w:rsidR="00000000" w:rsidDel="00000000" w:rsidP="00000000" w:rsidRDefault="00000000" w:rsidRPr="00000000" w14:paraId="0000010D">
            <w:pPr>
              <w:jc w:val="both"/>
              <w:rPr>
                <w:b w:val="1"/>
                <w:sz w:val="18"/>
                <w:szCs w:val="18"/>
              </w:rPr>
            </w:pPr>
            <w:r w:rsidDel="00000000" w:rsidR="00000000" w:rsidRPr="00000000">
              <w:rPr>
                <w:rtl w:val="0"/>
              </w:rPr>
            </w:r>
          </w:p>
        </w:tc>
        <w:tc>
          <w:tcPr/>
          <w:p w:rsidR="00000000" w:rsidDel="00000000" w:rsidP="00000000" w:rsidRDefault="00000000" w:rsidRPr="00000000" w14:paraId="0000010E">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F">
            <w:pPr>
              <w:jc w:val="both"/>
              <w:rPr>
                <w:sz w:val="18"/>
                <w:szCs w:val="18"/>
              </w:rPr>
            </w:pPr>
            <w:r w:rsidDel="00000000" w:rsidR="00000000" w:rsidRPr="00000000">
              <w:rPr>
                <w:sz w:val="18"/>
                <w:szCs w:val="18"/>
                <w:rtl w:val="0"/>
              </w:rPr>
              <w:t xml:space="preserve">Estimación de modelos VECM/VAR y análisis IRF/FEVD</w:t>
            </w:r>
          </w:p>
        </w:tc>
        <w:tc>
          <w:tcPr>
            <w:shd w:fill="auto" w:val="clear"/>
          </w:tcPr>
          <w:p w:rsidR="00000000" w:rsidDel="00000000" w:rsidP="00000000" w:rsidRDefault="00000000" w:rsidRPr="00000000" w14:paraId="00000110">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11">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12">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13">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14">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5">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6">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17">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18">
            <w:pPr>
              <w:jc w:val="both"/>
              <w:rPr>
                <w:b w:val="1"/>
                <w:sz w:val="18"/>
                <w:szCs w:val="18"/>
              </w:rPr>
            </w:pPr>
            <w:r w:rsidDel="00000000" w:rsidR="00000000" w:rsidRPr="00000000">
              <w:rPr>
                <w:rtl w:val="0"/>
              </w:rPr>
            </w:r>
          </w:p>
        </w:tc>
        <w:tc>
          <w:tcPr/>
          <w:p w:rsidR="00000000" w:rsidDel="00000000" w:rsidP="00000000" w:rsidRDefault="00000000" w:rsidRPr="00000000" w14:paraId="00000119">
            <w:pPr>
              <w:jc w:val="both"/>
              <w:rPr>
                <w:b w:val="1"/>
                <w:sz w:val="18"/>
                <w:szCs w:val="18"/>
              </w:rPr>
            </w:pPr>
            <w:r w:rsidDel="00000000" w:rsidR="00000000" w:rsidRPr="00000000">
              <w:rPr>
                <w:rtl w:val="0"/>
              </w:rPr>
            </w:r>
          </w:p>
        </w:tc>
        <w:tc>
          <w:tcPr/>
          <w:p w:rsidR="00000000" w:rsidDel="00000000" w:rsidP="00000000" w:rsidRDefault="00000000" w:rsidRPr="00000000" w14:paraId="0000011A">
            <w:pPr>
              <w:jc w:val="both"/>
              <w:rPr>
                <w:b w:val="1"/>
                <w:sz w:val="18"/>
                <w:szCs w:val="18"/>
              </w:rPr>
            </w:pPr>
            <w:r w:rsidDel="00000000" w:rsidR="00000000" w:rsidRPr="00000000">
              <w:rPr>
                <w:rtl w:val="0"/>
              </w:rPr>
            </w:r>
          </w:p>
        </w:tc>
        <w:tc>
          <w:tcPr/>
          <w:p w:rsidR="00000000" w:rsidDel="00000000" w:rsidP="00000000" w:rsidRDefault="00000000" w:rsidRPr="00000000" w14:paraId="0000011B">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C">
            <w:pPr>
              <w:jc w:val="both"/>
              <w:rPr>
                <w:sz w:val="18"/>
                <w:szCs w:val="18"/>
              </w:rPr>
            </w:pPr>
            <w:r w:rsidDel="00000000" w:rsidR="00000000" w:rsidRPr="00000000">
              <w:rPr>
                <w:sz w:val="18"/>
                <w:szCs w:val="18"/>
                <w:rtl w:val="0"/>
              </w:rPr>
              <w:t xml:space="preserve">Redacción de resultados y discusión</w:t>
            </w:r>
          </w:p>
        </w:tc>
        <w:tc>
          <w:tcPr>
            <w:shd w:fill="auto" w:val="clear"/>
          </w:tcPr>
          <w:p w:rsidR="00000000" w:rsidDel="00000000" w:rsidP="00000000" w:rsidRDefault="00000000" w:rsidRPr="00000000" w14:paraId="0000011D">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1E">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1F">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20">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21">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22">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23">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24">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shd w:fill="auto" w:val="clear"/>
          </w:tcPr>
          <w:p w:rsidR="00000000" w:rsidDel="00000000" w:rsidP="00000000" w:rsidRDefault="00000000" w:rsidRPr="00000000" w14:paraId="00000125">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26">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7">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8">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Revisión crítica y redacción final del trabajo</w:t>
            </w:r>
          </w:p>
        </w:tc>
        <w:tc>
          <w:tcPr>
            <w:shd w:fill="auto" w:val="clear"/>
          </w:tcPr>
          <w:p w:rsidR="00000000" w:rsidDel="00000000" w:rsidP="00000000" w:rsidRDefault="00000000" w:rsidRPr="00000000" w14:paraId="0000012A">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2B">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2C">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2D">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2E">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2F">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30">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31">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32">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33">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34">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35">
            <w:pPr>
              <w:jc w:val="both"/>
              <w:rPr>
                <w:b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Preparación del artículo académico</w:t>
            </w:r>
          </w:p>
        </w:tc>
        <w:tc>
          <w:tcPr>
            <w:shd w:fill="auto" w:val="clear"/>
          </w:tcPr>
          <w:p w:rsidR="00000000" w:rsidDel="00000000" w:rsidP="00000000" w:rsidRDefault="00000000" w:rsidRPr="00000000" w14:paraId="00000137">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38">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39">
            <w:pPr>
              <w:jc w:val="both"/>
              <w:rPr>
                <w:b w:val="1"/>
                <w:sz w:val="18"/>
                <w:szCs w:val="18"/>
              </w:rPr>
            </w:pPr>
            <w:r w:rsidDel="00000000" w:rsidR="00000000" w:rsidRPr="00000000">
              <w:rPr>
                <w:rtl w:val="0"/>
              </w:rPr>
            </w:r>
          </w:p>
        </w:tc>
        <w:tc>
          <w:tcPr>
            <w:shd w:fill="auto" w:val="clear"/>
          </w:tcPr>
          <w:p w:rsidR="00000000" w:rsidDel="00000000" w:rsidP="00000000" w:rsidRDefault="00000000" w:rsidRPr="00000000" w14:paraId="0000013A">
            <w:pPr>
              <w:jc w:val="both"/>
              <w:rPr>
                <w:b w:val="1"/>
                <w:sz w:val="18"/>
                <w:szCs w:val="18"/>
                <w:highlight w:val="yellow"/>
              </w:rPr>
            </w:pPr>
            <w:r w:rsidDel="00000000" w:rsidR="00000000" w:rsidRPr="00000000">
              <w:rPr>
                <w:rtl w:val="0"/>
              </w:rPr>
            </w:r>
          </w:p>
        </w:tc>
        <w:tc>
          <w:tcPr>
            <w:shd w:fill="auto" w:val="clear"/>
          </w:tcPr>
          <w:p w:rsidR="00000000" w:rsidDel="00000000" w:rsidP="00000000" w:rsidRDefault="00000000" w:rsidRPr="00000000" w14:paraId="0000013B">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3C">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3D">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3E">
            <w:pPr>
              <w:jc w:val="both"/>
              <w:rPr>
                <w:b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3F">
            <w:pPr>
              <w:jc w:val="both"/>
              <w:rPr>
                <w:b w:val="1"/>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0">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41">
            <w:pPr>
              <w:jc w:val="both"/>
              <w:rPr>
                <w:b w:val="1"/>
                <w:sz w:val="18"/>
                <w:szCs w:val="18"/>
              </w:rPr>
            </w:pPr>
            <w:r w:rsidDel="00000000" w:rsidR="00000000" w:rsidRPr="00000000">
              <w:rPr>
                <w:b w:val="1"/>
                <w:sz w:val="18"/>
                <w:szCs w:val="18"/>
                <w:rtl w:val="0"/>
              </w:rPr>
              <w:t xml:space="preserve">x</w:t>
            </w:r>
          </w:p>
        </w:tc>
        <w:tc>
          <w:tcPr>
            <w:tcBorders>
              <w:bottom w:color="000000" w:space="0" w:sz="4" w:val="single"/>
            </w:tcBorders>
          </w:tcPr>
          <w:p w:rsidR="00000000" w:rsidDel="00000000" w:rsidP="00000000" w:rsidRDefault="00000000" w:rsidRPr="00000000" w14:paraId="00000142">
            <w:pPr>
              <w:jc w:val="both"/>
              <w:rPr>
                <w:b w:val="1"/>
                <w:sz w:val="18"/>
                <w:szCs w:val="18"/>
              </w:rPr>
            </w:pPr>
            <w:r w:rsidDel="00000000" w:rsidR="00000000" w:rsidRPr="00000000">
              <w:rPr>
                <w:b w:val="1"/>
                <w:sz w:val="18"/>
                <w:szCs w:val="18"/>
                <w:rtl w:val="0"/>
              </w:rPr>
              <w:t xml:space="preserve">x</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Referencias bibliográficas y bibliografía (preliminar)</w:t>
      </w:r>
      <w:r w:rsidDel="00000000" w:rsidR="00000000" w:rsidRPr="00000000">
        <w:rPr>
          <w:rtl w:val="0"/>
        </w:rPr>
      </w:r>
    </w:p>
    <w:p w:rsidR="00000000" w:rsidDel="00000000" w:rsidP="00000000" w:rsidRDefault="00000000" w:rsidRPr="00000000" w14:paraId="00000149">
      <w:pPr>
        <w:ind w:firstLine="708"/>
        <w:jc w:val="both"/>
        <w:rPr/>
      </w:pPr>
      <w:r w:rsidDel="00000000" w:rsidR="00000000" w:rsidRPr="00000000">
        <w:rPr>
          <w:rtl w:val="0"/>
        </w:rPr>
      </w:r>
    </w:p>
    <w:p w:rsidR="00000000" w:rsidDel="00000000" w:rsidP="00000000" w:rsidRDefault="00000000" w:rsidRPr="00000000" w14:paraId="0000014A">
      <w:pPr>
        <w:ind w:firstLine="708"/>
        <w:jc w:val="both"/>
        <w:rPr/>
      </w:pPr>
      <w:r w:rsidDel="00000000" w:rsidR="00000000" w:rsidRPr="00000000">
        <w:rPr>
          <w:rtl w:val="0"/>
        </w:rPr>
      </w:r>
    </w:p>
    <w:p w:rsidR="00000000" w:rsidDel="00000000" w:rsidP="00000000" w:rsidRDefault="00000000" w:rsidRPr="00000000" w14:paraId="0000014B">
      <w:pPr>
        <w:numPr>
          <w:ilvl w:val="0"/>
          <w:numId w:val="4"/>
        </w:numPr>
        <w:ind w:left="720" w:hanging="360"/>
        <w:jc w:val="both"/>
        <w:rPr>
          <w:u w:val="none"/>
        </w:rPr>
      </w:pPr>
      <w:r w:rsidDel="00000000" w:rsidR="00000000" w:rsidRPr="00000000">
        <w:rPr>
          <w:rtl w:val="0"/>
        </w:rPr>
        <w:t xml:space="preserve">Banco Central do Brasil (BCB). (varios años). Indicadores econômicos e financeiros. </w:t>
      </w:r>
      <w:hyperlink r:id="rId7">
        <w:r w:rsidDel="00000000" w:rsidR="00000000" w:rsidRPr="00000000">
          <w:rPr>
            <w:color w:val="1155cc"/>
            <w:u w:val="single"/>
            <w:rtl w:val="0"/>
          </w:rPr>
          <w:t xml:space="preserve">https://www.bcb.gov.br</w:t>
        </w:r>
      </w:hyperlink>
      <w:r w:rsidDel="00000000" w:rsidR="00000000" w:rsidRPr="00000000">
        <w:rPr>
          <w:rtl w:val="0"/>
        </w:rPr>
      </w:r>
    </w:p>
    <w:p w:rsidR="00000000" w:rsidDel="00000000" w:rsidP="00000000" w:rsidRDefault="00000000" w:rsidRPr="00000000" w14:paraId="0000014C">
      <w:pPr>
        <w:numPr>
          <w:ilvl w:val="0"/>
          <w:numId w:val="4"/>
        </w:numPr>
        <w:ind w:left="720" w:hanging="360"/>
        <w:jc w:val="both"/>
        <w:rPr>
          <w:u w:val="none"/>
        </w:rPr>
      </w:pPr>
      <w:r w:rsidDel="00000000" w:rsidR="00000000" w:rsidRPr="00000000">
        <w:rPr>
          <w:rtl w:val="0"/>
        </w:rPr>
        <w:t xml:space="preserve">Banco de Pagos Internacionales (BIS). (varios años). Base de datos de estadísticas macrofinancieras. </w:t>
      </w:r>
      <w:hyperlink r:id="rId8">
        <w:r w:rsidDel="00000000" w:rsidR="00000000" w:rsidRPr="00000000">
          <w:rPr>
            <w:color w:val="1155cc"/>
            <w:u w:val="single"/>
            <w:rtl w:val="0"/>
          </w:rPr>
          <w:t xml:space="preserve">https://www.bis.org/statistics/</w:t>
        </w:r>
      </w:hyperlink>
      <w:r w:rsidDel="00000000" w:rsidR="00000000" w:rsidRPr="00000000">
        <w:rPr>
          <w:rtl w:val="0"/>
        </w:rPr>
      </w:r>
    </w:p>
    <w:p w:rsidR="00000000" w:rsidDel="00000000" w:rsidP="00000000" w:rsidRDefault="00000000" w:rsidRPr="00000000" w14:paraId="0000014D">
      <w:pPr>
        <w:numPr>
          <w:ilvl w:val="0"/>
          <w:numId w:val="4"/>
        </w:numPr>
        <w:ind w:left="720" w:hanging="360"/>
        <w:jc w:val="both"/>
        <w:rPr>
          <w:u w:val="none"/>
        </w:rPr>
      </w:pPr>
      <w:r w:rsidDel="00000000" w:rsidR="00000000" w:rsidRPr="00000000">
        <w:rPr>
          <w:rtl w:val="0"/>
        </w:rPr>
        <w:t xml:space="preserve">Carvalho, A. G. de, &amp; Marques, F. T. (2020). The microstructure of the Brazilian market for corporate bonds. Revista Brasileira de Gestão de Negócios, 22(Special Issue), 482–500. </w:t>
      </w:r>
      <w:hyperlink r:id="rId9">
        <w:r w:rsidDel="00000000" w:rsidR="00000000" w:rsidRPr="00000000">
          <w:rPr>
            <w:color w:val="1155cc"/>
            <w:u w:val="single"/>
            <w:rtl w:val="0"/>
          </w:rPr>
          <w:t xml:space="preserve">https://doi.org/10.7819/rbgn.v22i0.4061</w:t>
        </w:r>
      </w:hyperlink>
      <w:r w:rsidDel="00000000" w:rsidR="00000000" w:rsidRPr="00000000">
        <w:rPr>
          <w:rtl w:val="0"/>
        </w:rPr>
      </w:r>
    </w:p>
    <w:p w:rsidR="00000000" w:rsidDel="00000000" w:rsidP="00000000" w:rsidRDefault="00000000" w:rsidRPr="00000000" w14:paraId="0000014E">
      <w:pPr>
        <w:numPr>
          <w:ilvl w:val="0"/>
          <w:numId w:val="4"/>
        </w:numPr>
        <w:ind w:left="720" w:hanging="360"/>
        <w:jc w:val="both"/>
        <w:rPr>
          <w:u w:val="none"/>
        </w:rPr>
      </w:pPr>
      <w:r w:rsidDel="00000000" w:rsidR="00000000" w:rsidRPr="00000000">
        <w:rPr>
          <w:rtl w:val="0"/>
        </w:rPr>
        <w:t xml:space="preserve">Durbin, E., &amp; Ng, D. (2001). The sovereign ceiling and emerging market corporate bond spreads: A new dataset and methodology (World Bank Policy Research Working Paper No. 2561). </w:t>
      </w:r>
      <w:hyperlink r:id="rId10">
        <w:r w:rsidDel="00000000" w:rsidR="00000000" w:rsidRPr="00000000">
          <w:rPr>
            <w:color w:val="1155cc"/>
            <w:u w:val="single"/>
            <w:rtl w:val="0"/>
          </w:rPr>
          <w:t xml:space="preserve">https://documents.worldbank.org/en/publication/documents-reports/documentdetail/372801468739801225</w:t>
        </w:r>
      </w:hyperlink>
      <w:r w:rsidDel="00000000" w:rsidR="00000000" w:rsidRPr="00000000">
        <w:rPr>
          <w:rtl w:val="0"/>
        </w:rPr>
      </w:r>
    </w:p>
    <w:p w:rsidR="00000000" w:rsidDel="00000000" w:rsidP="00000000" w:rsidRDefault="00000000" w:rsidRPr="00000000" w14:paraId="0000014F">
      <w:pPr>
        <w:numPr>
          <w:ilvl w:val="0"/>
          <w:numId w:val="4"/>
        </w:numPr>
        <w:ind w:left="720" w:hanging="360"/>
        <w:jc w:val="both"/>
        <w:rPr>
          <w:u w:val="none"/>
        </w:rPr>
      </w:pPr>
      <w:r w:rsidDel="00000000" w:rsidR="00000000" w:rsidRPr="00000000">
        <w:rPr>
          <w:rtl w:val="0"/>
        </w:rPr>
        <w:t xml:space="preserve">Espinoza, R. A., &amp; Prasad, A. (2012). Sovereign credit ratings and spreads in emerging markets: Does investment grade matter? (IMF Working Paper No. 12/140). </w:t>
      </w:r>
      <w:hyperlink r:id="rId11">
        <w:r w:rsidDel="00000000" w:rsidR="00000000" w:rsidRPr="00000000">
          <w:rPr>
            <w:color w:val="1155cc"/>
            <w:u w:val="single"/>
            <w:rtl w:val="0"/>
          </w:rPr>
          <w:t xml:space="preserve">https://www.imf.org/en/Publications/WP/Issues/2016/12/31/Sovereign-Credit-Ratings-and-Spreads-in-Emerging-Markets-Does-Investment-Grade-Matter-25984</w:t>
        </w:r>
      </w:hyperlink>
      <w:r w:rsidDel="00000000" w:rsidR="00000000" w:rsidRPr="00000000">
        <w:rPr>
          <w:rtl w:val="0"/>
        </w:rPr>
      </w:r>
    </w:p>
    <w:p w:rsidR="00000000" w:rsidDel="00000000" w:rsidP="00000000" w:rsidRDefault="00000000" w:rsidRPr="00000000" w14:paraId="00000150">
      <w:pPr>
        <w:numPr>
          <w:ilvl w:val="0"/>
          <w:numId w:val="4"/>
        </w:numPr>
        <w:ind w:left="720" w:hanging="360"/>
        <w:jc w:val="both"/>
        <w:rPr>
          <w:u w:val="none"/>
        </w:rPr>
      </w:pPr>
      <w:r w:rsidDel="00000000" w:rsidR="00000000" w:rsidRPr="00000000">
        <w:rPr>
          <w:rtl w:val="0"/>
        </w:rPr>
        <w:t xml:space="preserve">Fondo Monetario Internacional (FMI). (varios años). World Economic Outlook Database y International Financial Statistics. </w:t>
      </w:r>
      <w:hyperlink r:id="rId12">
        <w:r w:rsidDel="00000000" w:rsidR="00000000" w:rsidRPr="00000000">
          <w:rPr>
            <w:color w:val="1155cc"/>
            <w:u w:val="single"/>
            <w:rtl w:val="0"/>
          </w:rPr>
          <w:t xml:space="preserve">https://www.imf.org</w:t>
        </w:r>
      </w:hyperlink>
      <w:r w:rsidDel="00000000" w:rsidR="00000000" w:rsidRPr="00000000">
        <w:rPr>
          <w:rtl w:val="0"/>
        </w:rPr>
      </w:r>
    </w:p>
    <w:p w:rsidR="00000000" w:rsidDel="00000000" w:rsidP="00000000" w:rsidRDefault="00000000" w:rsidRPr="00000000" w14:paraId="00000151">
      <w:pPr>
        <w:numPr>
          <w:ilvl w:val="0"/>
          <w:numId w:val="4"/>
        </w:numPr>
        <w:ind w:left="720" w:hanging="360"/>
        <w:jc w:val="both"/>
        <w:rPr>
          <w:u w:val="none"/>
        </w:rPr>
      </w:pPr>
      <w:r w:rsidDel="00000000" w:rsidR="00000000" w:rsidRPr="00000000">
        <w:rPr>
          <w:rtl w:val="0"/>
        </w:rPr>
        <w:t xml:space="preserve">Gómez-González, J. E., Uribe, J. M., &amp; Valencia, O. M. (2022). Risk spillovers between global corporations and Latin American sovereigns: Global factors matter. Applied Economics, 55(13), 1477–1496. </w:t>
      </w:r>
      <w:hyperlink r:id="rId13">
        <w:r w:rsidDel="00000000" w:rsidR="00000000" w:rsidRPr="00000000">
          <w:rPr>
            <w:color w:val="1155cc"/>
            <w:u w:val="single"/>
            <w:rtl w:val="0"/>
          </w:rPr>
          <w:t xml:space="preserve">https://doi.org/10.1080/00036846.2022.2097193</w:t>
        </w:r>
      </w:hyperlink>
      <w:r w:rsidDel="00000000" w:rsidR="00000000" w:rsidRPr="00000000">
        <w:rPr>
          <w:rtl w:val="0"/>
        </w:rPr>
      </w:r>
    </w:p>
    <w:p w:rsidR="00000000" w:rsidDel="00000000" w:rsidP="00000000" w:rsidRDefault="00000000" w:rsidRPr="00000000" w14:paraId="00000152">
      <w:pPr>
        <w:numPr>
          <w:ilvl w:val="0"/>
          <w:numId w:val="4"/>
        </w:numPr>
        <w:ind w:left="720" w:hanging="360"/>
        <w:jc w:val="both"/>
        <w:rPr>
          <w:u w:val="none"/>
        </w:rPr>
      </w:pPr>
      <w:r w:rsidDel="00000000" w:rsidR="00000000" w:rsidRPr="00000000">
        <w:rPr>
          <w:rtl w:val="0"/>
        </w:rPr>
        <w:t xml:space="preserve">González‐Rozada, M., &amp; Levy Yeyati, E. (2008). Global factors and emerging market spreads. The Economic Journal, 118(533), 1917–1936. </w:t>
      </w:r>
      <w:hyperlink r:id="rId14">
        <w:r w:rsidDel="00000000" w:rsidR="00000000" w:rsidRPr="00000000">
          <w:rPr>
            <w:color w:val="1155cc"/>
            <w:u w:val="single"/>
            <w:rtl w:val="0"/>
          </w:rPr>
          <w:t xml:space="preserve">https://doi.org/10.1111/j.1468-0297.2008.02196.x</w:t>
        </w:r>
      </w:hyperlink>
      <w:r w:rsidDel="00000000" w:rsidR="00000000" w:rsidRPr="00000000">
        <w:rPr>
          <w:rtl w:val="0"/>
        </w:rPr>
      </w:r>
    </w:p>
    <w:p w:rsidR="00000000" w:rsidDel="00000000" w:rsidP="00000000" w:rsidRDefault="00000000" w:rsidRPr="00000000" w14:paraId="00000153">
      <w:pPr>
        <w:numPr>
          <w:ilvl w:val="0"/>
          <w:numId w:val="4"/>
        </w:numPr>
        <w:ind w:left="720" w:hanging="360"/>
        <w:jc w:val="both"/>
        <w:rPr>
          <w:u w:val="none"/>
        </w:rPr>
      </w:pPr>
      <w:r w:rsidDel="00000000" w:rsidR="00000000" w:rsidRPr="00000000">
        <w:rPr>
          <w:rtl w:val="0"/>
        </w:rPr>
        <w:t xml:space="preserve">Grandes, M., &amp; Peter, M. (2005). How important is sovereign risk in determining corporate default premia? The case of South Africa (IMF Working Paper No. 05/217). </w:t>
      </w:r>
      <w:hyperlink r:id="rId15">
        <w:r w:rsidDel="00000000" w:rsidR="00000000" w:rsidRPr="00000000">
          <w:rPr>
            <w:color w:val="1155cc"/>
            <w:u w:val="single"/>
            <w:rtl w:val="0"/>
          </w:rPr>
          <w:t xml:space="preserve">https://www.imf.org/en/Publications/WP/Issues/2016/12/31/How-Important-Is-Sovereign-Risk-in-Determining-Corporate-Default-Premia-The-Case-of-South-18634</w:t>
        </w:r>
      </w:hyperlink>
      <w:r w:rsidDel="00000000" w:rsidR="00000000" w:rsidRPr="00000000">
        <w:rPr>
          <w:rtl w:val="0"/>
        </w:rPr>
      </w:r>
    </w:p>
    <w:p w:rsidR="00000000" w:rsidDel="00000000" w:rsidP="00000000" w:rsidRDefault="00000000" w:rsidRPr="00000000" w14:paraId="00000154">
      <w:pPr>
        <w:numPr>
          <w:ilvl w:val="0"/>
          <w:numId w:val="4"/>
        </w:numPr>
        <w:ind w:left="720" w:hanging="360"/>
        <w:jc w:val="both"/>
        <w:rPr>
          <w:u w:val="none"/>
        </w:rPr>
      </w:pPr>
      <w:r w:rsidDel="00000000" w:rsidR="00000000" w:rsidRPr="00000000">
        <w:rPr>
          <w:rtl w:val="0"/>
        </w:rPr>
        <w:t xml:space="preserve">Grandes, M., Panigo, D. T., &amp; Pasquini, R. A. (2017). Corporate credit spreads and the sovereign ceiling in Latin America. Emerging Markets Finance and Trade, 53(5), 1217–1240. </w:t>
      </w:r>
      <w:hyperlink r:id="rId16">
        <w:r w:rsidDel="00000000" w:rsidR="00000000" w:rsidRPr="00000000">
          <w:rPr>
            <w:color w:val="1155cc"/>
            <w:u w:val="single"/>
            <w:rtl w:val="0"/>
          </w:rPr>
          <w:t xml:space="preserve">https://doi.org/10.1080/1540496X.2016.1174853</w:t>
        </w:r>
      </w:hyperlink>
      <w:r w:rsidDel="00000000" w:rsidR="00000000" w:rsidRPr="00000000">
        <w:rPr>
          <w:rtl w:val="0"/>
        </w:rPr>
      </w:r>
    </w:p>
    <w:p w:rsidR="00000000" w:rsidDel="00000000" w:rsidP="00000000" w:rsidRDefault="00000000" w:rsidRPr="00000000" w14:paraId="00000155">
      <w:pPr>
        <w:numPr>
          <w:ilvl w:val="0"/>
          <w:numId w:val="4"/>
        </w:numPr>
        <w:ind w:left="720" w:hanging="360"/>
        <w:jc w:val="both"/>
        <w:rPr>
          <w:u w:val="none"/>
        </w:rPr>
      </w:pPr>
      <w:r w:rsidDel="00000000" w:rsidR="00000000" w:rsidRPr="00000000">
        <w:rPr>
          <w:rtl w:val="0"/>
        </w:rPr>
        <w:t xml:space="preserve">JP Morgan. (varios años). EMBI Global Index.</w:t>
      </w:r>
    </w:p>
    <w:p w:rsidR="00000000" w:rsidDel="00000000" w:rsidP="00000000" w:rsidRDefault="00000000" w:rsidRPr="00000000" w14:paraId="00000156">
      <w:pPr>
        <w:numPr>
          <w:ilvl w:val="0"/>
          <w:numId w:val="4"/>
        </w:numPr>
        <w:ind w:left="720" w:hanging="360"/>
        <w:jc w:val="both"/>
        <w:rPr>
          <w:u w:val="none"/>
        </w:rPr>
      </w:pPr>
      <w:r w:rsidDel="00000000" w:rsidR="00000000" w:rsidRPr="00000000">
        <w:rPr>
          <w:rtl w:val="0"/>
        </w:rPr>
        <w:t xml:space="preserve">Liu, Z., &amp; Spencer, P. (2013). Modelling sovereign credit spreads with international macro-factors: The case of Brazil 1998–2009. Journal of Banking &amp; Finance, 37(2), 241–256. </w:t>
      </w:r>
      <w:hyperlink r:id="rId17">
        <w:r w:rsidDel="00000000" w:rsidR="00000000" w:rsidRPr="00000000">
          <w:rPr>
            <w:color w:val="1155cc"/>
            <w:u w:val="single"/>
            <w:rtl w:val="0"/>
          </w:rPr>
          <w:t xml:space="preserve">https://doi.org/10.1016/j.jbankfin.2012.08.012</w:t>
        </w:r>
      </w:hyperlink>
      <w:r w:rsidDel="00000000" w:rsidR="00000000" w:rsidRPr="00000000">
        <w:rPr>
          <w:rtl w:val="0"/>
        </w:rPr>
      </w:r>
    </w:p>
    <w:p w:rsidR="00000000" w:rsidDel="00000000" w:rsidP="00000000" w:rsidRDefault="00000000" w:rsidRPr="00000000" w14:paraId="00000157">
      <w:pPr>
        <w:numPr>
          <w:ilvl w:val="0"/>
          <w:numId w:val="4"/>
        </w:numPr>
        <w:ind w:left="720" w:hanging="360"/>
        <w:jc w:val="both"/>
        <w:rPr>
          <w:u w:val="none"/>
        </w:rPr>
      </w:pPr>
      <w:r w:rsidDel="00000000" w:rsidR="00000000" w:rsidRPr="00000000">
        <w:rPr>
          <w:rtl w:val="0"/>
        </w:rPr>
        <w:t xml:space="preserve">OECD, ECLAC, CAF, &amp; European Commission. (2024). Mercado de capitales [Capital Markets] (Chapter 3). In Latin American Economic Outlook 2024: Financing Sustainable Development (pp. 119–174). OECD Publishing. </w:t>
      </w:r>
      <w:hyperlink r:id="rId18">
        <w:r w:rsidDel="00000000" w:rsidR="00000000" w:rsidRPr="00000000">
          <w:rPr>
            <w:color w:val="1155cc"/>
            <w:u w:val="single"/>
            <w:rtl w:val="0"/>
          </w:rPr>
          <w:t xml:space="preserve">https://doi.org/10.1787/c437947f-en</w:t>
        </w:r>
      </w:hyperlink>
      <w:r w:rsidDel="00000000" w:rsidR="00000000" w:rsidRPr="00000000">
        <w:rPr>
          <w:rtl w:val="0"/>
        </w:rPr>
      </w:r>
    </w:p>
    <w:p w:rsidR="00000000" w:rsidDel="00000000" w:rsidP="00000000" w:rsidRDefault="00000000" w:rsidRPr="00000000" w14:paraId="00000158">
      <w:pPr>
        <w:numPr>
          <w:ilvl w:val="0"/>
          <w:numId w:val="4"/>
        </w:numPr>
        <w:ind w:left="720" w:hanging="360"/>
        <w:jc w:val="both"/>
        <w:rPr>
          <w:u w:val="none"/>
        </w:rPr>
      </w:pPr>
      <w:r w:rsidDel="00000000" w:rsidR="00000000" w:rsidRPr="00000000">
        <w:rPr>
          <w:rtl w:val="0"/>
        </w:rPr>
        <w:t xml:space="preserve">Silva, E. O., &amp; Paulo, W. L. (2015). Determinants of sovereign CDS spreads: Evidence from Brazil. International Business Research, 8(7), 102–112. </w:t>
      </w:r>
      <w:hyperlink r:id="rId19">
        <w:r w:rsidDel="00000000" w:rsidR="00000000" w:rsidRPr="00000000">
          <w:rPr>
            <w:color w:val="1155cc"/>
            <w:u w:val="single"/>
            <w:rtl w:val="0"/>
          </w:rPr>
          <w:t xml:space="preserve">https://pdfs.semanticscholar.org/1558/e90ca70eec0d1e1208ed07261f14ea76dee8.pdf</w:t>
        </w:r>
      </w:hyperlink>
      <w:r w:rsidDel="00000000" w:rsidR="00000000" w:rsidRPr="00000000">
        <w:rPr>
          <w:rtl w:val="0"/>
        </w:rPr>
      </w:r>
    </w:p>
    <w:p w:rsidR="00000000" w:rsidDel="00000000" w:rsidP="00000000" w:rsidRDefault="00000000" w:rsidRPr="00000000" w14:paraId="00000159">
      <w:pPr>
        <w:numPr>
          <w:ilvl w:val="0"/>
          <w:numId w:val="4"/>
        </w:numPr>
        <w:ind w:left="720" w:hanging="360"/>
        <w:jc w:val="both"/>
        <w:rPr>
          <w:u w:val="none"/>
        </w:rPr>
      </w:pPr>
      <w:r w:rsidDel="00000000" w:rsidR="00000000" w:rsidRPr="00000000">
        <w:rPr>
          <w:rtl w:val="0"/>
        </w:rPr>
        <w:t xml:space="preserve">Wooldridge, J. M. (2019). Introductory Econometrics: A Modern Approach (7th ed.). Cengage.</w:t>
      </w:r>
    </w:p>
    <w:p w:rsidR="00000000" w:rsidDel="00000000" w:rsidP="00000000" w:rsidRDefault="00000000" w:rsidRPr="00000000" w14:paraId="0000015A">
      <w:pPr>
        <w:ind w:firstLine="708"/>
        <w:jc w:val="both"/>
        <w:rPr/>
      </w:pPr>
      <w:r w:rsidDel="00000000" w:rsidR="00000000" w:rsidRPr="00000000">
        <w:rPr>
          <w:rtl w:val="0"/>
        </w:rPr>
      </w:r>
    </w:p>
    <w:p w:rsidR="00000000" w:rsidDel="00000000" w:rsidP="00000000" w:rsidRDefault="00000000" w:rsidRPr="00000000" w14:paraId="0000015B">
      <w:pPr>
        <w:ind w:firstLine="708"/>
        <w:jc w:val="both"/>
        <w:rPr/>
      </w:pPr>
      <w:r w:rsidDel="00000000" w:rsidR="00000000" w:rsidRPr="00000000">
        <w:rPr>
          <w:rtl w:val="0"/>
        </w:rPr>
      </w:r>
    </w:p>
    <w:p w:rsidR="00000000" w:rsidDel="00000000" w:rsidP="00000000" w:rsidRDefault="00000000" w:rsidRPr="00000000" w14:paraId="0000015C">
      <w:pPr>
        <w:jc w:val="both"/>
        <w:rPr>
          <w:color w:val="339966"/>
        </w:rPr>
      </w:pPr>
      <w:r w:rsidDel="00000000" w:rsidR="00000000" w:rsidRPr="00000000">
        <w:rPr>
          <w:rtl w:val="0"/>
        </w:rPr>
      </w:r>
    </w:p>
    <w:p w:rsidR="00000000" w:rsidDel="00000000" w:rsidP="00000000" w:rsidRDefault="00000000" w:rsidRPr="00000000" w14:paraId="0000015D">
      <w:pPr>
        <w:jc w:val="both"/>
        <w:rPr>
          <w:color w:val="339966"/>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anexos se utilizan para presentar información aclaratoria/complementaria del proyecto. (Protocolos de instrumentos de recolección de datos, mapas, estadísticas, fotos, etc.). </w:t>
      </w:r>
    </w:p>
    <w:p w:rsidR="00000000" w:rsidDel="00000000" w:rsidP="00000000" w:rsidRDefault="00000000" w:rsidRPr="00000000" w14:paraId="00000161">
      <w:pPr>
        <w:spacing w:after="240" w:before="240" w:line="276" w:lineRule="auto"/>
        <w:ind w:firstLine="20"/>
        <w:jc w:val="both"/>
        <w:rPr>
          <w:sz w:val="26"/>
          <w:szCs w:val="26"/>
        </w:rPr>
      </w:pPr>
      <w:hyperlink r:id="rId20">
        <w:r w:rsidDel="00000000" w:rsidR="00000000" w:rsidRPr="00000000">
          <w:rPr>
            <w:color w:val="1155cc"/>
            <w:u w:val="single"/>
            <w:rtl w:val="0"/>
          </w:rPr>
          <w:t xml:space="preserve">https://github.com/thiagossiqueira/econ_research_archive/blob/master</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spacing w:after="200" w:line="276" w:lineRule="auto"/>
        <w:rPr>
          <w:b w:val="1"/>
          <w:i w:val="1"/>
        </w:rPr>
        <w:sectPr>
          <w:headerReference r:id="rId21" w:type="default"/>
          <w:footerReference r:id="rId22" w:type="default"/>
          <w:pgSz w:h="16840" w:w="11907" w:orient="portrait"/>
          <w:pgMar w:bottom="1418" w:top="2693" w:left="1701" w:right="1418"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1"/>
        </w:rPr>
      </w:pPr>
      <w:r w:rsidDel="00000000" w:rsidR="00000000" w:rsidRPr="00000000">
        <w:rPr>
          <w:rtl w:val="0"/>
        </w:rPr>
      </w:r>
    </w:p>
    <w:tbl>
      <w:tblPr>
        <w:tblStyle w:val="Table3"/>
        <w:tblW w:w="8431.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4794"/>
        <w:gridCol w:w="397"/>
        <w:gridCol w:w="18"/>
        <w:gridCol w:w="3205"/>
        <w:gridCol w:w="17"/>
        <w:tblGridChange w:id="0">
          <w:tblGrid>
            <w:gridCol w:w="4794"/>
            <w:gridCol w:w="397"/>
            <w:gridCol w:w="18"/>
            <w:gridCol w:w="3205"/>
            <w:gridCol w:w="17"/>
          </w:tblGrid>
        </w:tblGridChange>
      </w:tblGrid>
      <w:tr>
        <w:trPr>
          <w:cantSplit w:val="0"/>
          <w:trHeight w:val="895" w:hRule="atLeast"/>
          <w:tblHeader w:val="0"/>
        </w:trPr>
        <w:tc>
          <w:tcPr>
            <w:gridSpan w:val="2"/>
            <w:tcBorders>
              <w:top w:color="000000" w:space="0" w:sz="6" w:val="single"/>
              <w:bottom w:color="000000" w:space="0" w:sz="18" w:val="single"/>
            </w:tcBorders>
            <w:vAlign w:val="center"/>
          </w:tcPr>
          <w:p w:rsidR="00000000" w:rsidDel="00000000" w:rsidP="00000000" w:rsidRDefault="00000000" w:rsidRPr="00000000" w14:paraId="00000166">
            <w:pPr>
              <w:rPr>
                <w:rFonts w:ascii="Arial Rounded" w:cs="Arial Rounded" w:eastAsia="Arial Rounded" w:hAnsi="Arial Rounded"/>
                <w:b w:val="1"/>
              </w:rPr>
            </w:pPr>
            <w:r w:rsidDel="00000000" w:rsidR="00000000" w:rsidRPr="00000000">
              <w:rPr>
                <w:rFonts w:ascii="Arial Rounded" w:cs="Arial Rounded" w:eastAsia="Arial Rounded" w:hAnsi="Arial Rounded"/>
                <w:b w:val="1"/>
                <w:rtl w:val="0"/>
              </w:rPr>
              <w:t xml:space="preserve">Solicitud de aprobación de</w:t>
            </w:r>
          </w:p>
          <w:p w:rsidR="00000000" w:rsidDel="00000000" w:rsidP="00000000" w:rsidRDefault="00000000" w:rsidRPr="00000000" w14:paraId="00000167">
            <w:pPr>
              <w:rPr/>
            </w:pPr>
            <w:r w:rsidDel="00000000" w:rsidR="00000000" w:rsidRPr="00000000">
              <w:rPr>
                <w:rFonts w:ascii="Arial Rounded" w:cs="Arial Rounded" w:eastAsia="Arial Rounded" w:hAnsi="Arial Rounded"/>
                <w:b w:val="1"/>
                <w:rtl w:val="0"/>
              </w:rPr>
              <w:t xml:space="preserve">PROYECTO DE TRABAJO FINAL DE MAESTRÍA</w:t>
            </w:r>
            <w:r w:rsidDel="00000000" w:rsidR="00000000" w:rsidRPr="00000000">
              <w:rPr>
                <w:rtl w:val="0"/>
              </w:rPr>
            </w:r>
          </w:p>
        </w:tc>
        <w:tc>
          <w:tcPr>
            <w:gridSpan w:val="3"/>
            <w:tcBorders>
              <w:top w:color="000000" w:space="0" w:sz="6" w:val="single"/>
              <w:bottom w:color="000000" w:space="0" w:sz="18" w:val="single"/>
            </w:tcBorders>
            <w:shd w:fill="auto" w:val="clear"/>
          </w:tcPr>
          <w:p w:rsidR="00000000" w:rsidDel="00000000" w:rsidP="00000000" w:rsidRDefault="00000000" w:rsidRPr="00000000" w14:paraId="00000169">
            <w:pPr>
              <w:rPr>
                <w:sz w:val="20"/>
                <w:szCs w:val="20"/>
              </w:rPr>
            </w:pPr>
            <w:r w:rsidDel="00000000" w:rsidR="00000000" w:rsidRPr="00000000">
              <w:rPr>
                <w:sz w:val="20"/>
                <w:szCs w:val="20"/>
                <w:rtl w:val="0"/>
              </w:rPr>
              <w:t xml:space="preserve">Código de la Maestría</w:t>
            </w:r>
          </w:p>
          <w:p w:rsidR="00000000" w:rsidDel="00000000" w:rsidP="00000000" w:rsidRDefault="00000000" w:rsidRPr="00000000" w14:paraId="0000016A">
            <w:pPr>
              <w:rPr>
                <w:rFonts w:ascii="Arial Black" w:cs="Arial Black" w:eastAsia="Arial Black" w:hAnsi="Arial Black"/>
                <w:b w:val="1"/>
                <w:sz w:val="20"/>
                <w:szCs w:val="20"/>
              </w:rPr>
            </w:pPr>
            <w:r w:rsidDel="00000000" w:rsidR="00000000" w:rsidRPr="00000000">
              <w:rPr>
                <w:rFonts w:ascii="Arial Black" w:cs="Arial Black" w:eastAsia="Arial Black" w:hAnsi="Arial Black"/>
                <w:b w:val="1"/>
                <w:sz w:val="20"/>
                <w:szCs w:val="20"/>
                <w:rtl w:val="0"/>
              </w:rPr>
              <w:t xml:space="preserve">                                                                                                                                </w:t>
            </w:r>
          </w:p>
        </w:tc>
      </w:tr>
      <w:tr>
        <w:trPr>
          <w:cantSplit w:val="0"/>
          <w:trHeight w:val="729" w:hRule="atLeast"/>
          <w:tblHeader w:val="0"/>
        </w:trPr>
        <w:tc>
          <w:tcPr>
            <w:gridSpan w:val="2"/>
            <w:tcBorders>
              <w:top w:color="000000" w:space="0" w:sz="18" w:val="single"/>
            </w:tcBorders>
          </w:tcPr>
          <w:p w:rsidR="00000000" w:rsidDel="00000000" w:rsidP="00000000" w:rsidRDefault="00000000" w:rsidRPr="00000000" w14:paraId="0000016D">
            <w:pPr>
              <w:spacing w:after="120" w:lineRule="auto"/>
              <w:rPr>
                <w:sz w:val="20"/>
                <w:szCs w:val="20"/>
              </w:rPr>
            </w:pPr>
            <w:r w:rsidDel="00000000" w:rsidR="00000000" w:rsidRPr="00000000">
              <w:rPr>
                <w:sz w:val="20"/>
                <w:szCs w:val="20"/>
                <w:rtl w:val="0"/>
              </w:rPr>
              <w:t xml:space="preserve">Nombre y apellido del alumno</w:t>
            </w:r>
          </w:p>
          <w:p w:rsidR="00000000" w:rsidDel="00000000" w:rsidP="00000000" w:rsidRDefault="00000000" w:rsidRPr="00000000" w14:paraId="0000016E">
            <w:pPr>
              <w:spacing w:after="120" w:lineRule="auto"/>
              <w:rPr>
                <w:sz w:val="16"/>
                <w:szCs w:val="16"/>
              </w:rPr>
            </w:pPr>
            <w:r w:rsidDel="00000000" w:rsidR="00000000" w:rsidRPr="00000000">
              <w:rPr>
                <w:sz w:val="16"/>
                <w:szCs w:val="16"/>
                <w:rtl w:val="0"/>
              </w:rPr>
              <w:t xml:space="preserve">Thiago da Silva Siqueira</w:t>
            </w:r>
          </w:p>
        </w:tc>
        <w:tc>
          <w:tcPr>
            <w:gridSpan w:val="3"/>
            <w:tcBorders>
              <w:top w:color="000000" w:space="0" w:sz="18" w:val="single"/>
            </w:tcBorders>
          </w:tcPr>
          <w:p w:rsidR="00000000" w:rsidDel="00000000" w:rsidP="00000000" w:rsidRDefault="00000000" w:rsidRPr="00000000" w14:paraId="00000170">
            <w:pPr>
              <w:spacing w:after="120" w:lineRule="auto"/>
              <w:rPr>
                <w:sz w:val="20"/>
                <w:szCs w:val="20"/>
              </w:rPr>
            </w:pPr>
            <w:r w:rsidDel="00000000" w:rsidR="00000000" w:rsidRPr="00000000">
              <w:rPr>
                <w:sz w:val="20"/>
                <w:szCs w:val="20"/>
                <w:rtl w:val="0"/>
              </w:rPr>
              <w:t xml:space="preserve">Tipo y N° de documento de identidad </w:t>
            </w:r>
          </w:p>
          <w:p w:rsidR="00000000" w:rsidDel="00000000" w:rsidP="00000000" w:rsidRDefault="00000000" w:rsidRPr="00000000" w14:paraId="00000171">
            <w:pPr>
              <w:spacing w:after="120" w:lineRule="auto"/>
              <w:rPr>
                <w:sz w:val="12"/>
                <w:szCs w:val="12"/>
              </w:rPr>
            </w:pPr>
            <w:r w:rsidDel="00000000" w:rsidR="00000000" w:rsidRPr="00000000">
              <w:rPr>
                <w:sz w:val="16"/>
                <w:szCs w:val="16"/>
                <w:rtl w:val="0"/>
              </w:rPr>
              <w:t xml:space="preserve">Pasaporte: 422575</w:t>
            </w:r>
            <w:r w:rsidDel="00000000" w:rsidR="00000000" w:rsidRPr="00000000">
              <w:rPr>
                <w:rtl w:val="0"/>
              </w:rPr>
            </w:r>
          </w:p>
        </w:tc>
      </w:tr>
      <w:tr>
        <w:trPr>
          <w:cantSplit w:val="0"/>
          <w:trHeight w:val="701" w:hRule="atLeast"/>
          <w:tblHeader w:val="0"/>
        </w:trPr>
        <w:tc>
          <w:tcPr>
            <w:gridSpan w:val="3"/>
          </w:tcPr>
          <w:p w:rsidR="00000000" w:rsidDel="00000000" w:rsidP="00000000" w:rsidRDefault="00000000" w:rsidRPr="00000000" w14:paraId="00000174">
            <w:pPr>
              <w:spacing w:after="120" w:before="80" w:lineRule="auto"/>
              <w:rPr>
                <w:sz w:val="20"/>
                <w:szCs w:val="20"/>
              </w:rPr>
            </w:pPr>
            <w:r w:rsidDel="00000000" w:rsidR="00000000" w:rsidRPr="00000000">
              <w:rPr>
                <w:sz w:val="20"/>
                <w:szCs w:val="20"/>
                <w:rtl w:val="0"/>
              </w:rPr>
              <w:t xml:space="preserve">Año de ingreso a la Maestría - Ciclo</w:t>
            </w:r>
          </w:p>
          <w:p w:rsidR="00000000" w:rsidDel="00000000" w:rsidP="00000000" w:rsidRDefault="00000000" w:rsidRPr="00000000" w14:paraId="00000175">
            <w:pPr>
              <w:spacing w:after="120" w:before="80" w:lineRule="auto"/>
              <w:rPr>
                <w:sz w:val="16"/>
                <w:szCs w:val="16"/>
              </w:rPr>
            </w:pPr>
            <w:r w:rsidDel="00000000" w:rsidR="00000000" w:rsidRPr="00000000">
              <w:rPr>
                <w:sz w:val="16"/>
                <w:szCs w:val="16"/>
                <w:rtl w:val="0"/>
              </w:rPr>
              <w:t xml:space="preserve">2023</w:t>
            </w:r>
          </w:p>
        </w:tc>
        <w:tc>
          <w:tcPr>
            <w:gridSpan w:val="2"/>
          </w:tcPr>
          <w:p w:rsidR="00000000" w:rsidDel="00000000" w:rsidP="00000000" w:rsidRDefault="00000000" w:rsidRPr="00000000" w14:paraId="00000178">
            <w:pPr>
              <w:spacing w:after="120" w:before="80" w:lineRule="auto"/>
              <w:rPr>
                <w:sz w:val="20"/>
                <w:szCs w:val="20"/>
              </w:rPr>
            </w:pPr>
            <w:r w:rsidDel="00000000" w:rsidR="00000000" w:rsidRPr="00000000">
              <w:rPr>
                <w:rtl w:val="0"/>
              </w:rPr>
            </w:r>
          </w:p>
        </w:tc>
      </w:tr>
      <w:tr>
        <w:trPr>
          <w:cantSplit w:val="0"/>
          <w:trHeight w:val="133" w:hRule="atLeast"/>
          <w:tblHeader w:val="0"/>
        </w:trPr>
        <w:tc>
          <w:tcPr>
            <w:gridSpan w:val="4"/>
            <w:tcBorders>
              <w:top w:color="000000" w:space="0" w:sz="6" w:val="single"/>
              <w:bottom w:color="000000" w:space="0" w:sz="6" w:val="single"/>
            </w:tcBorders>
            <w:shd w:fill="000000" w:val="clear"/>
            <w:vAlign w:val="center"/>
          </w:tcPr>
          <w:p w:rsidR="00000000" w:rsidDel="00000000" w:rsidP="00000000" w:rsidRDefault="00000000" w:rsidRPr="00000000" w14:paraId="0000017A">
            <w:pPr>
              <w:spacing w:after="120" w:lineRule="auto"/>
              <w:rPr>
                <w:sz w:val="16"/>
                <w:szCs w:val="16"/>
              </w:rPr>
            </w:pPr>
            <w:r w:rsidDel="00000000" w:rsidR="00000000" w:rsidRPr="00000000">
              <w:rPr>
                <w:rtl w:val="0"/>
              </w:rPr>
            </w:r>
          </w:p>
        </w:tc>
      </w:tr>
      <w:tr>
        <w:trPr>
          <w:cantSplit w:val="0"/>
          <w:trHeight w:val="935" w:hRule="atLeast"/>
          <w:tblHeader w:val="0"/>
        </w:trPr>
        <w:tc>
          <w:tcPr>
            <w:gridSpan w:val="4"/>
          </w:tcPr>
          <w:p w:rsidR="00000000" w:rsidDel="00000000" w:rsidP="00000000" w:rsidRDefault="00000000" w:rsidRPr="00000000" w14:paraId="0000017E">
            <w:pPr>
              <w:spacing w:after="120" w:before="80" w:lineRule="auto"/>
              <w:rPr>
                <w:sz w:val="20"/>
                <w:szCs w:val="20"/>
              </w:rPr>
            </w:pPr>
            <w:r w:rsidDel="00000000" w:rsidR="00000000" w:rsidRPr="00000000">
              <w:rPr>
                <w:sz w:val="20"/>
                <w:szCs w:val="20"/>
                <w:rtl w:val="0"/>
              </w:rPr>
              <w:t xml:space="preserve">Título del Trabajo Final (preliminar)</w:t>
            </w:r>
          </w:p>
          <w:p w:rsidR="00000000" w:rsidDel="00000000" w:rsidP="00000000" w:rsidRDefault="00000000" w:rsidRPr="00000000" w14:paraId="0000017F">
            <w:pPr>
              <w:spacing w:after="120" w:before="240" w:lineRule="auto"/>
              <w:rPr>
                <w:sz w:val="16"/>
                <w:szCs w:val="16"/>
              </w:rPr>
            </w:pPr>
            <w:r w:rsidDel="00000000" w:rsidR="00000000" w:rsidRPr="00000000">
              <w:rPr>
                <w:sz w:val="16"/>
                <w:szCs w:val="16"/>
                <w:rtl w:val="0"/>
              </w:rPr>
              <w:t xml:space="preserve">Determinantes Macroeconómicos de los Spreads de Deuda Corporativa en Brasil 1993–2025. Implicancias para la Sostenibilidad de la Deuda</w:t>
            </w:r>
          </w:p>
        </w:tc>
      </w:tr>
      <w:tr>
        <w:trPr>
          <w:cantSplit w:val="0"/>
          <w:trHeight w:val="2691" w:hRule="atLeast"/>
          <w:tblHeader w:val="0"/>
        </w:trPr>
        <w:tc>
          <w:tcPr>
            <w:gridSpan w:val="4"/>
            <w:tcBorders>
              <w:bottom w:color="000000" w:space="0" w:sz="6" w:val="single"/>
            </w:tcBorders>
          </w:tcPr>
          <w:p w:rsidR="00000000" w:rsidDel="00000000" w:rsidP="00000000" w:rsidRDefault="00000000" w:rsidRPr="00000000" w14:paraId="00000183">
            <w:pPr>
              <w:spacing w:after="120" w:before="80" w:lineRule="auto"/>
              <w:rPr>
                <w:sz w:val="20"/>
                <w:szCs w:val="20"/>
              </w:rPr>
            </w:pPr>
            <w:r w:rsidDel="00000000" w:rsidR="00000000" w:rsidRPr="00000000">
              <w:rPr>
                <w:sz w:val="20"/>
                <w:szCs w:val="20"/>
                <w:rtl w:val="0"/>
              </w:rPr>
              <w:t xml:space="preserve">Conformidad del profesional propuesto como Director de Trabajo Final</w:t>
            </w:r>
          </w:p>
          <w:p w:rsidR="00000000" w:rsidDel="00000000" w:rsidP="00000000" w:rsidRDefault="00000000" w:rsidRPr="00000000" w14:paraId="00000184">
            <w:pPr>
              <w:spacing w:after="120" w:lineRule="auto"/>
              <w:jc w:val="both"/>
              <w:rPr/>
            </w:pPr>
            <w:r w:rsidDel="00000000" w:rsidR="00000000" w:rsidRPr="00000000">
              <w:rPr>
                <w:rtl w:val="0"/>
              </w:rPr>
              <w:t xml:space="preserve">He revisado el proyecto y acepto la postulación como Director comprometiéndome a dirigir las tareas del alumno orientadas a elaborar su Trabajo Final de Maestría.</w:t>
            </w:r>
          </w:p>
          <w:p w:rsidR="00000000" w:rsidDel="00000000" w:rsidP="00000000" w:rsidRDefault="00000000" w:rsidRPr="00000000" w14:paraId="00000185">
            <w:pPr>
              <w:spacing w:before="80" w:lineRule="auto"/>
              <w:rPr>
                <w:sz w:val="16"/>
                <w:szCs w:val="16"/>
              </w:rPr>
            </w:pPr>
            <w:r w:rsidDel="00000000" w:rsidR="00000000" w:rsidRPr="00000000">
              <w:rPr>
                <w:rtl w:val="0"/>
              </w:rPr>
            </w:r>
          </w:p>
          <w:p w:rsidR="00000000" w:rsidDel="00000000" w:rsidP="00000000" w:rsidRDefault="00000000" w:rsidRPr="00000000" w14:paraId="00000186">
            <w:pPr>
              <w:spacing w:before="80" w:lineRule="auto"/>
              <w:rPr>
                <w:sz w:val="16"/>
                <w:szCs w:val="16"/>
              </w:rPr>
            </w:pPr>
            <w:r w:rsidDel="00000000" w:rsidR="00000000" w:rsidRPr="00000000">
              <w:rPr>
                <w:sz w:val="16"/>
                <w:szCs w:val="16"/>
                <w:rtl w:val="0"/>
              </w:rPr>
              <w:t xml:space="preserve">Firma del Director de Trabajo Final </w:t>
            </w:r>
            <w:r w:rsidDel="00000000" w:rsidR="00000000" w:rsidRPr="00000000">
              <w:rPr>
                <w:sz w:val="16"/>
                <w:szCs w:val="16"/>
              </w:rPr>
              <w:drawing>
                <wp:inline distB="114300" distT="114300" distL="114300" distR="114300">
                  <wp:extent cx="1609725" cy="10287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609725" cy="1028700"/>
                          </a:xfrm>
                          <a:prstGeom prst="rect"/>
                          <a:ln/>
                        </pic:spPr>
                      </pic:pic>
                    </a:graphicData>
                  </a:graphic>
                </wp:inline>
              </w:drawing>
            </w:r>
            <w:r w:rsidDel="00000000" w:rsidR="00000000" w:rsidRPr="00000000">
              <w:rPr>
                <w:sz w:val="16"/>
                <w:szCs w:val="16"/>
                <w:rtl w:val="0"/>
              </w:rPr>
              <w:t xml:space="preserve">                 </w:t>
            </w:r>
          </w:p>
          <w:p w:rsidR="00000000" w:rsidDel="00000000" w:rsidP="00000000" w:rsidRDefault="00000000" w:rsidRPr="00000000" w14:paraId="00000187">
            <w:pPr>
              <w:spacing w:before="80" w:lineRule="auto"/>
              <w:rPr>
                <w:sz w:val="16"/>
                <w:szCs w:val="16"/>
              </w:rPr>
            </w:pPr>
            <w:r w:rsidDel="00000000" w:rsidR="00000000" w:rsidRPr="00000000">
              <w:rPr>
                <w:rtl w:val="0"/>
              </w:rPr>
            </w:r>
          </w:p>
          <w:p w:rsidR="00000000" w:rsidDel="00000000" w:rsidP="00000000" w:rsidRDefault="00000000" w:rsidRPr="00000000" w14:paraId="00000188">
            <w:pPr>
              <w:spacing w:before="80" w:lineRule="auto"/>
              <w:rPr>
                <w:sz w:val="16"/>
                <w:szCs w:val="16"/>
              </w:rPr>
            </w:pPr>
            <w:r w:rsidDel="00000000" w:rsidR="00000000" w:rsidRPr="00000000">
              <w:rPr>
                <w:sz w:val="16"/>
                <w:szCs w:val="16"/>
                <w:rtl w:val="0"/>
              </w:rPr>
              <w:t xml:space="preserve">Aclaración: Martín Grandes</w:t>
            </w:r>
          </w:p>
          <w:p w:rsidR="00000000" w:rsidDel="00000000" w:rsidP="00000000" w:rsidRDefault="00000000" w:rsidRPr="00000000" w14:paraId="00000189">
            <w:pPr>
              <w:spacing w:before="80" w:lineRule="auto"/>
              <w:rPr>
                <w:sz w:val="16"/>
                <w:szCs w:val="16"/>
              </w:rPr>
            </w:pPr>
            <w:r w:rsidDel="00000000" w:rsidR="00000000" w:rsidRPr="00000000">
              <w:rPr>
                <w:rtl w:val="0"/>
              </w:rPr>
            </w:r>
          </w:p>
          <w:p w:rsidR="00000000" w:rsidDel="00000000" w:rsidP="00000000" w:rsidRDefault="00000000" w:rsidRPr="00000000" w14:paraId="0000018A">
            <w:pPr>
              <w:spacing w:after="120" w:before="80" w:lineRule="auto"/>
              <w:rPr>
                <w:sz w:val="16"/>
                <w:szCs w:val="16"/>
              </w:rPr>
            </w:pPr>
            <w:r w:rsidDel="00000000" w:rsidR="00000000" w:rsidRPr="00000000">
              <w:rPr>
                <w:sz w:val="16"/>
                <w:szCs w:val="16"/>
                <w:rtl w:val="0"/>
              </w:rPr>
              <w:t xml:space="preserve">Lugar y fecha: Buenos Aires, 12 de junio de 2025</w:t>
            </w:r>
          </w:p>
        </w:tc>
      </w:tr>
      <w:tr>
        <w:trPr>
          <w:cantSplit w:val="0"/>
          <w:trHeight w:val="357" w:hRule="atLeast"/>
          <w:tblHeader w:val="0"/>
        </w:trPr>
        <w:tc>
          <w:tcPr>
            <w:gridSpan w:val="4"/>
            <w:tcBorders>
              <w:top w:color="000000" w:space="0" w:sz="6" w:val="single"/>
              <w:bottom w:color="000000" w:space="0" w:sz="6" w:val="single"/>
            </w:tcBorders>
            <w:shd w:fill="a6a6a6" w:val="clear"/>
            <w:vAlign w:val="center"/>
          </w:tcPr>
          <w:p w:rsidR="00000000" w:rsidDel="00000000" w:rsidP="00000000" w:rsidRDefault="00000000" w:rsidRPr="00000000" w14:paraId="0000018E">
            <w:pPr>
              <w:spacing w:after="120" w:before="80" w:lineRule="auto"/>
              <w:rPr>
                <w:b w:val="1"/>
                <w:color w:val="ffffff"/>
                <w:sz w:val="20"/>
                <w:szCs w:val="20"/>
              </w:rPr>
            </w:pPr>
            <w:r w:rsidDel="00000000" w:rsidR="00000000" w:rsidRPr="00000000">
              <w:rPr>
                <w:b w:val="1"/>
                <w:color w:val="ffffff"/>
                <w:sz w:val="20"/>
                <w:szCs w:val="20"/>
                <w:rtl w:val="0"/>
              </w:rPr>
              <w:t xml:space="preserve">Datos de contacto del postulante a Director</w:t>
            </w:r>
          </w:p>
          <w:p w:rsidR="00000000" w:rsidDel="00000000" w:rsidP="00000000" w:rsidRDefault="00000000" w:rsidRPr="00000000" w14:paraId="0000018F">
            <w:pPr>
              <w:spacing w:after="120" w:lineRule="auto"/>
              <w:rPr>
                <w:color w:val="ffffff"/>
                <w:sz w:val="16"/>
                <w:szCs w:val="16"/>
              </w:rPr>
            </w:pPr>
            <w:r w:rsidDel="00000000" w:rsidR="00000000" w:rsidRPr="00000000">
              <w:rPr>
                <w:rtl w:val="0"/>
              </w:rPr>
            </w:r>
          </w:p>
        </w:tc>
      </w:tr>
      <w:tr>
        <w:trPr>
          <w:cantSplit w:val="0"/>
          <w:trHeight w:val="737" w:hRule="atLeast"/>
          <w:tblHeader w:val="0"/>
        </w:trPr>
        <w:tc>
          <w:tcPr>
            <w:tcBorders>
              <w:top w:color="000000" w:space="0" w:sz="6" w:val="single"/>
            </w:tcBorders>
          </w:tcPr>
          <w:p w:rsidR="00000000" w:rsidDel="00000000" w:rsidP="00000000" w:rsidRDefault="00000000" w:rsidRPr="00000000" w14:paraId="00000193">
            <w:pPr>
              <w:spacing w:after="120" w:before="80" w:lineRule="auto"/>
              <w:rPr>
                <w:sz w:val="16"/>
                <w:szCs w:val="16"/>
              </w:rPr>
            </w:pPr>
            <w:r w:rsidDel="00000000" w:rsidR="00000000" w:rsidRPr="00000000">
              <w:rPr>
                <w:sz w:val="20"/>
                <w:szCs w:val="20"/>
                <w:rtl w:val="0"/>
              </w:rPr>
              <w:t xml:space="preserve">Correo electrónico: </w:t>
            </w:r>
            <w:hyperlink r:id="rId24">
              <w:r w:rsidDel="00000000" w:rsidR="00000000" w:rsidRPr="00000000">
                <w:rPr>
                  <w:color w:val="1155cc"/>
                  <w:sz w:val="16"/>
                  <w:szCs w:val="16"/>
                  <w:u w:val="single"/>
                  <w:rtl w:val="0"/>
                </w:rPr>
                <w:t xml:space="preserve">martingrandes@yahoo.fr</w:t>
              </w:r>
            </w:hyperlink>
            <w:r w:rsidDel="00000000" w:rsidR="00000000" w:rsidRPr="00000000">
              <w:rPr>
                <w:sz w:val="16"/>
                <w:szCs w:val="16"/>
                <w:rtl w:val="0"/>
              </w:rPr>
              <w:t xml:space="preserve"> o </w:t>
            </w:r>
            <w:hyperlink r:id="rId25">
              <w:r w:rsidDel="00000000" w:rsidR="00000000" w:rsidRPr="00000000">
                <w:rPr>
                  <w:color w:val="1155cc"/>
                  <w:sz w:val="16"/>
                  <w:szCs w:val="16"/>
                  <w:u w:val="single"/>
                  <w:rtl w:val="0"/>
                </w:rPr>
                <w:t xml:space="preserve">martin.grandes@economicas.uba.ar</w:t>
              </w:r>
            </w:hyperlink>
            <w:r w:rsidDel="00000000" w:rsidR="00000000" w:rsidRPr="00000000">
              <w:rPr>
                <w:rtl w:val="0"/>
              </w:rPr>
            </w:r>
          </w:p>
        </w:tc>
        <w:tc>
          <w:tcPr>
            <w:gridSpan w:val="3"/>
            <w:tcBorders>
              <w:top w:color="000000" w:space="0" w:sz="6" w:val="single"/>
            </w:tcBorders>
          </w:tcPr>
          <w:p w:rsidR="00000000" w:rsidDel="00000000" w:rsidP="00000000" w:rsidRDefault="00000000" w:rsidRPr="00000000" w14:paraId="00000194">
            <w:pPr>
              <w:spacing w:after="120" w:lineRule="auto"/>
              <w:rPr>
                <w:sz w:val="16"/>
                <w:szCs w:val="16"/>
              </w:rPr>
            </w:pPr>
            <w:r w:rsidDel="00000000" w:rsidR="00000000" w:rsidRPr="00000000">
              <w:rPr>
                <w:sz w:val="20"/>
                <w:szCs w:val="20"/>
                <w:rtl w:val="0"/>
              </w:rPr>
              <w:t xml:space="preserve">Teléfonos: </w:t>
            </w:r>
            <w:r w:rsidDel="00000000" w:rsidR="00000000" w:rsidRPr="00000000">
              <w:rPr>
                <w:sz w:val="16"/>
                <w:szCs w:val="16"/>
                <w:rtl w:val="0"/>
              </w:rPr>
              <w:t xml:space="preserve">+54 9 11 6006-0125 o 11 5285-6650</w:t>
            </w:r>
          </w:p>
        </w:tc>
      </w:tr>
      <w:tr>
        <w:trPr>
          <w:cantSplit w:val="0"/>
          <w:trHeight w:val="143" w:hRule="atLeast"/>
          <w:tblHeader w:val="0"/>
        </w:trPr>
        <w:tc>
          <w:tcPr>
            <w:gridSpan w:val="4"/>
            <w:shd w:fill="000000" w:val="clear"/>
            <w:vAlign w:val="center"/>
          </w:tcPr>
          <w:p w:rsidR="00000000" w:rsidDel="00000000" w:rsidP="00000000" w:rsidRDefault="00000000" w:rsidRPr="00000000" w14:paraId="00000197">
            <w:pPr>
              <w:spacing w:after="120" w:lineRule="auto"/>
              <w:rPr>
                <w:sz w:val="16"/>
                <w:szCs w:val="16"/>
              </w:rPr>
            </w:pPr>
            <w:r w:rsidDel="00000000" w:rsidR="00000000" w:rsidRPr="00000000">
              <w:rPr>
                <w:rtl w:val="0"/>
              </w:rPr>
            </w:r>
          </w:p>
        </w:tc>
      </w:tr>
      <w:tr>
        <w:trPr>
          <w:cantSplit w:val="0"/>
          <w:trHeight w:val="1251" w:hRule="atLeast"/>
          <w:tblHeader w:val="0"/>
        </w:trPr>
        <w:tc>
          <w:tcPr>
            <w:gridSpan w:val="4"/>
          </w:tcPr>
          <w:p w:rsidR="00000000" w:rsidDel="00000000" w:rsidP="00000000" w:rsidRDefault="00000000" w:rsidRPr="00000000" w14:paraId="0000019B">
            <w:pPr>
              <w:spacing w:after="120" w:before="120" w:lineRule="auto"/>
              <w:rPr>
                <w:sz w:val="20"/>
                <w:szCs w:val="20"/>
              </w:rPr>
            </w:pPr>
            <w:r w:rsidDel="00000000" w:rsidR="00000000" w:rsidRPr="00000000">
              <w:rPr>
                <w:sz w:val="20"/>
                <w:szCs w:val="20"/>
                <w:rtl w:val="0"/>
              </w:rPr>
              <w:t xml:space="preserve">Se adjunta a este formulario:</w:t>
            </w:r>
          </w:p>
          <w:p w:rsidR="00000000" w:rsidDel="00000000" w:rsidP="00000000" w:rsidRDefault="00000000" w:rsidRPr="00000000" w14:paraId="0000019C">
            <w:pPr>
              <w:numPr>
                <w:ilvl w:val="0"/>
                <w:numId w:val="6"/>
              </w:numPr>
              <w:spacing w:after="0" w:lineRule="auto"/>
              <w:ind w:left="720" w:hanging="360"/>
              <w:rPr>
                <w:sz w:val="20"/>
                <w:szCs w:val="20"/>
              </w:rPr>
            </w:pPr>
            <w:r w:rsidDel="00000000" w:rsidR="00000000" w:rsidRPr="00000000">
              <w:rPr>
                <w:sz w:val="20"/>
                <w:szCs w:val="20"/>
                <w:rtl w:val="0"/>
              </w:rPr>
              <w:t xml:space="preserve">Proyecto de Trabajo Final de Maestría</w:t>
            </w:r>
          </w:p>
          <w:p w:rsidR="00000000" w:rsidDel="00000000" w:rsidP="00000000" w:rsidRDefault="00000000" w:rsidRPr="00000000" w14:paraId="0000019D">
            <w:pPr>
              <w:numPr>
                <w:ilvl w:val="0"/>
                <w:numId w:val="6"/>
              </w:numPr>
              <w:ind w:left="720" w:hanging="360"/>
              <w:rPr>
                <w:sz w:val="20"/>
                <w:szCs w:val="20"/>
              </w:rPr>
            </w:pPr>
            <w:r w:rsidDel="00000000" w:rsidR="00000000" w:rsidRPr="00000000">
              <w:rPr>
                <w:sz w:val="20"/>
                <w:szCs w:val="20"/>
                <w:rtl w:val="0"/>
              </w:rPr>
              <w:t xml:space="preserve">CV del postulante a Director de Trabajo Final (si no fuera docente de la Maestría)</w:t>
            </w:r>
          </w:p>
        </w:tc>
      </w:tr>
      <w:tr>
        <w:trPr>
          <w:cantSplit w:val="0"/>
          <w:trHeight w:val="799" w:hRule="atLeast"/>
          <w:tblHeader w:val="0"/>
        </w:trPr>
        <w:tc>
          <w:tcPr>
            <w:gridSpan w:val="3"/>
            <w:tcBorders>
              <w:bottom w:color="000000" w:space="0" w:sz="36" w:val="single"/>
            </w:tcBorders>
          </w:tcPr>
          <w:p w:rsidR="00000000" w:rsidDel="00000000" w:rsidP="00000000" w:rsidRDefault="00000000" w:rsidRPr="00000000" w14:paraId="000001A1">
            <w:pPr>
              <w:spacing w:after="120" w:before="120" w:lineRule="auto"/>
              <w:rPr>
                <w:sz w:val="20"/>
                <w:szCs w:val="20"/>
              </w:rPr>
            </w:pPr>
            <w:r w:rsidDel="00000000" w:rsidR="00000000" w:rsidRPr="00000000">
              <w:rPr>
                <w:sz w:val="20"/>
                <w:szCs w:val="20"/>
                <w:rtl w:val="0"/>
              </w:rPr>
              <w:t xml:space="preserve">Fecha</w:t>
            </w:r>
          </w:p>
          <w:p w:rsidR="00000000" w:rsidDel="00000000" w:rsidP="00000000" w:rsidRDefault="00000000" w:rsidRPr="00000000" w14:paraId="000001A2">
            <w:pPr>
              <w:spacing w:after="120" w:before="120" w:lineRule="auto"/>
              <w:rPr>
                <w:sz w:val="16"/>
                <w:szCs w:val="16"/>
              </w:rPr>
            </w:pPr>
            <w:r w:rsidDel="00000000" w:rsidR="00000000" w:rsidRPr="00000000">
              <w:rPr>
                <w:sz w:val="16"/>
                <w:szCs w:val="16"/>
                <w:rtl w:val="0"/>
              </w:rPr>
              <w:t xml:space="preserve">12 de junio de 2025</w:t>
            </w:r>
          </w:p>
        </w:tc>
        <w:tc>
          <w:tcPr>
            <w:tcBorders>
              <w:bottom w:color="000000" w:space="0" w:sz="36" w:val="single"/>
            </w:tcBorders>
          </w:tcPr>
          <w:p w:rsidR="00000000" w:rsidDel="00000000" w:rsidP="00000000" w:rsidRDefault="00000000" w:rsidRPr="00000000" w14:paraId="000001A5">
            <w:pPr>
              <w:spacing w:after="120" w:before="120" w:lineRule="auto"/>
              <w:rPr>
                <w:sz w:val="20"/>
                <w:szCs w:val="20"/>
              </w:rPr>
            </w:pPr>
            <w:r w:rsidDel="00000000" w:rsidR="00000000" w:rsidRPr="00000000">
              <w:rPr>
                <w:sz w:val="20"/>
                <w:szCs w:val="20"/>
                <w:rtl w:val="0"/>
              </w:rPr>
              <w:t xml:space="preserve">Firma del alumno</w:t>
            </w:r>
            <w:r w:rsidDel="00000000" w:rsidR="00000000" w:rsidRPr="00000000">
              <w:rPr>
                <w:sz w:val="20"/>
                <w:szCs w:val="20"/>
              </w:rPr>
              <w:drawing>
                <wp:inline distB="114300" distT="114300" distL="114300" distR="114300">
                  <wp:extent cx="1885950" cy="495300"/>
                  <wp:effectExtent b="0" l="0" r="0" t="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8859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20" w:before="120" w:lineRule="auto"/>
              <w:rPr>
                <w:sz w:val="20"/>
                <w:szCs w:val="20"/>
              </w:rPr>
            </w:pPr>
            <w:r w:rsidDel="00000000" w:rsidR="00000000" w:rsidRPr="00000000">
              <w:rPr>
                <w:rtl w:val="0"/>
              </w:rPr>
            </w:r>
          </w:p>
        </w:tc>
      </w:tr>
      <w:tr>
        <w:trPr>
          <w:cantSplit w:val="0"/>
          <w:trHeight w:val="2745" w:hRule="atLeast"/>
          <w:tblHeader w:val="0"/>
        </w:trPr>
        <w:tc>
          <w:tcPr>
            <w:gridSpan w:val="4"/>
            <w:tcBorders>
              <w:top w:color="000000" w:space="0" w:sz="36" w:val="single"/>
              <w:bottom w:color="000000" w:space="0" w:sz="4" w:val="single"/>
            </w:tcBorders>
          </w:tcPr>
          <w:p w:rsidR="00000000" w:rsidDel="00000000" w:rsidP="00000000" w:rsidRDefault="00000000" w:rsidRPr="00000000" w14:paraId="000001A7">
            <w:pPr>
              <w:spacing w:after="120" w:before="120" w:lineRule="auto"/>
              <w:jc w:val="center"/>
              <w:rPr>
                <w:b w:val="1"/>
                <w:sz w:val="20"/>
                <w:szCs w:val="20"/>
              </w:rPr>
            </w:pPr>
            <w:r w:rsidDel="00000000" w:rsidR="00000000" w:rsidRPr="00000000">
              <w:rPr>
                <w:b w:val="1"/>
                <w:sz w:val="20"/>
                <w:szCs w:val="20"/>
                <w:rtl w:val="0"/>
              </w:rPr>
              <w:t xml:space="preserve">Para uso exclusivo de la Dirección de la Maestría</w:t>
            </w:r>
          </w:p>
          <w:p w:rsidR="00000000" w:rsidDel="00000000" w:rsidP="00000000" w:rsidRDefault="00000000" w:rsidRPr="00000000" w14:paraId="000001A8">
            <w:pPr>
              <w:spacing w:after="120" w:before="120" w:lineRule="auto"/>
              <w:jc w:val="center"/>
              <w:rPr>
                <w:b w:val="1"/>
                <w:sz w:val="20"/>
                <w:szCs w:val="20"/>
              </w:rPr>
            </w:pPr>
            <w:r w:rsidDel="00000000" w:rsidR="00000000" w:rsidRPr="00000000">
              <w:rPr>
                <w:rtl w:val="0"/>
              </w:rPr>
            </w:r>
          </w:p>
          <w:p w:rsidR="00000000" w:rsidDel="00000000" w:rsidP="00000000" w:rsidRDefault="00000000" w:rsidRPr="00000000" w14:paraId="000001A9">
            <w:pPr>
              <w:spacing w:before="120" w:lineRule="auto"/>
              <w:jc w:val="both"/>
              <w:rPr/>
            </w:pPr>
            <w:r w:rsidDel="00000000" w:rsidR="00000000" w:rsidRPr="00000000">
              <w:rPr>
                <w:rtl w:val="0"/>
              </w:rPr>
              <w:t xml:space="preserve">Se solicita a la EEP elevar al Consejo Directivo de la FCE el pedido de aprobación de tema de Trabajo Final y designación de Director/a propuesto/a.</w:t>
            </w:r>
          </w:p>
          <w:p w:rsidR="00000000" w:rsidDel="00000000" w:rsidP="00000000" w:rsidRDefault="00000000" w:rsidRPr="00000000" w14:paraId="000001AA">
            <w:pPr>
              <w:spacing w:after="120" w:before="120" w:lineRule="auto"/>
              <w:jc w:val="both"/>
              <w:rPr/>
            </w:pPr>
            <w:r w:rsidDel="00000000" w:rsidR="00000000" w:rsidRPr="00000000">
              <w:rPr>
                <w:rtl w:val="0"/>
              </w:rPr>
            </w:r>
          </w:p>
          <w:p w:rsidR="00000000" w:rsidDel="00000000" w:rsidP="00000000" w:rsidRDefault="00000000" w:rsidRPr="00000000" w14:paraId="000001AB">
            <w:pPr>
              <w:spacing w:after="120" w:before="120" w:lineRule="auto"/>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        </w:t>
            </w:r>
            <w:r w:rsidDel="00000000" w:rsidR="00000000" w:rsidRPr="00000000">
              <w:rPr>
                <w:sz w:val="16"/>
                <w:szCs w:val="16"/>
                <w:rtl w:val="0"/>
              </w:rPr>
              <w:t xml:space="preserve">FIRMA AUTORIDAD ACADÉMICA                                           ACLARACIÓN                                  FECHA</w:t>
            </w: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Form. PTFM v0</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PRESENTAR EN LA RECEPCIÓN DE LA ESCUELA DE ESTUDIOS DE POSGRADO</w:t>
      </w:r>
      <w:r w:rsidDel="00000000" w:rsidR="00000000" w:rsidRPr="00000000">
        <w:rPr>
          <w:rtl w:val="0"/>
        </w:rPr>
      </w:r>
    </w:p>
    <w:sectPr>
      <w:headerReference r:id="rId27" w:type="default"/>
      <w:footerReference r:id="rId28" w:type="default"/>
      <w:type w:val="nextPage"/>
      <w:pgSz w:h="16840" w:w="11907" w:orient="portrait"/>
      <w:pgMar w:bottom="993" w:top="2693" w:left="1701"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mbria"/>
  <w:font w:name="Times New Roman"/>
  <w:font w:name="Arial"/>
  <w:font w:name="Courier New"/>
  <w:font w:name="Arial Rounded"/>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37455" cy="941070"/>
          <wp:effectExtent b="0" l="0" r="0" t="0"/>
          <wp:docPr descr="Imagen que contiene dibujo&#10;&#10;Descripción generada automáticamente" id="2" name="image3.png"/>
          <a:graphic>
            <a:graphicData uri="http://schemas.openxmlformats.org/drawingml/2006/picture">
              <pic:pic>
                <pic:nvPicPr>
                  <pic:cNvPr descr="Imagen que contiene dibujo&#10;&#10;Descripción generada automáticamente" id="0" name="image3.png"/>
                  <pic:cNvPicPr preferRelativeResize="0"/>
                </pic:nvPicPr>
                <pic:blipFill>
                  <a:blip r:embed="rId1"/>
                  <a:srcRect b="0" l="0" r="0" t="0"/>
                  <a:stretch>
                    <a:fillRect/>
                  </a:stretch>
                </pic:blipFill>
                <pic:spPr>
                  <a:xfrm>
                    <a:off x="0" y="0"/>
                    <a:ext cx="5037455" cy="94107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37455" cy="941070"/>
          <wp:effectExtent b="0" l="0" r="0" t="0"/>
          <wp:docPr descr="Imagen que contiene dibujo&#10;&#10;Descripción generada automáticamente" id="3" name="image3.png"/>
          <a:graphic>
            <a:graphicData uri="http://schemas.openxmlformats.org/drawingml/2006/picture">
              <pic:pic>
                <pic:nvPicPr>
                  <pic:cNvPr descr="Imagen que contiene dibujo&#10;&#10;Descripción generada automáticamente" id="0" name="image3.png"/>
                  <pic:cNvPicPr preferRelativeResize="0"/>
                </pic:nvPicPr>
                <pic:blipFill>
                  <a:blip r:embed="rId1"/>
                  <a:srcRect b="0" l="0" r="0" t="0"/>
                  <a:stretch>
                    <a:fillRect/>
                  </a:stretch>
                </pic:blipFill>
                <pic:spPr>
                  <a:xfrm>
                    <a:off x="0" y="0"/>
                    <a:ext cx="5037455" cy="9410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rFonts w:ascii="Verdana" w:cs="Verdana" w:eastAsia="Verdana" w:hAnsi="Verdana"/>
      <w:b w:val="1"/>
      <w:color w:val="00000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Tahoma" w:cs="Tahoma" w:eastAsia="Tahoma" w:hAnsi="Tahoma"/>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hiagossiqueira/econ_research_archive/blob/master/datos_y_modelos/brazil_int_corp.ipynb" TargetMode="External"/><Relationship Id="rId22" Type="http://schemas.openxmlformats.org/officeDocument/2006/relationships/footer" Target="footer1.xml"/><Relationship Id="rId21" Type="http://schemas.openxmlformats.org/officeDocument/2006/relationships/header" Target="header1.xml"/><Relationship Id="rId24" Type="http://schemas.openxmlformats.org/officeDocument/2006/relationships/hyperlink" Target="mailto:martingrandes@yahoo.fr"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7819/rbgn.v22i0.4061" TargetMode="External"/><Relationship Id="rId26" Type="http://schemas.openxmlformats.org/officeDocument/2006/relationships/image" Target="media/image1.png"/><Relationship Id="rId25" Type="http://schemas.openxmlformats.org/officeDocument/2006/relationships/hyperlink" Target="mailto:martin.grandes@economicas.uba.ar" TargetMode="External"/><Relationship Id="rId28" Type="http://schemas.openxmlformats.org/officeDocument/2006/relationships/footer" Target="footer2.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bcb.gov.br" TargetMode="External"/><Relationship Id="rId8" Type="http://schemas.openxmlformats.org/officeDocument/2006/relationships/hyperlink" Target="https://www.bis.org/statistics/" TargetMode="External"/><Relationship Id="rId11" Type="http://schemas.openxmlformats.org/officeDocument/2006/relationships/hyperlink" Target="https://www.imf.org/en/Publications/WP/Issues/2016/12/31/Sovereign-Credit-Ratings-and-Spreads-in-Emerging-Markets-Does-Investment-Grade-Matter-25984" TargetMode="External"/><Relationship Id="rId10" Type="http://schemas.openxmlformats.org/officeDocument/2006/relationships/hyperlink" Target="https://documents.worldbank.org/en/publication/documents-reports/documentdetail/372801468739801225" TargetMode="External"/><Relationship Id="rId13" Type="http://schemas.openxmlformats.org/officeDocument/2006/relationships/hyperlink" Target="https://doi.org/10.1080/00036846.2022.2097193" TargetMode="External"/><Relationship Id="rId12" Type="http://schemas.openxmlformats.org/officeDocument/2006/relationships/hyperlink" Target="https://www.imf.org" TargetMode="External"/><Relationship Id="rId15" Type="http://schemas.openxmlformats.org/officeDocument/2006/relationships/hyperlink" Target="https://www.imf.org/en/Publications/WP/Issues/2016/12/31/How-Important-Is-Sovereign-Risk-in-Determining-Corporate-Default-Premia-The-Case-of-South-18634" TargetMode="External"/><Relationship Id="rId14" Type="http://schemas.openxmlformats.org/officeDocument/2006/relationships/hyperlink" Target="https://doi.org/10.1111/j.1468-0297.2008.02196.x" TargetMode="External"/><Relationship Id="rId17" Type="http://schemas.openxmlformats.org/officeDocument/2006/relationships/hyperlink" Target="https://doi.org/10.1016/j.jbankfin.2012.08.012" TargetMode="External"/><Relationship Id="rId16" Type="http://schemas.openxmlformats.org/officeDocument/2006/relationships/hyperlink" Target="https://doi.org/10.1080/1540496X.2016.1174853" TargetMode="External"/><Relationship Id="rId19" Type="http://schemas.openxmlformats.org/officeDocument/2006/relationships/hyperlink" Target="https://pdfs.semanticscholar.org/1558/e90ca70eec0d1e1208ed07261f14ea76dee8.pdf" TargetMode="External"/><Relationship Id="rId18" Type="http://schemas.openxmlformats.org/officeDocument/2006/relationships/hyperlink" Target="https://doi.org/10.1787/c437947f-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0x010100091171F653B5AF4FA70C4552C6541130</vt:lpwstr>
  </property>
</Properties>
</file>