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1AA6" w14:textId="77777777" w:rsidR="0002722C" w:rsidRPr="009B6C20" w:rsidRDefault="0002722C">
      <w:pPr>
        <w:pBdr>
          <w:top w:val="nil"/>
          <w:left w:val="nil"/>
          <w:bottom w:val="nil"/>
          <w:right w:val="nil"/>
          <w:between w:val="nil"/>
        </w:pBdr>
        <w:ind w:left="720"/>
        <w:jc w:val="both"/>
        <w:rPr>
          <w:lang w:val="en-US"/>
        </w:rPr>
      </w:pPr>
    </w:p>
    <w:p w14:paraId="50DFFCB7" w14:textId="77777777" w:rsidR="0002722C" w:rsidRPr="00CA38ED" w:rsidRDefault="0002722C">
      <w:pPr>
        <w:ind w:firstLine="709"/>
        <w:jc w:val="both"/>
      </w:pPr>
    </w:p>
    <w:p w14:paraId="6B371E62" w14:textId="4664F5A2" w:rsidR="001D1168" w:rsidRPr="001D1168" w:rsidRDefault="00021130" w:rsidP="001D1168">
      <w:pPr>
        <w:pBdr>
          <w:bottom w:val="single" w:sz="8" w:space="4" w:color="4F81BD"/>
        </w:pBdr>
        <w:jc w:val="center"/>
        <w:rPr>
          <w:rFonts w:ascii="Cambria" w:eastAsia="Cambria" w:hAnsi="Cambria" w:cs="Cambria"/>
          <w:sz w:val="52"/>
          <w:szCs w:val="52"/>
          <w:lang w:val="en-US"/>
        </w:rPr>
      </w:pPr>
      <w:r w:rsidRPr="00AE2805">
        <w:rPr>
          <w:rFonts w:ascii="Cambria" w:eastAsia="Cambria" w:hAnsi="Cambria" w:cs="Cambria"/>
          <w:sz w:val="52"/>
          <w:szCs w:val="52"/>
          <w:lang w:val="en-US"/>
        </w:rPr>
        <w:t>U</w:t>
      </w:r>
      <w:r w:rsidR="001D1168" w:rsidRPr="001D1168">
        <w:rPr>
          <w:rFonts w:ascii="Cambria" w:eastAsia="Cambria" w:hAnsi="Cambria" w:cs="Cambria"/>
          <w:sz w:val="52"/>
          <w:szCs w:val="52"/>
          <w:lang w:val="en-US"/>
        </w:rPr>
        <w:t>niversity of Buenos Aires</w:t>
      </w:r>
    </w:p>
    <w:p w14:paraId="52EDB222" w14:textId="3102C2FC" w:rsidR="0002722C" w:rsidRPr="001D1168" w:rsidRDefault="001D1168" w:rsidP="001D1168">
      <w:pPr>
        <w:pBdr>
          <w:bottom w:val="single" w:sz="8" w:space="4" w:color="4F81BD"/>
        </w:pBdr>
        <w:jc w:val="center"/>
        <w:rPr>
          <w:rFonts w:ascii="Cambria" w:eastAsia="Cambria" w:hAnsi="Cambria" w:cs="Cambria"/>
          <w:sz w:val="52"/>
          <w:szCs w:val="52"/>
          <w:lang w:val="en-US"/>
        </w:rPr>
      </w:pPr>
      <w:r w:rsidRPr="001D1168">
        <w:rPr>
          <w:rFonts w:ascii="Cambria" w:eastAsia="Cambria" w:hAnsi="Cambria" w:cs="Cambria"/>
          <w:sz w:val="52"/>
          <w:szCs w:val="52"/>
          <w:lang w:val="en-US"/>
        </w:rPr>
        <w:t>Faculty of Economic Sciences</w:t>
      </w:r>
    </w:p>
    <w:p w14:paraId="03D7AFFA" w14:textId="6C00EC27" w:rsidR="0002722C" w:rsidRPr="003740FF" w:rsidRDefault="003740FF">
      <w:pPr>
        <w:pBdr>
          <w:bottom w:val="single" w:sz="8" w:space="4" w:color="4F81BD"/>
        </w:pBdr>
        <w:jc w:val="center"/>
        <w:rPr>
          <w:rFonts w:ascii="Cambria" w:eastAsia="Cambria" w:hAnsi="Cambria" w:cs="Cambria"/>
          <w:sz w:val="40"/>
          <w:szCs w:val="40"/>
          <w:lang w:val="en-US"/>
        </w:rPr>
      </w:pPr>
      <w:r w:rsidRPr="003740FF">
        <w:rPr>
          <w:rFonts w:ascii="Cambria" w:eastAsia="Cambria" w:hAnsi="Cambria" w:cs="Cambria"/>
          <w:sz w:val="40"/>
          <w:szCs w:val="40"/>
          <w:lang w:val="en-US"/>
        </w:rPr>
        <w:t>School of Business and Public Administration</w:t>
      </w:r>
    </w:p>
    <w:p w14:paraId="0486B356" w14:textId="77777777" w:rsidR="0002722C" w:rsidRPr="003740FF" w:rsidRDefault="0002722C">
      <w:pPr>
        <w:rPr>
          <w:lang w:val="en-US"/>
        </w:rPr>
      </w:pPr>
    </w:p>
    <w:p w14:paraId="3E9A8F7B" w14:textId="77777777" w:rsidR="0002722C" w:rsidRPr="003740FF" w:rsidRDefault="0002722C">
      <w:pPr>
        <w:rPr>
          <w:lang w:val="en-US"/>
        </w:rPr>
      </w:pPr>
    </w:p>
    <w:p w14:paraId="4A7F4616" w14:textId="77777777" w:rsidR="0002722C" w:rsidRPr="003740FF" w:rsidRDefault="0002722C">
      <w:pPr>
        <w:rPr>
          <w:lang w:val="en-US"/>
        </w:rPr>
      </w:pPr>
    </w:p>
    <w:p w14:paraId="0FB0A31F" w14:textId="45F4E794" w:rsidR="0002722C" w:rsidRPr="00162C0F" w:rsidRDefault="001325B9">
      <w:pPr>
        <w:pBdr>
          <w:bottom w:val="single" w:sz="8" w:space="4" w:color="4F81BD"/>
        </w:pBdr>
        <w:jc w:val="center"/>
        <w:rPr>
          <w:rFonts w:ascii="Cambria" w:eastAsia="Cambria" w:hAnsi="Cambria" w:cs="Cambria"/>
          <w:b/>
          <w:bCs/>
          <w:smallCaps/>
          <w:sz w:val="44"/>
          <w:szCs w:val="44"/>
          <w:lang w:val="en-US"/>
        </w:rPr>
      </w:pPr>
      <w:r w:rsidRPr="00162C0F">
        <w:rPr>
          <w:rFonts w:ascii="Cambria" w:eastAsia="Cambria" w:hAnsi="Cambria" w:cs="Cambria"/>
          <w:b/>
          <w:bCs/>
          <w:smallCaps/>
          <w:sz w:val="44"/>
          <w:szCs w:val="44"/>
          <w:lang w:val="en-US"/>
        </w:rPr>
        <w:t>Master’s Degree in Economics</w:t>
      </w:r>
    </w:p>
    <w:p w14:paraId="066E89AC" w14:textId="77777777" w:rsidR="0002722C" w:rsidRPr="00162C0F" w:rsidRDefault="0002722C">
      <w:pPr>
        <w:rPr>
          <w:lang w:val="en-US"/>
        </w:rPr>
      </w:pPr>
    </w:p>
    <w:p w14:paraId="59A441CE" w14:textId="77777777" w:rsidR="0002722C" w:rsidRPr="00162C0F" w:rsidRDefault="0002722C">
      <w:pPr>
        <w:pBdr>
          <w:bottom w:val="single" w:sz="8" w:space="4" w:color="4F81BD"/>
        </w:pBdr>
        <w:rPr>
          <w:rFonts w:ascii="Cambria" w:eastAsia="Cambria" w:hAnsi="Cambria" w:cs="Cambria"/>
          <w:sz w:val="52"/>
          <w:szCs w:val="52"/>
          <w:lang w:val="en-US"/>
        </w:rPr>
      </w:pPr>
    </w:p>
    <w:p w14:paraId="0D7D7021" w14:textId="73DA347B" w:rsidR="0002722C" w:rsidRPr="00162C0F" w:rsidRDefault="00162C0F">
      <w:pPr>
        <w:pBdr>
          <w:bottom w:val="single" w:sz="8" w:space="4" w:color="4F81BD"/>
        </w:pBdr>
        <w:jc w:val="center"/>
        <w:rPr>
          <w:rFonts w:ascii="Cambria" w:eastAsia="Cambria" w:hAnsi="Cambria" w:cs="Cambria"/>
          <w:smallCaps/>
          <w:sz w:val="44"/>
          <w:szCs w:val="44"/>
          <w:lang w:val="en-US"/>
        </w:rPr>
      </w:pPr>
      <w:r w:rsidRPr="00162C0F">
        <w:rPr>
          <w:rFonts w:ascii="Cambria" w:eastAsia="Cambria" w:hAnsi="Cambria" w:cs="Cambria"/>
          <w:smallCaps/>
          <w:sz w:val="44"/>
          <w:szCs w:val="44"/>
          <w:lang w:val="en-US"/>
        </w:rPr>
        <w:t>Working Paper</w:t>
      </w:r>
    </w:p>
    <w:p w14:paraId="204351DF" w14:textId="77777777" w:rsidR="0002722C" w:rsidRPr="00162C0F" w:rsidRDefault="0002722C">
      <w:pPr>
        <w:rPr>
          <w:sz w:val="44"/>
          <w:szCs w:val="44"/>
          <w:lang w:val="en-US"/>
        </w:rPr>
      </w:pPr>
    </w:p>
    <w:p w14:paraId="4A60A78E" w14:textId="4537ECD4" w:rsidR="0002722C" w:rsidRPr="00AE2805" w:rsidRDefault="0030735A">
      <w:pPr>
        <w:pBdr>
          <w:bottom w:val="single" w:sz="8" w:space="4" w:color="4F81BD"/>
        </w:pBdr>
        <w:tabs>
          <w:tab w:val="left" w:pos="2985"/>
        </w:tabs>
        <w:rPr>
          <w:rFonts w:ascii="Cambria" w:eastAsia="Cambria" w:hAnsi="Cambria" w:cs="Cambria"/>
          <w:sz w:val="36"/>
          <w:szCs w:val="36"/>
          <w:lang w:val="pt-BR"/>
        </w:rPr>
      </w:pPr>
      <w:r w:rsidRPr="0030735A">
        <w:rPr>
          <w:rFonts w:ascii="Cambria" w:eastAsia="Cambria" w:hAnsi="Cambria" w:cs="Cambria"/>
          <w:sz w:val="36"/>
          <w:szCs w:val="36"/>
          <w:lang w:val="en-US"/>
        </w:rPr>
        <w:t xml:space="preserve">What Drives Local Currency Corporate Spreads? </w:t>
      </w:r>
      <w:r w:rsidRPr="00AE2805">
        <w:rPr>
          <w:rFonts w:ascii="Cambria" w:eastAsia="Cambria" w:hAnsi="Cambria" w:cs="Cambria"/>
          <w:sz w:val="36"/>
          <w:szCs w:val="36"/>
          <w:lang w:val="pt-BR"/>
        </w:rPr>
        <w:t>Evidence from Brazil</w:t>
      </w:r>
    </w:p>
    <w:p w14:paraId="62E79423" w14:textId="77777777" w:rsidR="0002722C" w:rsidRPr="00AE2805" w:rsidRDefault="0002722C">
      <w:pPr>
        <w:pBdr>
          <w:bottom w:val="single" w:sz="8" w:space="4" w:color="4F81BD"/>
        </w:pBdr>
        <w:tabs>
          <w:tab w:val="left" w:pos="2985"/>
        </w:tabs>
        <w:rPr>
          <w:rFonts w:ascii="Cambria" w:eastAsia="Cambria" w:hAnsi="Cambria" w:cs="Cambria"/>
          <w:sz w:val="36"/>
          <w:szCs w:val="36"/>
          <w:lang w:val="pt-BR"/>
        </w:rPr>
      </w:pPr>
    </w:p>
    <w:p w14:paraId="692AECBC" w14:textId="77777777" w:rsidR="0002722C" w:rsidRPr="00AE2805" w:rsidRDefault="0002722C">
      <w:pPr>
        <w:rPr>
          <w:rFonts w:ascii="Cambria" w:eastAsia="Cambria" w:hAnsi="Cambria" w:cs="Cambria"/>
          <w:i/>
          <w:iCs/>
          <w:lang w:val="pt-BR"/>
        </w:rPr>
      </w:pPr>
    </w:p>
    <w:p w14:paraId="2EC8E953" w14:textId="77777777" w:rsidR="0002722C" w:rsidRPr="00AE2805" w:rsidRDefault="0002722C">
      <w:pPr>
        <w:rPr>
          <w:b/>
          <w:bCs/>
          <w:smallCaps/>
          <w:lang w:val="pt-BR"/>
        </w:rPr>
      </w:pPr>
    </w:p>
    <w:p w14:paraId="0C87623B" w14:textId="77777777" w:rsidR="00315CE5" w:rsidRPr="00AE2805" w:rsidRDefault="00315CE5">
      <w:pPr>
        <w:rPr>
          <w:b/>
          <w:bCs/>
          <w:smallCaps/>
          <w:lang w:val="pt-BR"/>
        </w:rPr>
      </w:pPr>
    </w:p>
    <w:p w14:paraId="6CABE6BF" w14:textId="234C674F" w:rsidR="0002722C" w:rsidRPr="00CA38ED" w:rsidRDefault="00021130">
      <w:pPr>
        <w:rPr>
          <w:smallCaps/>
          <w:sz w:val="28"/>
          <w:szCs w:val="28"/>
          <w:lang w:val="pt-BR"/>
        </w:rPr>
      </w:pPr>
      <w:r w:rsidRPr="00CA38ED">
        <w:rPr>
          <w:smallCaps/>
          <w:sz w:val="28"/>
          <w:szCs w:val="28"/>
          <w:lang w:val="pt-BR"/>
        </w:rPr>
        <w:t>Aut</w:t>
      </w:r>
      <w:r w:rsidR="00114AE6">
        <w:rPr>
          <w:smallCaps/>
          <w:sz w:val="28"/>
          <w:szCs w:val="28"/>
          <w:lang w:val="pt-BR"/>
        </w:rPr>
        <w:t>h</w:t>
      </w:r>
      <w:r w:rsidRPr="00CA38ED">
        <w:rPr>
          <w:smallCaps/>
          <w:sz w:val="28"/>
          <w:szCs w:val="28"/>
          <w:lang w:val="pt-BR"/>
        </w:rPr>
        <w:t>or: Thiago da Silva Siqueira</w:t>
      </w:r>
    </w:p>
    <w:p w14:paraId="19C0262C" w14:textId="77777777" w:rsidR="0002722C" w:rsidRPr="00CA38ED" w:rsidRDefault="0002722C">
      <w:pPr>
        <w:rPr>
          <w:smallCaps/>
          <w:sz w:val="28"/>
          <w:szCs w:val="28"/>
          <w:lang w:val="pt-BR"/>
        </w:rPr>
      </w:pPr>
    </w:p>
    <w:p w14:paraId="7B853854" w14:textId="4B04D547" w:rsidR="0002722C" w:rsidRPr="00AE2805" w:rsidRDefault="00E106A8">
      <w:pPr>
        <w:rPr>
          <w:smallCaps/>
          <w:sz w:val="28"/>
          <w:szCs w:val="28"/>
          <w:lang w:val="en-US"/>
        </w:rPr>
      </w:pPr>
      <w:r w:rsidRPr="00AE2805">
        <w:rPr>
          <w:smallCaps/>
          <w:sz w:val="28"/>
          <w:szCs w:val="28"/>
          <w:lang w:val="en-US"/>
        </w:rPr>
        <w:t>Supervisor</w:t>
      </w:r>
      <w:r w:rsidR="00021130" w:rsidRPr="00AE2805">
        <w:rPr>
          <w:smallCaps/>
          <w:sz w:val="28"/>
          <w:szCs w:val="28"/>
          <w:lang w:val="en-US"/>
        </w:rPr>
        <w:t>: Martin Grandes</w:t>
      </w:r>
    </w:p>
    <w:p w14:paraId="40CEE042" w14:textId="77777777" w:rsidR="0002722C" w:rsidRPr="00AE2805" w:rsidRDefault="0002722C">
      <w:pPr>
        <w:rPr>
          <w:smallCaps/>
          <w:sz w:val="28"/>
          <w:szCs w:val="28"/>
          <w:lang w:val="en-US"/>
        </w:rPr>
      </w:pPr>
    </w:p>
    <w:p w14:paraId="5B7E13A0" w14:textId="77777777" w:rsidR="0002722C" w:rsidRPr="00AE2805" w:rsidRDefault="0002722C">
      <w:pPr>
        <w:rPr>
          <w:smallCaps/>
          <w:sz w:val="28"/>
          <w:szCs w:val="28"/>
          <w:lang w:val="en-US"/>
        </w:rPr>
      </w:pPr>
    </w:p>
    <w:p w14:paraId="0EC3BE30" w14:textId="1BB1CB21" w:rsidR="0002722C" w:rsidRPr="00AE2805" w:rsidRDefault="006C469D">
      <w:pPr>
        <w:rPr>
          <w:smallCaps/>
          <w:sz w:val="22"/>
          <w:szCs w:val="22"/>
          <w:lang w:val="en-US"/>
        </w:rPr>
      </w:pPr>
      <w:r w:rsidRPr="00AE2805">
        <w:rPr>
          <w:b/>
          <w:bCs/>
          <w:smallCaps/>
          <w:sz w:val="22"/>
          <w:szCs w:val="22"/>
          <w:lang w:val="en-US"/>
        </w:rPr>
        <w:tab/>
      </w:r>
    </w:p>
    <w:p w14:paraId="066401D8" w14:textId="77777777" w:rsidR="0002722C" w:rsidRPr="00AE2805" w:rsidRDefault="0002722C">
      <w:pPr>
        <w:rPr>
          <w:smallCaps/>
          <w:sz w:val="22"/>
          <w:szCs w:val="22"/>
          <w:lang w:val="en-US"/>
        </w:rPr>
      </w:pPr>
    </w:p>
    <w:p w14:paraId="0DBD8038" w14:textId="77777777" w:rsidR="0002722C" w:rsidRPr="00AE2805" w:rsidRDefault="0002722C">
      <w:pPr>
        <w:rPr>
          <w:smallCaps/>
          <w:sz w:val="28"/>
          <w:szCs w:val="28"/>
          <w:lang w:val="en-US"/>
        </w:rPr>
      </w:pPr>
    </w:p>
    <w:p w14:paraId="39ECACA6" w14:textId="36912572" w:rsidR="0002722C" w:rsidRPr="00726089" w:rsidRDefault="00125CC0">
      <w:pPr>
        <w:pBdr>
          <w:bottom w:val="single" w:sz="8" w:space="4" w:color="4F81BD"/>
        </w:pBdr>
        <w:jc w:val="center"/>
        <w:rPr>
          <w:rFonts w:ascii="Cambria" w:eastAsia="Cambria" w:hAnsi="Cambria" w:cs="Cambria"/>
          <w:smallCaps/>
          <w:lang w:val="en-US"/>
        </w:rPr>
      </w:pPr>
      <w:r w:rsidRPr="00726089">
        <w:rPr>
          <w:rFonts w:ascii="Cambria" w:eastAsia="Cambria" w:hAnsi="Cambria" w:cs="Cambria"/>
          <w:smallCaps/>
          <w:lang w:val="en-US"/>
        </w:rPr>
        <w:t>April</w:t>
      </w:r>
      <w:r w:rsidR="00021130" w:rsidRPr="00726089">
        <w:rPr>
          <w:rFonts w:ascii="Cambria" w:eastAsia="Cambria" w:hAnsi="Cambria" w:cs="Cambria"/>
          <w:smallCaps/>
          <w:lang w:val="en-US"/>
        </w:rPr>
        <w:t xml:space="preserve"> 202</w:t>
      </w:r>
      <w:r w:rsidRPr="00726089">
        <w:rPr>
          <w:rFonts w:ascii="Cambria" w:eastAsia="Cambria" w:hAnsi="Cambria" w:cs="Cambria"/>
          <w:smallCaps/>
          <w:lang w:val="en-US"/>
        </w:rPr>
        <w:t>6</w:t>
      </w:r>
    </w:p>
    <w:p w14:paraId="47A84102" w14:textId="77777777" w:rsidR="0002722C" w:rsidRPr="00726089" w:rsidRDefault="00021130">
      <w:pPr>
        <w:jc w:val="center"/>
        <w:rPr>
          <w:rFonts w:ascii="Cambria" w:eastAsia="Cambria" w:hAnsi="Cambria" w:cs="Cambria"/>
          <w:smallCaps/>
          <w:lang w:val="en-US"/>
        </w:rPr>
      </w:pPr>
      <w:r w:rsidRPr="00726089">
        <w:rPr>
          <w:lang w:val="en-US"/>
        </w:rPr>
        <w:br w:type="page"/>
      </w:r>
    </w:p>
    <w:p w14:paraId="561CC83A" w14:textId="77777777" w:rsidR="00DB377D" w:rsidRPr="00CA38ED" w:rsidRDefault="00DB377D" w:rsidP="004F03F0">
      <w:pPr>
        <w:pStyle w:val="Heading1"/>
        <w:numPr>
          <w:ilvl w:val="0"/>
          <w:numId w:val="0"/>
        </w:numPr>
        <w:rPr>
          <w:lang w:val="en-US"/>
        </w:rPr>
      </w:pPr>
      <w:bookmarkStart w:id="0" w:name="_Toc232189533"/>
      <w:r w:rsidRPr="00CA38ED">
        <w:rPr>
          <w:lang w:val="en-US"/>
        </w:rPr>
        <w:lastRenderedPageBreak/>
        <w:t>Abstract</w:t>
      </w:r>
      <w:bookmarkEnd w:id="0"/>
    </w:p>
    <w:p w14:paraId="293A493D" w14:textId="77777777" w:rsidR="00DB377D" w:rsidRPr="00CA38ED" w:rsidRDefault="00DB377D" w:rsidP="00E07EC5">
      <w:pPr>
        <w:rPr>
          <w:lang w:val="en-US"/>
        </w:rPr>
      </w:pPr>
    </w:p>
    <w:p w14:paraId="47414A87" w14:textId="344B7A35" w:rsidR="00FD6531" w:rsidRPr="00FD6531" w:rsidRDefault="00EB5A1D" w:rsidP="00FD6531">
      <w:pPr>
        <w:ind w:firstLine="709"/>
        <w:jc w:val="both"/>
        <w:rPr>
          <w:bCs/>
          <w:lang w:val="en-US" w:eastAsia="es-ES"/>
        </w:rPr>
      </w:pPr>
      <w:r w:rsidRPr="00EB5A1D">
        <w:rPr>
          <w:bCs/>
          <w:lang w:val="en-US" w:eastAsia="es-ES"/>
        </w:rPr>
        <w:t xml:space="preserve">This </w:t>
      </w:r>
      <w:r w:rsidR="00C861DB" w:rsidRPr="00C861DB">
        <w:rPr>
          <w:bCs/>
          <w:lang w:val="en-US" w:eastAsia="es-ES"/>
        </w:rPr>
        <w:t>paper studies the determinants of spreads in the secondary market for domestic corporate bonds in Brazil. The starting point is an institutional change: after 2009, the development of the Brazilian debenture market was strongly supported by reforms in the public-offering regime, especially CVM Instruction 476 on restricted offerings, and later consolidated by CVM Resolution 160. These reforms helped expand local-currency capital-market financing and made Brazilian debentures a more relevant asset class for domestic and foreign investors. Yet most of the empirical literature on emerging-market credit spreads still focuses on primary issues, sovereign bonds, CDS, or foreign-currency corporate bonds. This paper contributes by constructing an original monthly bond-level panel for the secondary market, with 103 IPCA-linked debentures issued by 48 non-financial firms during 2010-2025, yielding 4,229 bond-month observations. The dependent variable is the spread between each corporate bond yield to maturity and a maturity-matched real risk-free benchmark constructed from DAP futures and NTN-B yields. The empirical strategy uses bond fixed effects, issuer-clustered standard errors, Panel-Corrected Standard Errors, and Driscoll-Kraay inference to address unobserved heterogeneity, heteroskedasticity, serial correlation, and cross-sectional dependence. The results show that tighter US monetary conditions, BRL depreciation, and weaker domestic growth are associated with wider corporate spreads, while larger issues tend to trade at lower spreads, consistent with a liquidity premium. The exchange-rate result is robust to replacing nominal USD/BRL with a bilateral real USD/BRL index. The real US monetary-policy proxy remains positive but loses statistical significance once US CPI inflation is subtracted from the nominal three-month rate. A central finding is that the local-currency sovereign-risk proxy enters with a negative coefficient across specifications and remains negative when debt/GDP, GDP growth, and exchange-rate controls are removed separately and jointly. This suggests that sovereign-corporate transmission in Brazil's IPCA-linked market is more segmented than the standard sovereign-ceiling hypothesis implies. The findings matter for asset pricing, debt management, and financial-stability monitoring in emerging local-currency bond markets.</w:t>
      </w:r>
    </w:p>
    <w:p w14:paraId="2ED4E9D9" w14:textId="77777777" w:rsidR="00FD6531" w:rsidRPr="00FD6531" w:rsidRDefault="00FD6531" w:rsidP="00FD6531">
      <w:pPr>
        <w:ind w:firstLine="709"/>
        <w:jc w:val="both"/>
        <w:rPr>
          <w:bCs/>
          <w:lang w:val="en-US" w:eastAsia="es-ES"/>
        </w:rPr>
      </w:pPr>
    </w:p>
    <w:p w14:paraId="391BE447" w14:textId="77777777" w:rsidR="00FD6531" w:rsidRPr="00FD6531" w:rsidRDefault="00FD6531" w:rsidP="00FD6531">
      <w:pPr>
        <w:jc w:val="both"/>
        <w:rPr>
          <w:bCs/>
          <w:lang w:val="en-US" w:eastAsia="es-ES"/>
        </w:rPr>
      </w:pPr>
      <w:r w:rsidRPr="00FD6531">
        <w:rPr>
          <w:bCs/>
          <w:lang w:val="en-US" w:eastAsia="es-ES"/>
        </w:rPr>
        <w:t>Keywords: corporate bond spreads; debentures; secondary market; local-currency debt; OTC market; sovereign risk; Brazil; emerging markets</w:t>
      </w:r>
    </w:p>
    <w:p w14:paraId="670D621A" w14:textId="77777777" w:rsidR="005030C2" w:rsidRPr="00CA38ED" w:rsidRDefault="005030C2" w:rsidP="008551D6">
      <w:pPr>
        <w:jc w:val="both"/>
        <w:rPr>
          <w:lang w:val="en-US"/>
        </w:rPr>
      </w:pPr>
    </w:p>
    <w:p w14:paraId="1BC0B244" w14:textId="165ADDA4" w:rsidR="008C4FF6" w:rsidRDefault="008C4FF6" w:rsidP="00E07EC5">
      <w:pPr>
        <w:jc w:val="both"/>
        <w:rPr>
          <w:lang w:val="en-US"/>
        </w:rPr>
      </w:pPr>
      <w:r w:rsidRPr="00CA38ED">
        <w:rPr>
          <w:b/>
          <w:bCs/>
          <w:lang w:val="en-US"/>
        </w:rPr>
        <w:t>Keywords (JEL codes)</w:t>
      </w:r>
      <w:r w:rsidRPr="00CA38ED">
        <w:rPr>
          <w:lang w:val="en-US"/>
        </w:rPr>
        <w:t>: G12, G15, E44, F34</w:t>
      </w:r>
    </w:p>
    <w:p w14:paraId="779E9B16" w14:textId="77777777" w:rsidR="00942B35" w:rsidRDefault="00942B35" w:rsidP="00E07EC5">
      <w:pPr>
        <w:jc w:val="both"/>
        <w:rPr>
          <w:lang w:val="en-US"/>
        </w:rPr>
      </w:pPr>
    </w:p>
    <w:p w14:paraId="05CE2D03" w14:textId="77777777" w:rsidR="00942B35" w:rsidRDefault="00942B35" w:rsidP="00E07EC5">
      <w:pPr>
        <w:jc w:val="both"/>
        <w:rPr>
          <w:lang w:val="en-US"/>
        </w:rPr>
      </w:pPr>
    </w:p>
    <w:p w14:paraId="38BC41F6" w14:textId="77777777" w:rsidR="00942B35" w:rsidRDefault="00942B35" w:rsidP="00E07EC5">
      <w:pPr>
        <w:jc w:val="both"/>
        <w:rPr>
          <w:lang w:val="en-US"/>
        </w:rPr>
      </w:pPr>
    </w:p>
    <w:p w14:paraId="1DC5A1FD" w14:textId="77777777" w:rsidR="001C3D06" w:rsidRDefault="001C3D06" w:rsidP="00E07EC5">
      <w:pPr>
        <w:jc w:val="both"/>
        <w:rPr>
          <w:lang w:val="en-US"/>
        </w:rPr>
      </w:pPr>
    </w:p>
    <w:p w14:paraId="6BAEE1C4" w14:textId="77777777" w:rsidR="001C3D06" w:rsidRDefault="001C3D06" w:rsidP="00E07EC5">
      <w:pPr>
        <w:jc w:val="both"/>
        <w:rPr>
          <w:lang w:val="en-US"/>
        </w:rPr>
      </w:pPr>
    </w:p>
    <w:p w14:paraId="489F6F34" w14:textId="77777777" w:rsidR="001C3D06" w:rsidRDefault="001C3D06" w:rsidP="00E07EC5">
      <w:pPr>
        <w:jc w:val="both"/>
        <w:rPr>
          <w:lang w:val="en-US"/>
        </w:rPr>
      </w:pPr>
    </w:p>
    <w:p w14:paraId="0E0A6822" w14:textId="77777777" w:rsidR="001C3D06" w:rsidRDefault="001C3D06" w:rsidP="00E07EC5">
      <w:pPr>
        <w:jc w:val="both"/>
        <w:rPr>
          <w:lang w:val="en-US"/>
        </w:rPr>
      </w:pPr>
    </w:p>
    <w:p w14:paraId="635F8AAD" w14:textId="77777777" w:rsidR="001C3D06" w:rsidRDefault="001C3D06" w:rsidP="00E07EC5">
      <w:pPr>
        <w:jc w:val="both"/>
        <w:rPr>
          <w:lang w:val="en-US"/>
        </w:rPr>
      </w:pPr>
    </w:p>
    <w:p w14:paraId="3FA8CC8C" w14:textId="77777777" w:rsidR="001C3D06" w:rsidRDefault="001C3D06" w:rsidP="00E07EC5">
      <w:pPr>
        <w:jc w:val="both"/>
        <w:rPr>
          <w:lang w:val="en-US"/>
        </w:rPr>
      </w:pPr>
    </w:p>
    <w:p w14:paraId="4AD9EB84" w14:textId="77777777" w:rsidR="001C3D06" w:rsidRDefault="001C3D06" w:rsidP="00E07EC5">
      <w:pPr>
        <w:jc w:val="both"/>
        <w:rPr>
          <w:lang w:val="en-US"/>
        </w:rPr>
      </w:pPr>
    </w:p>
    <w:p w14:paraId="3B0BBE99" w14:textId="77777777" w:rsidR="0002722C" w:rsidRPr="00CA38ED" w:rsidRDefault="0002722C">
      <w:pPr>
        <w:pBdr>
          <w:top w:val="nil"/>
          <w:left w:val="nil"/>
          <w:bottom w:val="nil"/>
          <w:right w:val="nil"/>
          <w:between w:val="nil"/>
        </w:pBdr>
        <w:shd w:val="clear" w:color="auto" w:fill="FFFFFF"/>
        <w:tabs>
          <w:tab w:val="left" w:pos="6840"/>
        </w:tabs>
        <w:jc w:val="both"/>
        <w:rPr>
          <w:lang w:val="en-US"/>
        </w:rPr>
      </w:pPr>
    </w:p>
    <w:sdt>
      <w:sdtPr>
        <w:rPr>
          <w:rFonts w:ascii="Times New Roman" w:eastAsia="Times New Roman" w:hAnsi="Times New Roman" w:cs="Times New Roman"/>
          <w:color w:val="auto"/>
          <w:sz w:val="24"/>
          <w:szCs w:val="24"/>
          <w:lang w:val="es"/>
        </w:rPr>
        <w:id w:val="-592163215"/>
        <w:docPartObj>
          <w:docPartGallery w:val="Table of Contents"/>
          <w:docPartUnique/>
        </w:docPartObj>
      </w:sdtPr>
      <w:sdtEndPr>
        <w:rPr>
          <w:b/>
          <w:bCs/>
          <w:noProof/>
        </w:rPr>
      </w:sdtEndPr>
      <w:sdtContent>
        <w:p w14:paraId="5320AB7A" w14:textId="4BE32C6E" w:rsidR="00037EE9" w:rsidRPr="00CA38ED" w:rsidRDefault="000D3904" w:rsidP="00037EE9">
          <w:pPr>
            <w:pStyle w:val="TOCHeading"/>
            <w:jc w:val="center"/>
            <w:rPr>
              <w:rFonts w:ascii="Times New Roman" w:eastAsia="Times New Roman" w:hAnsi="Times New Roman" w:cs="Times New Roman"/>
              <w:b/>
              <w:bCs/>
              <w:color w:val="auto"/>
              <w:sz w:val="28"/>
              <w:szCs w:val="28"/>
              <w:lang w:val="es"/>
            </w:rPr>
          </w:pPr>
          <w:proofErr w:type="spellStart"/>
          <w:r>
            <w:rPr>
              <w:rFonts w:ascii="Times New Roman" w:eastAsia="Times New Roman" w:hAnsi="Times New Roman" w:cs="Times New Roman"/>
              <w:b/>
              <w:bCs/>
              <w:color w:val="auto"/>
              <w:sz w:val="28"/>
              <w:szCs w:val="28"/>
              <w:lang w:val="es"/>
            </w:rPr>
            <w:t>Index</w:t>
          </w:r>
          <w:proofErr w:type="spellEnd"/>
        </w:p>
        <w:p w14:paraId="6742A997" w14:textId="77777777" w:rsidR="00E06051" w:rsidRPr="00CA38ED" w:rsidRDefault="00E06051" w:rsidP="00E06051"/>
        <w:p w14:paraId="5FF6FB83" w14:textId="240DEDBD" w:rsidR="008C72E7" w:rsidRDefault="00037EE9">
          <w:pPr>
            <w:pStyle w:val="TOC1"/>
            <w:tabs>
              <w:tab w:val="right" w:leader="dot" w:pos="8787"/>
            </w:tabs>
            <w:rPr>
              <w:rFonts w:asciiTheme="minorHAnsi" w:eastAsiaTheme="minorEastAsia" w:hAnsiTheme="minorHAnsi" w:cstheme="minorBidi"/>
              <w:noProof/>
              <w:kern w:val="2"/>
              <w:lang w:val="en-US"/>
              <w14:ligatures w14:val="standardContextual"/>
            </w:rPr>
          </w:pPr>
          <w:r w:rsidRPr="00CA38ED">
            <w:fldChar w:fldCharType="begin"/>
          </w:r>
          <w:r w:rsidRPr="00CA38ED">
            <w:instrText xml:space="preserve"> TOC \o "1-3" \h \z \u </w:instrText>
          </w:r>
          <w:r w:rsidRPr="00CA38ED">
            <w:fldChar w:fldCharType="separate"/>
          </w:r>
          <w:hyperlink w:anchor="_Toc232189533" w:history="1">
            <w:r w:rsidR="008C72E7" w:rsidRPr="00402660">
              <w:rPr>
                <w:rStyle w:val="Hyperlink"/>
                <w:noProof/>
                <w:lang w:val="en-US"/>
              </w:rPr>
              <w:t>Abstract</w:t>
            </w:r>
            <w:r w:rsidR="008C72E7">
              <w:rPr>
                <w:noProof/>
                <w:webHidden/>
              </w:rPr>
              <w:tab/>
            </w:r>
            <w:r w:rsidR="008C72E7">
              <w:rPr>
                <w:noProof/>
                <w:webHidden/>
              </w:rPr>
              <w:fldChar w:fldCharType="begin"/>
            </w:r>
            <w:r w:rsidR="008C72E7">
              <w:rPr>
                <w:noProof/>
                <w:webHidden/>
              </w:rPr>
              <w:instrText xml:space="preserve"> PAGEREF _Toc232189533 \h </w:instrText>
            </w:r>
            <w:r w:rsidR="008C72E7">
              <w:rPr>
                <w:noProof/>
                <w:webHidden/>
              </w:rPr>
            </w:r>
            <w:r w:rsidR="008C72E7">
              <w:rPr>
                <w:noProof/>
                <w:webHidden/>
              </w:rPr>
              <w:fldChar w:fldCharType="separate"/>
            </w:r>
            <w:r w:rsidR="008B6F23">
              <w:rPr>
                <w:noProof/>
                <w:webHidden/>
              </w:rPr>
              <w:t>2</w:t>
            </w:r>
            <w:r w:rsidR="008C72E7">
              <w:rPr>
                <w:noProof/>
                <w:webHidden/>
              </w:rPr>
              <w:fldChar w:fldCharType="end"/>
            </w:r>
          </w:hyperlink>
        </w:p>
        <w:p w14:paraId="211BB393" w14:textId="7943C14A"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4" w:history="1">
            <w:r w:rsidRPr="00402660">
              <w:rPr>
                <w:rStyle w:val="Hyperlink"/>
                <w:noProof/>
              </w:rPr>
              <w:t>1.</w:t>
            </w:r>
            <w:r>
              <w:rPr>
                <w:rFonts w:asciiTheme="minorHAnsi" w:eastAsiaTheme="minorEastAsia" w:hAnsiTheme="minorHAnsi" w:cstheme="minorBidi"/>
                <w:noProof/>
                <w:kern w:val="2"/>
                <w:lang w:val="en-US"/>
                <w14:ligatures w14:val="standardContextual"/>
              </w:rPr>
              <w:tab/>
            </w:r>
            <w:r w:rsidRPr="00402660">
              <w:rPr>
                <w:rStyle w:val="Hyperlink"/>
                <w:noProof/>
              </w:rPr>
              <w:t>Introduction</w:t>
            </w:r>
            <w:r>
              <w:rPr>
                <w:noProof/>
                <w:webHidden/>
              </w:rPr>
              <w:tab/>
            </w:r>
            <w:r>
              <w:rPr>
                <w:noProof/>
                <w:webHidden/>
              </w:rPr>
              <w:fldChar w:fldCharType="begin"/>
            </w:r>
            <w:r>
              <w:rPr>
                <w:noProof/>
                <w:webHidden/>
              </w:rPr>
              <w:instrText xml:space="preserve"> PAGEREF _Toc232189534 \h </w:instrText>
            </w:r>
            <w:r>
              <w:rPr>
                <w:noProof/>
                <w:webHidden/>
              </w:rPr>
            </w:r>
            <w:r>
              <w:rPr>
                <w:noProof/>
                <w:webHidden/>
              </w:rPr>
              <w:fldChar w:fldCharType="separate"/>
            </w:r>
            <w:r w:rsidR="008B6F23">
              <w:rPr>
                <w:noProof/>
                <w:webHidden/>
              </w:rPr>
              <w:t>4</w:t>
            </w:r>
            <w:r>
              <w:rPr>
                <w:noProof/>
                <w:webHidden/>
              </w:rPr>
              <w:fldChar w:fldCharType="end"/>
            </w:r>
          </w:hyperlink>
        </w:p>
        <w:p w14:paraId="3EC4BFDB" w14:textId="4068A7A2"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5" w:history="1">
            <w:r w:rsidRPr="00402660">
              <w:rPr>
                <w:rStyle w:val="Hyperlink"/>
                <w:noProof/>
                <w:lang w:val="en-US"/>
              </w:rPr>
              <w:t>2.</w:t>
            </w:r>
            <w:r>
              <w:rPr>
                <w:rFonts w:asciiTheme="minorHAnsi" w:eastAsiaTheme="minorEastAsia" w:hAnsiTheme="minorHAnsi" w:cstheme="minorBidi"/>
                <w:noProof/>
                <w:kern w:val="2"/>
                <w:lang w:val="en-US"/>
                <w14:ligatures w14:val="standardContextual"/>
              </w:rPr>
              <w:tab/>
            </w:r>
            <w:r w:rsidRPr="00402660">
              <w:rPr>
                <w:rStyle w:val="Hyperlink"/>
                <w:noProof/>
                <w:lang w:val="en-US"/>
              </w:rPr>
              <w:t>Institutional Background: Brazilian Debentures, CVM Reforms, and OTC Price Discovery</w:t>
            </w:r>
            <w:r>
              <w:rPr>
                <w:noProof/>
                <w:webHidden/>
              </w:rPr>
              <w:tab/>
            </w:r>
            <w:r>
              <w:rPr>
                <w:noProof/>
                <w:webHidden/>
              </w:rPr>
              <w:fldChar w:fldCharType="begin"/>
            </w:r>
            <w:r>
              <w:rPr>
                <w:noProof/>
                <w:webHidden/>
              </w:rPr>
              <w:instrText xml:space="preserve"> PAGEREF _Toc232189535 \h </w:instrText>
            </w:r>
            <w:r>
              <w:rPr>
                <w:noProof/>
                <w:webHidden/>
              </w:rPr>
            </w:r>
            <w:r>
              <w:rPr>
                <w:noProof/>
                <w:webHidden/>
              </w:rPr>
              <w:fldChar w:fldCharType="separate"/>
            </w:r>
            <w:r w:rsidR="008B6F23">
              <w:rPr>
                <w:noProof/>
                <w:webHidden/>
              </w:rPr>
              <w:t>6</w:t>
            </w:r>
            <w:r>
              <w:rPr>
                <w:noProof/>
                <w:webHidden/>
              </w:rPr>
              <w:fldChar w:fldCharType="end"/>
            </w:r>
          </w:hyperlink>
        </w:p>
        <w:p w14:paraId="1D0109E8" w14:textId="69EB2AAF"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6" w:history="1">
            <w:r w:rsidRPr="00402660">
              <w:rPr>
                <w:rStyle w:val="Hyperlink"/>
                <w:noProof/>
              </w:rPr>
              <w:t>3.</w:t>
            </w:r>
            <w:r>
              <w:rPr>
                <w:rFonts w:asciiTheme="minorHAnsi" w:eastAsiaTheme="minorEastAsia" w:hAnsiTheme="minorHAnsi" w:cstheme="minorBidi"/>
                <w:noProof/>
                <w:kern w:val="2"/>
                <w:lang w:val="en-US"/>
                <w14:ligatures w14:val="standardContextual"/>
              </w:rPr>
              <w:tab/>
            </w:r>
            <w:r w:rsidRPr="00402660">
              <w:rPr>
                <w:rStyle w:val="Hyperlink"/>
                <w:noProof/>
              </w:rPr>
              <w:t>Literature Review</w:t>
            </w:r>
            <w:r>
              <w:rPr>
                <w:noProof/>
                <w:webHidden/>
              </w:rPr>
              <w:tab/>
            </w:r>
            <w:r>
              <w:rPr>
                <w:noProof/>
                <w:webHidden/>
              </w:rPr>
              <w:fldChar w:fldCharType="begin"/>
            </w:r>
            <w:r>
              <w:rPr>
                <w:noProof/>
                <w:webHidden/>
              </w:rPr>
              <w:instrText xml:space="preserve"> PAGEREF _Toc232189536 \h </w:instrText>
            </w:r>
            <w:r>
              <w:rPr>
                <w:noProof/>
                <w:webHidden/>
              </w:rPr>
            </w:r>
            <w:r>
              <w:rPr>
                <w:noProof/>
                <w:webHidden/>
              </w:rPr>
              <w:fldChar w:fldCharType="separate"/>
            </w:r>
            <w:r w:rsidR="008B6F23">
              <w:rPr>
                <w:noProof/>
                <w:webHidden/>
              </w:rPr>
              <w:t>7</w:t>
            </w:r>
            <w:r>
              <w:rPr>
                <w:noProof/>
                <w:webHidden/>
              </w:rPr>
              <w:fldChar w:fldCharType="end"/>
            </w:r>
          </w:hyperlink>
        </w:p>
        <w:p w14:paraId="4BE5B87C" w14:textId="6747415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37" w:history="1">
            <w:r w:rsidRPr="00402660">
              <w:rPr>
                <w:rStyle w:val="Hyperlink"/>
                <w:noProof/>
                <w:lang w:val="en-US"/>
              </w:rPr>
              <w:t>3.1.</w:t>
            </w:r>
            <w:r>
              <w:rPr>
                <w:rFonts w:asciiTheme="minorHAnsi" w:eastAsiaTheme="minorEastAsia" w:hAnsiTheme="minorHAnsi" w:cstheme="minorBidi"/>
                <w:noProof/>
                <w:kern w:val="2"/>
                <w:lang w:val="en-US"/>
                <w14:ligatures w14:val="standardContextual"/>
              </w:rPr>
              <w:tab/>
            </w:r>
            <w:r w:rsidRPr="00402660">
              <w:rPr>
                <w:rStyle w:val="Hyperlink"/>
                <w:noProof/>
                <w:lang w:val="en-US"/>
              </w:rPr>
              <w:t>Development of Local Currency Bond Markets</w:t>
            </w:r>
            <w:r>
              <w:rPr>
                <w:noProof/>
                <w:webHidden/>
              </w:rPr>
              <w:tab/>
            </w:r>
            <w:r>
              <w:rPr>
                <w:noProof/>
                <w:webHidden/>
              </w:rPr>
              <w:fldChar w:fldCharType="begin"/>
            </w:r>
            <w:r>
              <w:rPr>
                <w:noProof/>
                <w:webHidden/>
              </w:rPr>
              <w:instrText xml:space="preserve"> PAGEREF _Toc232189537 \h </w:instrText>
            </w:r>
            <w:r>
              <w:rPr>
                <w:noProof/>
                <w:webHidden/>
              </w:rPr>
            </w:r>
            <w:r>
              <w:rPr>
                <w:noProof/>
                <w:webHidden/>
              </w:rPr>
              <w:fldChar w:fldCharType="separate"/>
            </w:r>
            <w:r w:rsidR="008B6F23">
              <w:rPr>
                <w:noProof/>
                <w:webHidden/>
              </w:rPr>
              <w:t>8</w:t>
            </w:r>
            <w:r>
              <w:rPr>
                <w:noProof/>
                <w:webHidden/>
              </w:rPr>
              <w:fldChar w:fldCharType="end"/>
            </w:r>
          </w:hyperlink>
        </w:p>
        <w:p w14:paraId="46E35785" w14:textId="5EE937D9"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38" w:history="1">
            <w:r w:rsidRPr="00402660">
              <w:rPr>
                <w:rStyle w:val="Hyperlink"/>
                <w:noProof/>
                <w:lang w:val="en-US"/>
              </w:rPr>
              <w:t>3.2.</w:t>
            </w:r>
            <w:r>
              <w:rPr>
                <w:rFonts w:asciiTheme="minorHAnsi" w:eastAsiaTheme="minorEastAsia" w:hAnsiTheme="minorHAnsi" w:cstheme="minorBidi"/>
                <w:noProof/>
                <w:kern w:val="2"/>
                <w:lang w:val="en-US"/>
                <w14:ligatures w14:val="standardContextual"/>
              </w:rPr>
              <w:tab/>
            </w:r>
            <w:r w:rsidRPr="00402660">
              <w:rPr>
                <w:rStyle w:val="Hyperlink"/>
                <w:noProof/>
                <w:lang w:val="en-US"/>
              </w:rPr>
              <w:t>Positioning relative to the literature</w:t>
            </w:r>
            <w:r>
              <w:rPr>
                <w:noProof/>
                <w:webHidden/>
              </w:rPr>
              <w:tab/>
            </w:r>
            <w:r>
              <w:rPr>
                <w:noProof/>
                <w:webHidden/>
              </w:rPr>
              <w:fldChar w:fldCharType="begin"/>
            </w:r>
            <w:r>
              <w:rPr>
                <w:noProof/>
                <w:webHidden/>
              </w:rPr>
              <w:instrText xml:space="preserve"> PAGEREF _Toc232189538 \h </w:instrText>
            </w:r>
            <w:r>
              <w:rPr>
                <w:noProof/>
                <w:webHidden/>
              </w:rPr>
            </w:r>
            <w:r>
              <w:rPr>
                <w:noProof/>
                <w:webHidden/>
              </w:rPr>
              <w:fldChar w:fldCharType="separate"/>
            </w:r>
            <w:r w:rsidR="008B6F23">
              <w:rPr>
                <w:noProof/>
                <w:webHidden/>
              </w:rPr>
              <w:t>11</w:t>
            </w:r>
            <w:r>
              <w:rPr>
                <w:noProof/>
                <w:webHidden/>
              </w:rPr>
              <w:fldChar w:fldCharType="end"/>
            </w:r>
          </w:hyperlink>
        </w:p>
        <w:p w14:paraId="1AA1676E" w14:textId="7668FDD2"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39" w:history="1">
            <w:r w:rsidRPr="00402660">
              <w:rPr>
                <w:rStyle w:val="Hyperlink"/>
                <w:noProof/>
              </w:rPr>
              <w:t>4.</w:t>
            </w:r>
            <w:r>
              <w:rPr>
                <w:rFonts w:asciiTheme="minorHAnsi" w:eastAsiaTheme="minorEastAsia" w:hAnsiTheme="minorHAnsi" w:cstheme="minorBidi"/>
                <w:noProof/>
                <w:kern w:val="2"/>
                <w:lang w:val="en-US"/>
                <w14:ligatures w14:val="standardContextual"/>
              </w:rPr>
              <w:tab/>
            </w:r>
            <w:r w:rsidRPr="00402660">
              <w:rPr>
                <w:rStyle w:val="Hyperlink"/>
                <w:noProof/>
              </w:rPr>
              <w:t>Methodology / Empirical Strategy</w:t>
            </w:r>
            <w:r>
              <w:rPr>
                <w:noProof/>
                <w:webHidden/>
              </w:rPr>
              <w:tab/>
            </w:r>
            <w:r>
              <w:rPr>
                <w:noProof/>
                <w:webHidden/>
              </w:rPr>
              <w:fldChar w:fldCharType="begin"/>
            </w:r>
            <w:r>
              <w:rPr>
                <w:noProof/>
                <w:webHidden/>
              </w:rPr>
              <w:instrText xml:space="preserve"> PAGEREF _Toc232189539 \h </w:instrText>
            </w:r>
            <w:r>
              <w:rPr>
                <w:noProof/>
                <w:webHidden/>
              </w:rPr>
            </w:r>
            <w:r>
              <w:rPr>
                <w:noProof/>
                <w:webHidden/>
              </w:rPr>
              <w:fldChar w:fldCharType="separate"/>
            </w:r>
            <w:r w:rsidR="008B6F23">
              <w:rPr>
                <w:noProof/>
                <w:webHidden/>
              </w:rPr>
              <w:t>11</w:t>
            </w:r>
            <w:r>
              <w:rPr>
                <w:noProof/>
                <w:webHidden/>
              </w:rPr>
              <w:fldChar w:fldCharType="end"/>
            </w:r>
          </w:hyperlink>
        </w:p>
        <w:p w14:paraId="3D099FD5" w14:textId="506C063F"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0" w:history="1">
            <w:r w:rsidRPr="00402660">
              <w:rPr>
                <w:rStyle w:val="Hyperlink"/>
                <w:noProof/>
                <w:lang w:val="en-US"/>
              </w:rPr>
              <w:t>4.1.</w:t>
            </w:r>
            <w:r>
              <w:rPr>
                <w:rFonts w:asciiTheme="minorHAnsi" w:eastAsiaTheme="minorEastAsia" w:hAnsiTheme="minorHAnsi" w:cstheme="minorBidi"/>
                <w:noProof/>
                <w:kern w:val="2"/>
                <w:lang w:val="en-US"/>
                <w14:ligatures w14:val="standardContextual"/>
              </w:rPr>
              <w:tab/>
            </w:r>
            <w:r w:rsidRPr="00402660">
              <w:rPr>
                <w:rStyle w:val="Hyperlink"/>
                <w:noProof/>
                <w:lang w:val="en-US"/>
              </w:rPr>
              <w:t>Data and empirical setting</w:t>
            </w:r>
            <w:r>
              <w:rPr>
                <w:noProof/>
                <w:webHidden/>
              </w:rPr>
              <w:tab/>
            </w:r>
            <w:r>
              <w:rPr>
                <w:noProof/>
                <w:webHidden/>
              </w:rPr>
              <w:fldChar w:fldCharType="begin"/>
            </w:r>
            <w:r>
              <w:rPr>
                <w:noProof/>
                <w:webHidden/>
              </w:rPr>
              <w:instrText xml:space="preserve"> PAGEREF _Toc232189540 \h </w:instrText>
            </w:r>
            <w:r>
              <w:rPr>
                <w:noProof/>
                <w:webHidden/>
              </w:rPr>
            </w:r>
            <w:r>
              <w:rPr>
                <w:noProof/>
                <w:webHidden/>
              </w:rPr>
              <w:fldChar w:fldCharType="separate"/>
            </w:r>
            <w:r w:rsidR="008B6F23">
              <w:rPr>
                <w:noProof/>
                <w:webHidden/>
              </w:rPr>
              <w:t>11</w:t>
            </w:r>
            <w:r>
              <w:rPr>
                <w:noProof/>
                <w:webHidden/>
              </w:rPr>
              <w:fldChar w:fldCharType="end"/>
            </w:r>
          </w:hyperlink>
        </w:p>
        <w:p w14:paraId="3545830D" w14:textId="21BB5AE4"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1" w:history="1">
            <w:r w:rsidRPr="00402660">
              <w:rPr>
                <w:rStyle w:val="Hyperlink"/>
                <w:noProof/>
                <w:lang w:val="en-US"/>
              </w:rPr>
              <w:t>4.2.</w:t>
            </w:r>
            <w:r>
              <w:rPr>
                <w:rFonts w:asciiTheme="minorHAnsi" w:eastAsiaTheme="minorEastAsia" w:hAnsiTheme="minorHAnsi" w:cstheme="minorBidi"/>
                <w:noProof/>
                <w:kern w:val="2"/>
                <w:lang w:val="en-US"/>
                <w14:ligatures w14:val="standardContextual"/>
              </w:rPr>
              <w:tab/>
            </w:r>
            <w:r w:rsidRPr="00402660">
              <w:rPr>
                <w:rStyle w:val="Hyperlink"/>
                <w:noProof/>
                <w:lang w:val="en-US"/>
              </w:rPr>
              <w:t>Measuring the dependent variable</w:t>
            </w:r>
            <w:r>
              <w:rPr>
                <w:noProof/>
                <w:webHidden/>
              </w:rPr>
              <w:tab/>
            </w:r>
            <w:r>
              <w:rPr>
                <w:noProof/>
                <w:webHidden/>
              </w:rPr>
              <w:fldChar w:fldCharType="begin"/>
            </w:r>
            <w:r>
              <w:rPr>
                <w:noProof/>
                <w:webHidden/>
              </w:rPr>
              <w:instrText xml:space="preserve"> PAGEREF _Toc232189541 \h </w:instrText>
            </w:r>
            <w:r>
              <w:rPr>
                <w:noProof/>
                <w:webHidden/>
              </w:rPr>
            </w:r>
            <w:r>
              <w:rPr>
                <w:noProof/>
                <w:webHidden/>
              </w:rPr>
              <w:fldChar w:fldCharType="separate"/>
            </w:r>
            <w:r w:rsidR="008B6F23">
              <w:rPr>
                <w:noProof/>
                <w:webHidden/>
              </w:rPr>
              <w:t>12</w:t>
            </w:r>
            <w:r>
              <w:rPr>
                <w:noProof/>
                <w:webHidden/>
              </w:rPr>
              <w:fldChar w:fldCharType="end"/>
            </w:r>
          </w:hyperlink>
        </w:p>
        <w:p w14:paraId="46C146F0" w14:textId="63FDADBD"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2" w:history="1">
            <w:r w:rsidRPr="00402660">
              <w:rPr>
                <w:rStyle w:val="Hyperlink"/>
                <w:noProof/>
                <w:lang w:val="es-AR"/>
              </w:rPr>
              <w:t>4.3.</w:t>
            </w:r>
            <w:r>
              <w:rPr>
                <w:rFonts w:asciiTheme="minorHAnsi" w:eastAsiaTheme="minorEastAsia" w:hAnsiTheme="minorHAnsi" w:cstheme="minorBidi"/>
                <w:noProof/>
                <w:kern w:val="2"/>
                <w:lang w:val="en-US"/>
                <w14:ligatures w14:val="standardContextual"/>
              </w:rPr>
              <w:tab/>
            </w:r>
            <w:r w:rsidRPr="00402660">
              <w:rPr>
                <w:rStyle w:val="Hyperlink"/>
                <w:noProof/>
                <w:lang w:val="es-AR"/>
              </w:rPr>
              <w:t>Explanatory variables</w:t>
            </w:r>
            <w:r>
              <w:rPr>
                <w:noProof/>
                <w:webHidden/>
              </w:rPr>
              <w:tab/>
            </w:r>
            <w:r>
              <w:rPr>
                <w:noProof/>
                <w:webHidden/>
              </w:rPr>
              <w:fldChar w:fldCharType="begin"/>
            </w:r>
            <w:r>
              <w:rPr>
                <w:noProof/>
                <w:webHidden/>
              </w:rPr>
              <w:instrText xml:space="preserve"> PAGEREF _Toc232189542 \h </w:instrText>
            </w:r>
            <w:r>
              <w:rPr>
                <w:noProof/>
                <w:webHidden/>
              </w:rPr>
            </w:r>
            <w:r>
              <w:rPr>
                <w:noProof/>
                <w:webHidden/>
              </w:rPr>
              <w:fldChar w:fldCharType="separate"/>
            </w:r>
            <w:r w:rsidR="008B6F23">
              <w:rPr>
                <w:noProof/>
                <w:webHidden/>
              </w:rPr>
              <w:t>13</w:t>
            </w:r>
            <w:r>
              <w:rPr>
                <w:noProof/>
                <w:webHidden/>
              </w:rPr>
              <w:fldChar w:fldCharType="end"/>
            </w:r>
          </w:hyperlink>
        </w:p>
        <w:p w14:paraId="7FCB4E62" w14:textId="760F53D0"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3" w:history="1">
            <w:r w:rsidRPr="00402660">
              <w:rPr>
                <w:rStyle w:val="Hyperlink"/>
                <w:noProof/>
              </w:rPr>
              <w:t>4.4.</w:t>
            </w:r>
            <w:r>
              <w:rPr>
                <w:rFonts w:asciiTheme="minorHAnsi" w:eastAsiaTheme="minorEastAsia" w:hAnsiTheme="minorHAnsi" w:cstheme="minorBidi"/>
                <w:noProof/>
                <w:kern w:val="2"/>
                <w:lang w:val="en-US"/>
                <w14:ligatures w14:val="standardContextual"/>
              </w:rPr>
              <w:tab/>
            </w:r>
            <w:r w:rsidRPr="00402660">
              <w:rPr>
                <w:rStyle w:val="Hyperlink"/>
                <w:noProof/>
              </w:rPr>
              <w:t>Econometric specification</w:t>
            </w:r>
            <w:r>
              <w:rPr>
                <w:noProof/>
                <w:webHidden/>
              </w:rPr>
              <w:tab/>
            </w:r>
            <w:r>
              <w:rPr>
                <w:noProof/>
                <w:webHidden/>
              </w:rPr>
              <w:fldChar w:fldCharType="begin"/>
            </w:r>
            <w:r>
              <w:rPr>
                <w:noProof/>
                <w:webHidden/>
              </w:rPr>
              <w:instrText xml:space="preserve"> PAGEREF _Toc232189543 \h </w:instrText>
            </w:r>
            <w:r>
              <w:rPr>
                <w:noProof/>
                <w:webHidden/>
              </w:rPr>
            </w:r>
            <w:r>
              <w:rPr>
                <w:noProof/>
                <w:webHidden/>
              </w:rPr>
              <w:fldChar w:fldCharType="separate"/>
            </w:r>
            <w:r w:rsidR="008B6F23">
              <w:rPr>
                <w:noProof/>
                <w:webHidden/>
              </w:rPr>
              <w:t>14</w:t>
            </w:r>
            <w:r>
              <w:rPr>
                <w:noProof/>
                <w:webHidden/>
              </w:rPr>
              <w:fldChar w:fldCharType="end"/>
            </w:r>
          </w:hyperlink>
        </w:p>
        <w:p w14:paraId="358B06B4" w14:textId="759F7520"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4" w:history="1">
            <w:r w:rsidRPr="00402660">
              <w:rPr>
                <w:rStyle w:val="Hyperlink"/>
                <w:noProof/>
              </w:rPr>
              <w:t>4.5.</w:t>
            </w:r>
            <w:r>
              <w:rPr>
                <w:rFonts w:asciiTheme="minorHAnsi" w:eastAsiaTheme="minorEastAsia" w:hAnsiTheme="minorHAnsi" w:cstheme="minorBidi"/>
                <w:noProof/>
                <w:kern w:val="2"/>
                <w:lang w:val="en-US"/>
                <w14:ligatures w14:val="standardContextual"/>
              </w:rPr>
              <w:tab/>
            </w:r>
            <w:r w:rsidRPr="00402660">
              <w:rPr>
                <w:rStyle w:val="Hyperlink"/>
                <w:noProof/>
              </w:rPr>
              <w:t>Model selection and inference</w:t>
            </w:r>
            <w:r>
              <w:rPr>
                <w:noProof/>
                <w:webHidden/>
              </w:rPr>
              <w:tab/>
            </w:r>
            <w:r>
              <w:rPr>
                <w:noProof/>
                <w:webHidden/>
              </w:rPr>
              <w:fldChar w:fldCharType="begin"/>
            </w:r>
            <w:r>
              <w:rPr>
                <w:noProof/>
                <w:webHidden/>
              </w:rPr>
              <w:instrText xml:space="preserve"> PAGEREF _Toc232189544 \h </w:instrText>
            </w:r>
            <w:r>
              <w:rPr>
                <w:noProof/>
                <w:webHidden/>
              </w:rPr>
            </w:r>
            <w:r>
              <w:rPr>
                <w:noProof/>
                <w:webHidden/>
              </w:rPr>
              <w:fldChar w:fldCharType="separate"/>
            </w:r>
            <w:r w:rsidR="008B6F23">
              <w:rPr>
                <w:noProof/>
                <w:webHidden/>
              </w:rPr>
              <w:t>15</w:t>
            </w:r>
            <w:r>
              <w:rPr>
                <w:noProof/>
                <w:webHidden/>
              </w:rPr>
              <w:fldChar w:fldCharType="end"/>
            </w:r>
          </w:hyperlink>
        </w:p>
        <w:p w14:paraId="318D0008" w14:textId="722B606A"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45" w:history="1">
            <w:r w:rsidRPr="00402660">
              <w:rPr>
                <w:rStyle w:val="Hyperlink"/>
                <w:noProof/>
              </w:rPr>
              <w:t>5.</w:t>
            </w:r>
            <w:r>
              <w:rPr>
                <w:rFonts w:asciiTheme="minorHAnsi" w:eastAsiaTheme="minorEastAsia" w:hAnsiTheme="minorHAnsi" w:cstheme="minorBidi"/>
                <w:noProof/>
                <w:kern w:val="2"/>
                <w:lang w:val="en-US"/>
                <w14:ligatures w14:val="standardContextual"/>
              </w:rPr>
              <w:tab/>
            </w:r>
            <w:r w:rsidRPr="00402660">
              <w:rPr>
                <w:rStyle w:val="Hyperlink"/>
                <w:noProof/>
              </w:rPr>
              <w:t>Results</w:t>
            </w:r>
            <w:r>
              <w:rPr>
                <w:noProof/>
                <w:webHidden/>
              </w:rPr>
              <w:tab/>
            </w:r>
            <w:r>
              <w:rPr>
                <w:noProof/>
                <w:webHidden/>
              </w:rPr>
              <w:fldChar w:fldCharType="begin"/>
            </w:r>
            <w:r>
              <w:rPr>
                <w:noProof/>
                <w:webHidden/>
              </w:rPr>
              <w:instrText xml:space="preserve"> PAGEREF _Toc232189545 \h </w:instrText>
            </w:r>
            <w:r>
              <w:rPr>
                <w:noProof/>
                <w:webHidden/>
              </w:rPr>
            </w:r>
            <w:r>
              <w:rPr>
                <w:noProof/>
                <w:webHidden/>
              </w:rPr>
              <w:fldChar w:fldCharType="separate"/>
            </w:r>
            <w:r w:rsidR="008B6F23">
              <w:rPr>
                <w:noProof/>
                <w:webHidden/>
              </w:rPr>
              <w:t>16</w:t>
            </w:r>
            <w:r>
              <w:rPr>
                <w:noProof/>
                <w:webHidden/>
              </w:rPr>
              <w:fldChar w:fldCharType="end"/>
            </w:r>
          </w:hyperlink>
        </w:p>
        <w:p w14:paraId="0947082E" w14:textId="060155C6"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6" w:history="1">
            <w:r w:rsidRPr="00402660">
              <w:rPr>
                <w:rStyle w:val="Hyperlink"/>
                <w:noProof/>
              </w:rPr>
              <w:t>5.1.</w:t>
            </w:r>
            <w:r>
              <w:rPr>
                <w:rFonts w:asciiTheme="minorHAnsi" w:eastAsiaTheme="minorEastAsia" w:hAnsiTheme="minorHAnsi" w:cstheme="minorBidi"/>
                <w:noProof/>
                <w:kern w:val="2"/>
                <w:lang w:val="en-US"/>
                <w14:ligatures w14:val="standardContextual"/>
              </w:rPr>
              <w:tab/>
            </w:r>
            <w:r w:rsidRPr="00402660">
              <w:rPr>
                <w:rStyle w:val="Hyperlink"/>
                <w:noProof/>
              </w:rPr>
              <w:t>Model selection diagnostics</w:t>
            </w:r>
            <w:r>
              <w:rPr>
                <w:noProof/>
                <w:webHidden/>
              </w:rPr>
              <w:tab/>
            </w:r>
            <w:r>
              <w:rPr>
                <w:noProof/>
                <w:webHidden/>
              </w:rPr>
              <w:fldChar w:fldCharType="begin"/>
            </w:r>
            <w:r>
              <w:rPr>
                <w:noProof/>
                <w:webHidden/>
              </w:rPr>
              <w:instrText xml:space="preserve"> PAGEREF _Toc232189546 \h </w:instrText>
            </w:r>
            <w:r>
              <w:rPr>
                <w:noProof/>
                <w:webHidden/>
              </w:rPr>
            </w:r>
            <w:r>
              <w:rPr>
                <w:noProof/>
                <w:webHidden/>
              </w:rPr>
              <w:fldChar w:fldCharType="separate"/>
            </w:r>
            <w:r w:rsidR="008B6F23">
              <w:rPr>
                <w:noProof/>
                <w:webHidden/>
              </w:rPr>
              <w:t>16</w:t>
            </w:r>
            <w:r>
              <w:rPr>
                <w:noProof/>
                <w:webHidden/>
              </w:rPr>
              <w:fldChar w:fldCharType="end"/>
            </w:r>
          </w:hyperlink>
        </w:p>
        <w:p w14:paraId="051174F4" w14:textId="62EBB5FE"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7" w:history="1">
            <w:r w:rsidRPr="00402660">
              <w:rPr>
                <w:rStyle w:val="Hyperlink"/>
                <w:noProof/>
              </w:rPr>
              <w:t>5.2.</w:t>
            </w:r>
            <w:r>
              <w:rPr>
                <w:rFonts w:asciiTheme="minorHAnsi" w:eastAsiaTheme="minorEastAsia" w:hAnsiTheme="minorHAnsi" w:cstheme="minorBidi"/>
                <w:noProof/>
                <w:kern w:val="2"/>
                <w:lang w:val="en-US"/>
                <w14:ligatures w14:val="standardContextual"/>
              </w:rPr>
              <w:tab/>
            </w:r>
            <w:r w:rsidRPr="00402660">
              <w:rPr>
                <w:rStyle w:val="Hyperlink"/>
                <w:noProof/>
              </w:rPr>
              <w:t>Baseline estimates</w:t>
            </w:r>
            <w:r>
              <w:rPr>
                <w:noProof/>
                <w:webHidden/>
              </w:rPr>
              <w:tab/>
            </w:r>
            <w:r>
              <w:rPr>
                <w:noProof/>
                <w:webHidden/>
              </w:rPr>
              <w:fldChar w:fldCharType="begin"/>
            </w:r>
            <w:r>
              <w:rPr>
                <w:noProof/>
                <w:webHidden/>
              </w:rPr>
              <w:instrText xml:space="preserve"> PAGEREF _Toc232189547 \h </w:instrText>
            </w:r>
            <w:r>
              <w:rPr>
                <w:noProof/>
                <w:webHidden/>
              </w:rPr>
            </w:r>
            <w:r>
              <w:rPr>
                <w:noProof/>
                <w:webHidden/>
              </w:rPr>
              <w:fldChar w:fldCharType="separate"/>
            </w:r>
            <w:r w:rsidR="008B6F23">
              <w:rPr>
                <w:noProof/>
                <w:webHidden/>
              </w:rPr>
              <w:t>17</w:t>
            </w:r>
            <w:r>
              <w:rPr>
                <w:noProof/>
                <w:webHidden/>
              </w:rPr>
              <w:fldChar w:fldCharType="end"/>
            </w:r>
          </w:hyperlink>
        </w:p>
        <w:p w14:paraId="09C05683" w14:textId="48CCE8E0"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8" w:history="1">
            <w:r w:rsidRPr="00402660">
              <w:rPr>
                <w:rStyle w:val="Hyperlink"/>
                <w:noProof/>
              </w:rPr>
              <w:t>5.3.</w:t>
            </w:r>
            <w:r>
              <w:rPr>
                <w:rFonts w:asciiTheme="minorHAnsi" w:eastAsiaTheme="minorEastAsia" w:hAnsiTheme="minorHAnsi" w:cstheme="minorBidi"/>
                <w:noProof/>
                <w:kern w:val="2"/>
                <w:lang w:val="en-US"/>
                <w14:ligatures w14:val="standardContextual"/>
              </w:rPr>
              <w:tab/>
            </w:r>
            <w:r w:rsidRPr="00402660">
              <w:rPr>
                <w:rStyle w:val="Hyperlink"/>
                <w:noProof/>
              </w:rPr>
              <w:t>Magnitudes and robustness</w:t>
            </w:r>
            <w:r>
              <w:rPr>
                <w:noProof/>
                <w:webHidden/>
              </w:rPr>
              <w:tab/>
            </w:r>
            <w:r>
              <w:rPr>
                <w:noProof/>
                <w:webHidden/>
              </w:rPr>
              <w:fldChar w:fldCharType="begin"/>
            </w:r>
            <w:r>
              <w:rPr>
                <w:noProof/>
                <w:webHidden/>
              </w:rPr>
              <w:instrText xml:space="preserve"> PAGEREF _Toc232189548 \h </w:instrText>
            </w:r>
            <w:r>
              <w:rPr>
                <w:noProof/>
                <w:webHidden/>
              </w:rPr>
            </w:r>
            <w:r>
              <w:rPr>
                <w:noProof/>
                <w:webHidden/>
              </w:rPr>
              <w:fldChar w:fldCharType="separate"/>
            </w:r>
            <w:r w:rsidR="008B6F23">
              <w:rPr>
                <w:noProof/>
                <w:webHidden/>
              </w:rPr>
              <w:t>19</w:t>
            </w:r>
            <w:r>
              <w:rPr>
                <w:noProof/>
                <w:webHidden/>
              </w:rPr>
              <w:fldChar w:fldCharType="end"/>
            </w:r>
          </w:hyperlink>
        </w:p>
        <w:p w14:paraId="32C396F7" w14:textId="67C18DDB"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49" w:history="1">
            <w:r w:rsidRPr="00402660">
              <w:rPr>
                <w:rStyle w:val="Hyperlink"/>
                <w:noProof/>
                <w:lang w:val="en-US"/>
              </w:rPr>
              <w:t>5.4.</w:t>
            </w:r>
            <w:r>
              <w:rPr>
                <w:rFonts w:asciiTheme="minorHAnsi" w:eastAsiaTheme="minorEastAsia" w:hAnsiTheme="minorHAnsi" w:cstheme="minorBidi"/>
                <w:noProof/>
                <w:kern w:val="2"/>
                <w:lang w:val="en-US"/>
                <w14:ligatures w14:val="standardContextual"/>
              </w:rPr>
              <w:tab/>
            </w:r>
            <w:r w:rsidRPr="00402660">
              <w:rPr>
                <w:rStyle w:val="Hyperlink"/>
                <w:noProof/>
                <w:lang w:val="en-US"/>
              </w:rPr>
              <w:t>Additional robustness checks to be completed</w:t>
            </w:r>
            <w:r>
              <w:rPr>
                <w:noProof/>
                <w:webHidden/>
              </w:rPr>
              <w:tab/>
            </w:r>
            <w:r>
              <w:rPr>
                <w:noProof/>
                <w:webHidden/>
              </w:rPr>
              <w:fldChar w:fldCharType="begin"/>
            </w:r>
            <w:r>
              <w:rPr>
                <w:noProof/>
                <w:webHidden/>
              </w:rPr>
              <w:instrText xml:space="preserve"> PAGEREF _Toc232189549 \h </w:instrText>
            </w:r>
            <w:r>
              <w:rPr>
                <w:noProof/>
                <w:webHidden/>
              </w:rPr>
            </w:r>
            <w:r>
              <w:rPr>
                <w:noProof/>
                <w:webHidden/>
              </w:rPr>
              <w:fldChar w:fldCharType="separate"/>
            </w:r>
            <w:r w:rsidR="008B6F23">
              <w:rPr>
                <w:noProof/>
                <w:webHidden/>
              </w:rPr>
              <w:t>20</w:t>
            </w:r>
            <w:r>
              <w:rPr>
                <w:noProof/>
                <w:webHidden/>
              </w:rPr>
              <w:fldChar w:fldCharType="end"/>
            </w:r>
          </w:hyperlink>
        </w:p>
        <w:p w14:paraId="14833E20" w14:textId="5519C134"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0" w:history="1">
            <w:r w:rsidRPr="00402660">
              <w:rPr>
                <w:rStyle w:val="Hyperlink"/>
                <w:noProof/>
              </w:rPr>
              <w:t>6.</w:t>
            </w:r>
            <w:r>
              <w:rPr>
                <w:rFonts w:asciiTheme="minorHAnsi" w:eastAsiaTheme="minorEastAsia" w:hAnsiTheme="minorHAnsi" w:cstheme="minorBidi"/>
                <w:noProof/>
                <w:kern w:val="2"/>
                <w:lang w:val="en-US"/>
                <w14:ligatures w14:val="standardContextual"/>
              </w:rPr>
              <w:tab/>
            </w:r>
            <w:r w:rsidRPr="00402660">
              <w:rPr>
                <w:rStyle w:val="Hyperlink"/>
                <w:noProof/>
              </w:rPr>
              <w:t>Discussion</w:t>
            </w:r>
            <w:r>
              <w:rPr>
                <w:noProof/>
                <w:webHidden/>
              </w:rPr>
              <w:tab/>
            </w:r>
            <w:r>
              <w:rPr>
                <w:noProof/>
                <w:webHidden/>
              </w:rPr>
              <w:fldChar w:fldCharType="begin"/>
            </w:r>
            <w:r>
              <w:rPr>
                <w:noProof/>
                <w:webHidden/>
              </w:rPr>
              <w:instrText xml:space="preserve"> PAGEREF _Toc232189550 \h </w:instrText>
            </w:r>
            <w:r>
              <w:rPr>
                <w:noProof/>
                <w:webHidden/>
              </w:rPr>
            </w:r>
            <w:r>
              <w:rPr>
                <w:noProof/>
                <w:webHidden/>
              </w:rPr>
              <w:fldChar w:fldCharType="separate"/>
            </w:r>
            <w:r w:rsidR="008B6F23">
              <w:rPr>
                <w:noProof/>
                <w:webHidden/>
              </w:rPr>
              <w:t>21</w:t>
            </w:r>
            <w:r>
              <w:rPr>
                <w:noProof/>
                <w:webHidden/>
              </w:rPr>
              <w:fldChar w:fldCharType="end"/>
            </w:r>
          </w:hyperlink>
        </w:p>
        <w:p w14:paraId="09F3148A" w14:textId="56B8A8F7"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1" w:history="1">
            <w:r w:rsidRPr="00402660">
              <w:rPr>
                <w:rStyle w:val="Hyperlink"/>
                <w:noProof/>
                <w:lang w:val="en-US"/>
              </w:rPr>
              <w:t>6.1.</w:t>
            </w:r>
            <w:r>
              <w:rPr>
                <w:rFonts w:asciiTheme="minorHAnsi" w:eastAsiaTheme="minorEastAsia" w:hAnsiTheme="minorHAnsi" w:cstheme="minorBidi"/>
                <w:noProof/>
                <w:kern w:val="2"/>
                <w:lang w:val="en-US"/>
                <w14:ligatures w14:val="standardContextual"/>
              </w:rPr>
              <w:tab/>
            </w:r>
            <w:r w:rsidRPr="00402660">
              <w:rPr>
                <w:rStyle w:val="Hyperlink"/>
                <w:noProof/>
                <w:lang w:val="en-US"/>
              </w:rPr>
              <w:t>Global transmission to local-currency corporate debt</w:t>
            </w:r>
            <w:r>
              <w:rPr>
                <w:noProof/>
                <w:webHidden/>
              </w:rPr>
              <w:tab/>
            </w:r>
            <w:r>
              <w:rPr>
                <w:noProof/>
                <w:webHidden/>
              </w:rPr>
              <w:fldChar w:fldCharType="begin"/>
            </w:r>
            <w:r>
              <w:rPr>
                <w:noProof/>
                <w:webHidden/>
              </w:rPr>
              <w:instrText xml:space="preserve"> PAGEREF _Toc232189551 \h </w:instrText>
            </w:r>
            <w:r>
              <w:rPr>
                <w:noProof/>
                <w:webHidden/>
              </w:rPr>
            </w:r>
            <w:r>
              <w:rPr>
                <w:noProof/>
                <w:webHidden/>
              </w:rPr>
              <w:fldChar w:fldCharType="separate"/>
            </w:r>
            <w:r w:rsidR="008B6F23">
              <w:rPr>
                <w:noProof/>
                <w:webHidden/>
              </w:rPr>
              <w:t>21</w:t>
            </w:r>
            <w:r>
              <w:rPr>
                <w:noProof/>
                <w:webHidden/>
              </w:rPr>
              <w:fldChar w:fldCharType="end"/>
            </w:r>
          </w:hyperlink>
        </w:p>
        <w:p w14:paraId="4D67AD7A" w14:textId="27E94E81"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2" w:history="1">
            <w:r w:rsidRPr="00402660">
              <w:rPr>
                <w:rStyle w:val="Hyperlink"/>
                <w:noProof/>
                <w:lang w:val="en-US"/>
              </w:rPr>
              <w:t>6.2.</w:t>
            </w:r>
            <w:r>
              <w:rPr>
                <w:rFonts w:asciiTheme="minorHAnsi" w:eastAsiaTheme="minorEastAsia" w:hAnsiTheme="minorHAnsi" w:cstheme="minorBidi"/>
                <w:noProof/>
                <w:kern w:val="2"/>
                <w:lang w:val="en-US"/>
                <w14:ligatures w14:val="standardContextual"/>
              </w:rPr>
              <w:tab/>
            </w:r>
            <w:r w:rsidRPr="00402660">
              <w:rPr>
                <w:rStyle w:val="Hyperlink"/>
                <w:noProof/>
                <w:lang w:val="en-US"/>
              </w:rPr>
              <w:t>Rethinking the sovereign ceiling in local currency</w:t>
            </w:r>
            <w:r>
              <w:rPr>
                <w:noProof/>
                <w:webHidden/>
              </w:rPr>
              <w:tab/>
            </w:r>
            <w:r>
              <w:rPr>
                <w:noProof/>
                <w:webHidden/>
              </w:rPr>
              <w:fldChar w:fldCharType="begin"/>
            </w:r>
            <w:r>
              <w:rPr>
                <w:noProof/>
                <w:webHidden/>
              </w:rPr>
              <w:instrText xml:space="preserve"> PAGEREF _Toc232189552 \h </w:instrText>
            </w:r>
            <w:r>
              <w:rPr>
                <w:noProof/>
                <w:webHidden/>
              </w:rPr>
            </w:r>
            <w:r>
              <w:rPr>
                <w:noProof/>
                <w:webHidden/>
              </w:rPr>
              <w:fldChar w:fldCharType="separate"/>
            </w:r>
            <w:r w:rsidR="008B6F23">
              <w:rPr>
                <w:noProof/>
                <w:webHidden/>
              </w:rPr>
              <w:t>22</w:t>
            </w:r>
            <w:r>
              <w:rPr>
                <w:noProof/>
                <w:webHidden/>
              </w:rPr>
              <w:fldChar w:fldCharType="end"/>
            </w:r>
          </w:hyperlink>
        </w:p>
        <w:p w14:paraId="1D76F5C4" w14:textId="7FD328B4"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3" w:history="1">
            <w:r w:rsidRPr="00402660">
              <w:rPr>
                <w:rStyle w:val="Hyperlink"/>
                <w:noProof/>
                <w:lang w:val="en-US"/>
              </w:rPr>
              <w:t>6.3.</w:t>
            </w:r>
            <w:r>
              <w:rPr>
                <w:rFonts w:asciiTheme="minorHAnsi" w:eastAsiaTheme="minorEastAsia" w:hAnsiTheme="minorHAnsi" w:cstheme="minorBidi"/>
                <w:noProof/>
                <w:kern w:val="2"/>
                <w:lang w:val="en-US"/>
                <w14:ligatures w14:val="standardContextual"/>
              </w:rPr>
              <w:tab/>
            </w:r>
            <w:r w:rsidRPr="00402660">
              <w:rPr>
                <w:rStyle w:val="Hyperlink"/>
                <w:noProof/>
                <w:lang w:val="en-US"/>
              </w:rPr>
              <w:t>Liquidity, issue size, and the limited role of accounting variables</w:t>
            </w:r>
            <w:r>
              <w:rPr>
                <w:noProof/>
                <w:webHidden/>
              </w:rPr>
              <w:tab/>
            </w:r>
            <w:r>
              <w:rPr>
                <w:noProof/>
                <w:webHidden/>
              </w:rPr>
              <w:fldChar w:fldCharType="begin"/>
            </w:r>
            <w:r>
              <w:rPr>
                <w:noProof/>
                <w:webHidden/>
              </w:rPr>
              <w:instrText xml:space="preserve"> PAGEREF _Toc232189553 \h </w:instrText>
            </w:r>
            <w:r>
              <w:rPr>
                <w:noProof/>
                <w:webHidden/>
              </w:rPr>
            </w:r>
            <w:r>
              <w:rPr>
                <w:noProof/>
                <w:webHidden/>
              </w:rPr>
              <w:fldChar w:fldCharType="separate"/>
            </w:r>
            <w:r w:rsidR="008B6F23">
              <w:rPr>
                <w:noProof/>
                <w:webHidden/>
              </w:rPr>
              <w:t>23</w:t>
            </w:r>
            <w:r>
              <w:rPr>
                <w:noProof/>
                <w:webHidden/>
              </w:rPr>
              <w:fldChar w:fldCharType="end"/>
            </w:r>
          </w:hyperlink>
        </w:p>
        <w:p w14:paraId="77BF2EE0" w14:textId="7E8491E5" w:rsidR="008C72E7" w:rsidRDefault="008C72E7">
          <w:pPr>
            <w:pStyle w:val="TOC2"/>
            <w:tabs>
              <w:tab w:val="left" w:pos="960"/>
              <w:tab w:val="right" w:leader="dot" w:pos="8787"/>
            </w:tabs>
            <w:rPr>
              <w:rFonts w:asciiTheme="minorHAnsi" w:eastAsiaTheme="minorEastAsia" w:hAnsiTheme="minorHAnsi" w:cstheme="minorBidi"/>
              <w:noProof/>
              <w:kern w:val="2"/>
              <w:lang w:val="en-US"/>
              <w14:ligatures w14:val="standardContextual"/>
            </w:rPr>
          </w:pPr>
          <w:hyperlink w:anchor="_Toc232189554" w:history="1">
            <w:r w:rsidRPr="00402660">
              <w:rPr>
                <w:rStyle w:val="Hyperlink"/>
                <w:noProof/>
                <w:lang w:val="en-US"/>
              </w:rPr>
              <w:t>6.4.</w:t>
            </w:r>
            <w:r>
              <w:rPr>
                <w:rFonts w:asciiTheme="minorHAnsi" w:eastAsiaTheme="minorEastAsia" w:hAnsiTheme="minorHAnsi" w:cstheme="minorBidi"/>
                <w:noProof/>
                <w:kern w:val="2"/>
                <w:lang w:val="en-US"/>
                <w14:ligatures w14:val="standardContextual"/>
              </w:rPr>
              <w:tab/>
            </w:r>
            <w:r w:rsidRPr="00402660">
              <w:rPr>
                <w:rStyle w:val="Hyperlink"/>
                <w:noProof/>
                <w:lang w:val="en-US"/>
              </w:rPr>
              <w:t>Implications for policy and market practice</w:t>
            </w:r>
            <w:r>
              <w:rPr>
                <w:noProof/>
                <w:webHidden/>
              </w:rPr>
              <w:tab/>
            </w:r>
            <w:r>
              <w:rPr>
                <w:noProof/>
                <w:webHidden/>
              </w:rPr>
              <w:fldChar w:fldCharType="begin"/>
            </w:r>
            <w:r>
              <w:rPr>
                <w:noProof/>
                <w:webHidden/>
              </w:rPr>
              <w:instrText xml:space="preserve"> PAGEREF _Toc232189554 \h </w:instrText>
            </w:r>
            <w:r>
              <w:rPr>
                <w:noProof/>
                <w:webHidden/>
              </w:rPr>
            </w:r>
            <w:r>
              <w:rPr>
                <w:noProof/>
                <w:webHidden/>
              </w:rPr>
              <w:fldChar w:fldCharType="separate"/>
            </w:r>
            <w:r w:rsidR="008B6F23">
              <w:rPr>
                <w:noProof/>
                <w:webHidden/>
              </w:rPr>
              <w:t>24</w:t>
            </w:r>
            <w:r>
              <w:rPr>
                <w:noProof/>
                <w:webHidden/>
              </w:rPr>
              <w:fldChar w:fldCharType="end"/>
            </w:r>
          </w:hyperlink>
        </w:p>
        <w:p w14:paraId="7C763CEF" w14:textId="679A41CF"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5" w:history="1">
            <w:r w:rsidRPr="00402660">
              <w:rPr>
                <w:rStyle w:val="Hyperlink"/>
                <w:noProof/>
              </w:rPr>
              <w:t>7.</w:t>
            </w:r>
            <w:r>
              <w:rPr>
                <w:rFonts w:asciiTheme="minorHAnsi" w:eastAsiaTheme="minorEastAsia" w:hAnsiTheme="minorHAnsi" w:cstheme="minorBidi"/>
                <w:noProof/>
                <w:kern w:val="2"/>
                <w:lang w:val="en-US"/>
                <w14:ligatures w14:val="standardContextual"/>
              </w:rPr>
              <w:tab/>
            </w:r>
            <w:r w:rsidRPr="00402660">
              <w:rPr>
                <w:rStyle w:val="Hyperlink"/>
                <w:noProof/>
              </w:rPr>
              <w:t>Conclusion</w:t>
            </w:r>
            <w:r>
              <w:rPr>
                <w:noProof/>
                <w:webHidden/>
              </w:rPr>
              <w:tab/>
            </w:r>
            <w:r>
              <w:rPr>
                <w:noProof/>
                <w:webHidden/>
              </w:rPr>
              <w:fldChar w:fldCharType="begin"/>
            </w:r>
            <w:r>
              <w:rPr>
                <w:noProof/>
                <w:webHidden/>
              </w:rPr>
              <w:instrText xml:space="preserve"> PAGEREF _Toc232189555 \h </w:instrText>
            </w:r>
            <w:r>
              <w:rPr>
                <w:noProof/>
                <w:webHidden/>
              </w:rPr>
            </w:r>
            <w:r>
              <w:rPr>
                <w:noProof/>
                <w:webHidden/>
              </w:rPr>
              <w:fldChar w:fldCharType="separate"/>
            </w:r>
            <w:r w:rsidR="008B6F23">
              <w:rPr>
                <w:noProof/>
                <w:webHidden/>
              </w:rPr>
              <w:t>24</w:t>
            </w:r>
            <w:r>
              <w:rPr>
                <w:noProof/>
                <w:webHidden/>
              </w:rPr>
              <w:fldChar w:fldCharType="end"/>
            </w:r>
          </w:hyperlink>
        </w:p>
        <w:p w14:paraId="5F0C9CE0" w14:textId="3AFDC615" w:rsidR="008C72E7" w:rsidRDefault="008C72E7">
          <w:pPr>
            <w:pStyle w:val="TOC1"/>
            <w:tabs>
              <w:tab w:val="left" w:pos="480"/>
              <w:tab w:val="right" w:leader="dot" w:pos="8787"/>
            </w:tabs>
            <w:rPr>
              <w:rFonts w:asciiTheme="minorHAnsi" w:eastAsiaTheme="minorEastAsia" w:hAnsiTheme="minorHAnsi" w:cstheme="minorBidi"/>
              <w:noProof/>
              <w:kern w:val="2"/>
              <w:lang w:val="en-US"/>
              <w14:ligatures w14:val="standardContextual"/>
            </w:rPr>
          </w:pPr>
          <w:hyperlink w:anchor="_Toc232189556" w:history="1">
            <w:r w:rsidRPr="00402660">
              <w:rPr>
                <w:rStyle w:val="Hyperlink"/>
                <w:noProof/>
              </w:rPr>
              <w:t>8.</w:t>
            </w:r>
            <w:r>
              <w:rPr>
                <w:rFonts w:asciiTheme="minorHAnsi" w:eastAsiaTheme="minorEastAsia" w:hAnsiTheme="minorHAnsi" w:cstheme="minorBidi"/>
                <w:noProof/>
                <w:kern w:val="2"/>
                <w:lang w:val="en-US"/>
                <w14:ligatures w14:val="standardContextual"/>
              </w:rPr>
              <w:tab/>
            </w:r>
            <w:r w:rsidRPr="00402660">
              <w:rPr>
                <w:rStyle w:val="Hyperlink"/>
                <w:noProof/>
              </w:rPr>
              <w:t>References</w:t>
            </w:r>
            <w:r>
              <w:rPr>
                <w:noProof/>
                <w:webHidden/>
              </w:rPr>
              <w:tab/>
            </w:r>
            <w:r>
              <w:rPr>
                <w:noProof/>
                <w:webHidden/>
              </w:rPr>
              <w:fldChar w:fldCharType="begin"/>
            </w:r>
            <w:r>
              <w:rPr>
                <w:noProof/>
                <w:webHidden/>
              </w:rPr>
              <w:instrText xml:space="preserve"> PAGEREF _Toc232189556 \h </w:instrText>
            </w:r>
            <w:r>
              <w:rPr>
                <w:noProof/>
                <w:webHidden/>
              </w:rPr>
            </w:r>
            <w:r>
              <w:rPr>
                <w:noProof/>
                <w:webHidden/>
              </w:rPr>
              <w:fldChar w:fldCharType="separate"/>
            </w:r>
            <w:r w:rsidR="008B6F23">
              <w:rPr>
                <w:noProof/>
                <w:webHidden/>
              </w:rPr>
              <w:t>25</w:t>
            </w:r>
            <w:r>
              <w:rPr>
                <w:noProof/>
                <w:webHidden/>
              </w:rPr>
              <w:fldChar w:fldCharType="end"/>
            </w:r>
          </w:hyperlink>
        </w:p>
        <w:p w14:paraId="441463BC" w14:textId="01EB278D" w:rsidR="0035040D" w:rsidRPr="00CA38ED" w:rsidRDefault="00037EE9" w:rsidP="0035040D">
          <w:pPr>
            <w:rPr>
              <w:b/>
              <w:bCs/>
              <w:noProof/>
            </w:rPr>
          </w:pPr>
          <w:r w:rsidRPr="00CA38ED">
            <w:rPr>
              <w:b/>
              <w:bCs/>
              <w:noProof/>
            </w:rPr>
            <w:fldChar w:fldCharType="end"/>
          </w:r>
        </w:p>
      </w:sdtContent>
    </w:sdt>
    <w:p w14:paraId="3DA9ABEA" w14:textId="77777777" w:rsidR="00742691" w:rsidRDefault="00742691" w:rsidP="0035040D">
      <w:pPr>
        <w:rPr>
          <w:b/>
          <w:bCs/>
          <w:noProof/>
        </w:rPr>
      </w:pPr>
    </w:p>
    <w:p w14:paraId="482A015E" w14:textId="77777777" w:rsidR="00472CE8" w:rsidRDefault="00472CE8" w:rsidP="0035040D">
      <w:pPr>
        <w:rPr>
          <w:b/>
          <w:bCs/>
          <w:noProof/>
        </w:rPr>
      </w:pPr>
    </w:p>
    <w:p w14:paraId="1155D12A" w14:textId="77777777" w:rsidR="00472CE8" w:rsidRDefault="00472CE8" w:rsidP="0035040D">
      <w:pPr>
        <w:rPr>
          <w:b/>
          <w:bCs/>
          <w:noProof/>
        </w:rPr>
      </w:pPr>
    </w:p>
    <w:p w14:paraId="0408E075" w14:textId="77777777" w:rsidR="00472CE8" w:rsidRDefault="00472CE8" w:rsidP="0035040D">
      <w:pPr>
        <w:rPr>
          <w:b/>
          <w:bCs/>
          <w:noProof/>
        </w:rPr>
      </w:pPr>
    </w:p>
    <w:p w14:paraId="16D81A60" w14:textId="77777777" w:rsidR="00472CE8" w:rsidRDefault="00472CE8" w:rsidP="0035040D">
      <w:pPr>
        <w:rPr>
          <w:b/>
          <w:bCs/>
          <w:noProof/>
        </w:rPr>
      </w:pPr>
    </w:p>
    <w:p w14:paraId="0D13FC8B" w14:textId="77777777" w:rsidR="00472CE8" w:rsidRDefault="00472CE8" w:rsidP="0035040D">
      <w:pPr>
        <w:rPr>
          <w:b/>
          <w:bCs/>
          <w:noProof/>
        </w:rPr>
      </w:pPr>
    </w:p>
    <w:p w14:paraId="2BDEC044" w14:textId="77777777" w:rsidR="00472CE8" w:rsidRDefault="00472CE8" w:rsidP="0035040D">
      <w:pPr>
        <w:rPr>
          <w:b/>
          <w:bCs/>
          <w:noProof/>
        </w:rPr>
      </w:pPr>
    </w:p>
    <w:p w14:paraId="4C98057E" w14:textId="77777777" w:rsidR="001C3D06" w:rsidRDefault="001C3D06" w:rsidP="0035040D">
      <w:pPr>
        <w:rPr>
          <w:b/>
          <w:bCs/>
          <w:noProof/>
        </w:rPr>
      </w:pPr>
    </w:p>
    <w:p w14:paraId="7BA2C35F" w14:textId="77777777" w:rsidR="00472CE8" w:rsidRDefault="00472CE8" w:rsidP="0035040D">
      <w:pPr>
        <w:rPr>
          <w:b/>
          <w:bCs/>
          <w:noProof/>
        </w:rPr>
      </w:pPr>
    </w:p>
    <w:p w14:paraId="7C019946" w14:textId="77777777" w:rsidR="007E7F17" w:rsidRPr="00CA38ED" w:rsidRDefault="007E7F17" w:rsidP="0035040D">
      <w:pPr>
        <w:rPr>
          <w:b/>
          <w:bCs/>
          <w:noProof/>
        </w:rPr>
      </w:pPr>
    </w:p>
    <w:p w14:paraId="09364820" w14:textId="104F0B5D" w:rsidR="0002722C" w:rsidRPr="00CA38ED" w:rsidRDefault="00021130" w:rsidP="0091319A">
      <w:pPr>
        <w:pStyle w:val="Heading1"/>
      </w:pPr>
      <w:bookmarkStart w:id="1" w:name="_Toc232189534"/>
      <w:proofErr w:type="spellStart"/>
      <w:r w:rsidRPr="00CA38ED">
        <w:lastRenderedPageBreak/>
        <w:t>Introdu</w:t>
      </w:r>
      <w:r w:rsidR="00B1746B">
        <w:t>ction</w:t>
      </w:r>
      <w:bookmarkEnd w:id="1"/>
      <w:proofErr w:type="spellEnd"/>
    </w:p>
    <w:p w14:paraId="0279A814" w14:textId="77777777" w:rsidR="0002722C" w:rsidRPr="00CA38ED" w:rsidRDefault="0002722C">
      <w:pPr>
        <w:ind w:left="360"/>
        <w:rPr>
          <w:b/>
          <w:bCs/>
          <w:sz w:val="28"/>
          <w:szCs w:val="28"/>
        </w:rPr>
      </w:pPr>
    </w:p>
    <w:p w14:paraId="1DF248E5" w14:textId="0C5CDF02" w:rsidR="002C08FB" w:rsidRDefault="002C08FB" w:rsidP="002C08FB">
      <w:pPr>
        <w:ind w:firstLine="709"/>
        <w:jc w:val="both"/>
        <w:rPr>
          <w:bCs/>
          <w:lang w:val="en-US" w:eastAsia="es-ES"/>
        </w:rPr>
      </w:pPr>
      <w:r w:rsidRPr="002C08FB">
        <w:rPr>
          <w:bCs/>
          <w:lang w:val="en-US" w:eastAsia="es-ES"/>
        </w:rPr>
        <w:t>The expansion of local-currency bond markets has changed the way firms in emerging economies finance long-term investment. As domestic capital markets deepen, corporate borrowing becomes less dependent on bank credit and foreign</w:t>
      </w:r>
      <w:r w:rsidR="009C0005">
        <w:rPr>
          <w:bCs/>
          <w:lang w:val="en-US" w:eastAsia="es-ES"/>
        </w:rPr>
        <w:t xml:space="preserve"> </w:t>
      </w:r>
      <w:r w:rsidRPr="002C08FB">
        <w:rPr>
          <w:bCs/>
          <w:lang w:val="en-US" w:eastAsia="es-ES"/>
        </w:rPr>
        <w:t>currency liabilities, but more exposed to the pricing of domestic fixed-income markets. In that environment, corporate bond spreads become a central indicator of the cost of financing, the allocation of capital, and the transmission of macro-financial shocks to the private sector. Understanding the determinants of these spreads is therefore important not only for asset pricing, but also for financial stability and for the design of public policies aimed at capital-market development.</w:t>
      </w:r>
    </w:p>
    <w:p w14:paraId="447CEA66" w14:textId="77777777" w:rsidR="00330B77" w:rsidRPr="002C08FB" w:rsidRDefault="00330B77" w:rsidP="002C08FB">
      <w:pPr>
        <w:ind w:firstLine="709"/>
        <w:jc w:val="both"/>
        <w:rPr>
          <w:bCs/>
          <w:lang w:val="en-US" w:eastAsia="es-ES"/>
        </w:rPr>
      </w:pPr>
    </w:p>
    <w:p w14:paraId="72E342FE" w14:textId="66E1D4B3" w:rsidR="002C08FB" w:rsidRDefault="002C08FB" w:rsidP="002C08FB">
      <w:pPr>
        <w:ind w:firstLine="709"/>
        <w:jc w:val="both"/>
        <w:rPr>
          <w:bCs/>
          <w:lang w:val="en-US" w:eastAsia="es-ES"/>
        </w:rPr>
      </w:pPr>
      <w:r w:rsidRPr="002C08FB">
        <w:rPr>
          <w:bCs/>
          <w:lang w:val="en-US" w:eastAsia="es-ES"/>
        </w:rPr>
        <w:t xml:space="preserve">The policy motivation is broader than Brazil. The development of local-currency bond markets has been a recurrent item on the international </w:t>
      </w:r>
      <w:r w:rsidR="009C0005" w:rsidRPr="002C08FB">
        <w:rPr>
          <w:bCs/>
          <w:lang w:val="en-US" w:eastAsia="es-ES"/>
        </w:rPr>
        <w:t>financial stability</w:t>
      </w:r>
      <w:r w:rsidRPr="002C08FB">
        <w:rPr>
          <w:bCs/>
          <w:lang w:val="en-US" w:eastAsia="es-ES"/>
        </w:rPr>
        <w:t xml:space="preserve"> agenda because domestic-currency debt can reduce currency mismatches, lengthen debt duration, improve the information content of yield curves, and provide market-based benchmarks for private borrowing. These benefits do not eliminate exposure to global financial conditions, but they change the channel through which shocks reach borrowers. Instead of a direct balance-sheet effect from foreign-currency debt, shocks are transmitted through local benchmark curves, exchange-rate expectations, investor risk appetite, liquidity, and sovereign credibility.</w:t>
      </w:r>
    </w:p>
    <w:p w14:paraId="6C141301" w14:textId="77777777" w:rsidR="00472505" w:rsidRPr="002C08FB" w:rsidRDefault="00472505" w:rsidP="002C08FB">
      <w:pPr>
        <w:ind w:firstLine="709"/>
        <w:jc w:val="both"/>
        <w:rPr>
          <w:bCs/>
          <w:lang w:val="en-US" w:eastAsia="es-ES"/>
        </w:rPr>
      </w:pPr>
    </w:p>
    <w:p w14:paraId="138E0742" w14:textId="7B0F6745" w:rsidR="002C08FB" w:rsidRDefault="002C08FB" w:rsidP="002C08FB">
      <w:pPr>
        <w:ind w:firstLine="709"/>
        <w:jc w:val="both"/>
        <w:rPr>
          <w:bCs/>
          <w:lang w:val="en-US" w:eastAsia="es-ES"/>
        </w:rPr>
      </w:pPr>
      <w:r w:rsidRPr="002C08FB">
        <w:rPr>
          <w:bCs/>
          <w:lang w:val="en-US" w:eastAsia="es-ES"/>
        </w:rPr>
        <w:t>Brazil provides a particularly useful setting for this question. During the last decade and a half, the Brazilian local</w:t>
      </w:r>
      <w:r w:rsidR="00841E98">
        <w:rPr>
          <w:bCs/>
          <w:lang w:val="en-US" w:eastAsia="es-ES"/>
        </w:rPr>
        <w:t xml:space="preserve"> </w:t>
      </w:r>
      <w:r w:rsidRPr="002C08FB">
        <w:rPr>
          <w:bCs/>
          <w:lang w:val="en-US" w:eastAsia="es-ES"/>
        </w:rPr>
        <w:t xml:space="preserve">currency corporate bond market expanded rapidly and became the deepest corporate bond market in Latin America. In the dataset compiled for this </w:t>
      </w:r>
      <w:r w:rsidR="009C0005">
        <w:rPr>
          <w:bCs/>
          <w:lang w:val="en-US" w:eastAsia="es-ES"/>
        </w:rPr>
        <w:t>paper</w:t>
      </w:r>
      <w:r w:rsidRPr="002C08FB">
        <w:rPr>
          <w:bCs/>
          <w:lang w:val="en-US" w:eastAsia="es-ES"/>
        </w:rPr>
        <w:t>, domestic corporate bonds increased from roughly 1.3 percent of GDP in 2010 to close to 10 percent in 2024, while broader market measures reach materially higher levels by 2025. The market is also relevant internationally: non-resident investors can access Brazilian financial and securities markets under the foreign</w:t>
      </w:r>
      <w:r w:rsidR="001E1FFF">
        <w:rPr>
          <w:bCs/>
          <w:lang w:val="en-US" w:eastAsia="es-ES"/>
        </w:rPr>
        <w:t xml:space="preserve"> </w:t>
      </w:r>
      <w:r w:rsidRPr="002C08FB">
        <w:rPr>
          <w:bCs/>
          <w:lang w:val="en-US" w:eastAsia="es-ES"/>
        </w:rPr>
        <w:t>portfolio</w:t>
      </w:r>
      <w:r w:rsidR="001E1FFF">
        <w:rPr>
          <w:bCs/>
          <w:lang w:val="en-US" w:eastAsia="es-ES"/>
        </w:rPr>
        <w:t xml:space="preserve"> </w:t>
      </w:r>
      <w:r w:rsidRPr="002C08FB">
        <w:rPr>
          <w:bCs/>
          <w:lang w:val="en-US" w:eastAsia="es-ES"/>
        </w:rPr>
        <w:t>investment framework, and Brazilian debentures are followed by global data vendors, pricing services, and institutional investors seeking local</w:t>
      </w:r>
      <w:r w:rsidR="003109AD">
        <w:rPr>
          <w:bCs/>
          <w:lang w:val="en-US" w:eastAsia="es-ES"/>
        </w:rPr>
        <w:t xml:space="preserve"> </w:t>
      </w:r>
      <w:r w:rsidRPr="002C08FB">
        <w:rPr>
          <w:bCs/>
          <w:lang w:val="en-US" w:eastAsia="es-ES"/>
        </w:rPr>
        <w:t>currency exposure.</w:t>
      </w:r>
    </w:p>
    <w:p w14:paraId="387D7D4B" w14:textId="77777777" w:rsidR="00472505" w:rsidRPr="002C08FB" w:rsidRDefault="00472505" w:rsidP="002C08FB">
      <w:pPr>
        <w:ind w:firstLine="709"/>
        <w:jc w:val="both"/>
        <w:rPr>
          <w:bCs/>
          <w:lang w:val="en-US" w:eastAsia="es-ES"/>
        </w:rPr>
      </w:pPr>
    </w:p>
    <w:p w14:paraId="4AB9218E" w14:textId="283C64FE" w:rsidR="002C08FB" w:rsidRDefault="002C08FB" w:rsidP="002C08FB">
      <w:pPr>
        <w:ind w:firstLine="709"/>
        <w:jc w:val="both"/>
        <w:rPr>
          <w:bCs/>
          <w:lang w:val="en-US" w:eastAsia="es-ES"/>
        </w:rPr>
      </w:pPr>
      <w:r w:rsidRPr="002C08FB">
        <w:rPr>
          <w:bCs/>
          <w:lang w:val="en-US" w:eastAsia="es-ES"/>
        </w:rPr>
        <w:t>A central part of the Brazilian story is regulatory. Before 2009, public offerings relied primarily on the traditional CVM Instruction 400 regime, which imposed the standard registration and disclosure route for public distributions. In 2009, CVM Instruction 476 introduced restricted</w:t>
      </w:r>
      <w:r w:rsidR="00C43B9E">
        <w:rPr>
          <w:bCs/>
          <w:lang w:val="en-US" w:eastAsia="es-ES"/>
        </w:rPr>
        <w:t xml:space="preserve"> </w:t>
      </w:r>
      <w:r w:rsidRPr="002C08FB">
        <w:rPr>
          <w:bCs/>
          <w:lang w:val="en-US" w:eastAsia="es-ES"/>
        </w:rPr>
        <w:t>efforts public offerings aimed at qualified investors. This change lowered issuance frictions for eligible instruments, including non-convertible debentures, and helped broaden the set of firms able to use the domestic bond market. In 2022, CVM Resolution 160 modernized and consolidated the public-offering framework, replacing the older 400 and 476 regimes. The empirical window of this paper starts in 2010 precisely because the post-476 period marks the beginning of the modern expansion of the Brazilian debenture market.</w:t>
      </w:r>
    </w:p>
    <w:p w14:paraId="762A0CB2" w14:textId="77777777" w:rsidR="00812EAC" w:rsidRPr="002C08FB" w:rsidRDefault="00812EAC" w:rsidP="002C08FB">
      <w:pPr>
        <w:ind w:firstLine="709"/>
        <w:jc w:val="both"/>
        <w:rPr>
          <w:bCs/>
          <w:lang w:val="en-US" w:eastAsia="es-ES"/>
        </w:rPr>
      </w:pPr>
    </w:p>
    <w:p w14:paraId="3B490F5D" w14:textId="029AAA3C" w:rsidR="002C08FB" w:rsidRDefault="002C08FB" w:rsidP="002C08FB">
      <w:pPr>
        <w:ind w:firstLine="709"/>
        <w:jc w:val="both"/>
        <w:rPr>
          <w:bCs/>
          <w:lang w:val="en-US" w:eastAsia="es-ES"/>
        </w:rPr>
      </w:pPr>
      <w:r w:rsidRPr="002C08FB">
        <w:rPr>
          <w:bCs/>
          <w:lang w:val="en-US" w:eastAsia="es-ES"/>
        </w:rPr>
        <w:t>The secondary</w:t>
      </w:r>
      <w:r w:rsidR="001221E2">
        <w:rPr>
          <w:bCs/>
          <w:lang w:val="en-US" w:eastAsia="es-ES"/>
        </w:rPr>
        <w:t xml:space="preserve"> </w:t>
      </w:r>
      <w:r w:rsidRPr="002C08FB">
        <w:rPr>
          <w:bCs/>
          <w:lang w:val="en-US" w:eastAsia="es-ES"/>
        </w:rPr>
        <w:t>market dimension is equally important. Brazilian debentures trade predominantly over the counter rather than in a centralized exchange order book. This market structure creates a price</w:t>
      </w:r>
      <w:r w:rsidR="002513B7">
        <w:rPr>
          <w:bCs/>
          <w:lang w:val="en-US" w:eastAsia="es-ES"/>
        </w:rPr>
        <w:t xml:space="preserve"> </w:t>
      </w:r>
      <w:r w:rsidRPr="002C08FB">
        <w:rPr>
          <w:bCs/>
          <w:lang w:val="en-US" w:eastAsia="es-ES"/>
        </w:rPr>
        <w:t xml:space="preserve">discovery problem: quotes are dispersed across dealers, custodians, pricing services, and data vendors, and observed yields may incorporate an OTC premium related to illiquidity, search costs, and reporting frictions. For that reason, Bloomberg, </w:t>
      </w:r>
      <w:r w:rsidRPr="002C08FB">
        <w:rPr>
          <w:bCs/>
          <w:lang w:val="en-US" w:eastAsia="es-ES"/>
        </w:rPr>
        <w:lastRenderedPageBreak/>
        <w:t>ANBIMA, B3, and official sources are essential for constructing a usable empirical panel, but they do not fully eliminate measurement uncertainty. The OTC character of the market is therefore not a background detail; it is part of the economic mechanism that may affect spreads.</w:t>
      </w:r>
    </w:p>
    <w:p w14:paraId="22AE566F" w14:textId="77777777" w:rsidR="00812EAC" w:rsidRPr="002C08FB" w:rsidRDefault="00812EAC" w:rsidP="002C08FB">
      <w:pPr>
        <w:ind w:firstLine="709"/>
        <w:jc w:val="both"/>
        <w:rPr>
          <w:bCs/>
          <w:lang w:val="en-US" w:eastAsia="es-ES"/>
        </w:rPr>
      </w:pPr>
    </w:p>
    <w:p w14:paraId="7CDF4743" w14:textId="10DB00B9" w:rsidR="002C08FB" w:rsidRDefault="002C08FB" w:rsidP="002C08FB">
      <w:pPr>
        <w:ind w:firstLine="709"/>
        <w:jc w:val="both"/>
        <w:rPr>
          <w:bCs/>
          <w:lang w:val="en-US" w:eastAsia="es-ES"/>
        </w:rPr>
      </w:pPr>
      <w:r w:rsidRPr="002C08FB">
        <w:rPr>
          <w:bCs/>
          <w:lang w:val="en-US" w:eastAsia="es-ES"/>
        </w:rPr>
        <w:t>Despite the market's growing size and institutional relevance, the empirical literature remains incomplete. One branch of research explains credit spreads through structural firm characteristics and liquidity conditions, emphasizing default risk and market microstructure (Merton, 1974; Duffie, 1999; Collin-Dufresne et al., 2001; Longstaff et al., 2005). A second branch documents the importance of global push factors such as risk aversion, global liquidity, and US monetary policy for sovereign and corporate spreads in emerging markets (Gonzalez-</w:t>
      </w:r>
      <w:proofErr w:type="spellStart"/>
      <w:r w:rsidRPr="002C08FB">
        <w:rPr>
          <w:bCs/>
          <w:lang w:val="en-US" w:eastAsia="es-ES"/>
        </w:rPr>
        <w:t>Rozada</w:t>
      </w:r>
      <w:proofErr w:type="spellEnd"/>
      <w:r w:rsidRPr="002C08FB">
        <w:rPr>
          <w:bCs/>
          <w:lang w:val="en-US" w:eastAsia="es-ES"/>
        </w:rPr>
        <w:t xml:space="preserve"> and Levy Yeyati, 2008; Liu and Spencer, 2013; Gomez-Gonzalez et al., 2022). A third branch studies the transmission of sovereign risk to the private sector through the sovereign ceiling mechanism (Durbin and Ng, 2001; Grandes and Peter, 2005; Grandes et al., 2017). Yet most existing work focuses on primary issuance, sovereign spreads, CDS, foreign</w:t>
      </w:r>
      <w:r w:rsidR="00AF5C71">
        <w:rPr>
          <w:bCs/>
          <w:lang w:val="en-US" w:eastAsia="es-ES"/>
        </w:rPr>
        <w:t xml:space="preserve"> </w:t>
      </w:r>
      <w:r w:rsidRPr="002C08FB">
        <w:rPr>
          <w:bCs/>
          <w:lang w:val="en-US" w:eastAsia="es-ES"/>
        </w:rPr>
        <w:t>currency corporate bonds, shorter samples, or pooled cross-country settings. Evidence for Brazil's domestic secondary market, especially for inflation-linked corporate bonds in BRL, remains scarce.</w:t>
      </w:r>
    </w:p>
    <w:p w14:paraId="6C51F44D" w14:textId="77777777" w:rsidR="00812EAC" w:rsidRPr="002C08FB" w:rsidRDefault="00812EAC" w:rsidP="002C08FB">
      <w:pPr>
        <w:ind w:firstLine="709"/>
        <w:jc w:val="both"/>
        <w:rPr>
          <w:bCs/>
          <w:lang w:val="en-US" w:eastAsia="es-ES"/>
        </w:rPr>
      </w:pPr>
    </w:p>
    <w:p w14:paraId="1CBDC56F" w14:textId="77777777" w:rsidR="002C08FB" w:rsidRDefault="002C08FB" w:rsidP="002C08FB">
      <w:pPr>
        <w:ind w:firstLine="709"/>
        <w:jc w:val="both"/>
        <w:rPr>
          <w:bCs/>
          <w:lang w:val="en-US" w:eastAsia="es-ES"/>
        </w:rPr>
      </w:pPr>
      <w:r w:rsidRPr="002C08FB">
        <w:rPr>
          <w:bCs/>
          <w:lang w:val="en-US" w:eastAsia="es-ES"/>
        </w:rPr>
        <w:t>This paper addresses that gap with an original bond-level panel of Brazilian IPCA-linked debentures between 2010 and 2025. The focus on inflation-linked debentures is substantively important. In Brazil, these securities are a large and mature segment of the domestic market because they match the preferences of long-horizon institutional investors seeking real returns and inflation protection. They also offer a cleaner measure of real financing costs than nominal or CDI-linked bonds, since both the corporate yields and the benchmark curve can be expressed in real terms. That makes them well suited for analyzing how macro-financial forces are transmitted to corporate borrowing costs in local currency.</w:t>
      </w:r>
    </w:p>
    <w:p w14:paraId="312723D2" w14:textId="77777777" w:rsidR="00812EAC" w:rsidRPr="002C08FB" w:rsidRDefault="00812EAC" w:rsidP="002C08FB">
      <w:pPr>
        <w:ind w:firstLine="709"/>
        <w:jc w:val="both"/>
        <w:rPr>
          <w:bCs/>
          <w:lang w:val="en-US" w:eastAsia="es-ES"/>
        </w:rPr>
      </w:pPr>
    </w:p>
    <w:p w14:paraId="374C02F9" w14:textId="77777777" w:rsidR="002C08FB" w:rsidRDefault="002C08FB" w:rsidP="002C08FB">
      <w:pPr>
        <w:ind w:firstLine="709"/>
        <w:jc w:val="both"/>
        <w:rPr>
          <w:bCs/>
          <w:lang w:val="en-US" w:eastAsia="es-ES"/>
        </w:rPr>
      </w:pPr>
      <w:r w:rsidRPr="002C08FB">
        <w:rPr>
          <w:bCs/>
          <w:lang w:val="en-US" w:eastAsia="es-ES"/>
        </w:rPr>
        <w:t>The paper makes four contributions. First, it constructs a new manually cleaned panel of 103 IPCA-linked bonds issued by 48 non-financial firms, for a total of 4,229 bond-month observations. The construction of this dataset is itself a contribution because secondary-market debenture prices are fragmented and require liquidity filters, metadata checks, maturity matching, and the exclusion of issuers whose pricing would be dominated by state-control considerations when such classification is identifiable. Second, the paper focuses on the secondary market rather than issuance spreads, allowing it to study the repricing of existing bonds through time. Third, it studies domestic BRL corporate debt rather than USD corporate bonds, sovereign bonds, or CDS. Fourth, it uses a bond-level panel framework that absorbs time-invariant bond and issuer heterogeneity, a design still uncommon in this specific Brazilian local-currency context.</w:t>
      </w:r>
    </w:p>
    <w:p w14:paraId="28D79DEE" w14:textId="77777777" w:rsidR="00812EAC" w:rsidRPr="002C08FB" w:rsidRDefault="00812EAC" w:rsidP="002C08FB">
      <w:pPr>
        <w:ind w:firstLine="709"/>
        <w:jc w:val="both"/>
        <w:rPr>
          <w:bCs/>
          <w:lang w:val="en-US" w:eastAsia="es-ES"/>
        </w:rPr>
      </w:pPr>
    </w:p>
    <w:p w14:paraId="7A1AE784" w14:textId="77777777" w:rsidR="002C08FB" w:rsidRDefault="002C08FB" w:rsidP="002C08FB">
      <w:pPr>
        <w:ind w:firstLine="709"/>
        <w:jc w:val="both"/>
        <w:rPr>
          <w:bCs/>
          <w:lang w:val="en-US" w:eastAsia="es-ES"/>
        </w:rPr>
      </w:pPr>
      <w:r w:rsidRPr="002C08FB">
        <w:rPr>
          <w:bCs/>
          <w:lang w:val="en-US" w:eastAsia="es-ES"/>
        </w:rPr>
        <w:t xml:space="preserve">Methodologically, the paper estimates a static fixed-effects model at the bond-month level. The identifying variation comes from changes over time within each bond, while fixed effects absorb time-invariant heterogeneity linked to issuers, contracts, sectoral risk, and other structural features. A sequence of model-selection tests rejects pooled OLS and random effects, and the preferred specification uses issuer-clustered standard errors. Because the panel also exhibits heteroskedasticity, cross-sectional dependence, and serial correlation, the </w:t>
      </w:r>
      <w:r w:rsidRPr="002C08FB">
        <w:rPr>
          <w:bCs/>
          <w:lang w:val="en-US" w:eastAsia="es-ES"/>
        </w:rPr>
        <w:lastRenderedPageBreak/>
        <w:t>paper reports Panel-Corrected Standard Errors and Driscoll-Kraay inference as robustness checks.</w:t>
      </w:r>
    </w:p>
    <w:p w14:paraId="0D2E3214" w14:textId="77777777" w:rsidR="00812EAC" w:rsidRPr="002C08FB" w:rsidRDefault="00812EAC" w:rsidP="002C08FB">
      <w:pPr>
        <w:ind w:firstLine="709"/>
        <w:jc w:val="both"/>
        <w:rPr>
          <w:bCs/>
          <w:lang w:val="en-US" w:eastAsia="es-ES"/>
        </w:rPr>
      </w:pPr>
    </w:p>
    <w:p w14:paraId="7530A3B8" w14:textId="77777777" w:rsidR="002C08FB" w:rsidRDefault="002C08FB" w:rsidP="002C08FB">
      <w:pPr>
        <w:ind w:firstLine="709"/>
        <w:jc w:val="both"/>
        <w:rPr>
          <w:bCs/>
          <w:lang w:val="en-US" w:eastAsia="es-ES"/>
        </w:rPr>
      </w:pPr>
      <w:r w:rsidRPr="002C08FB">
        <w:rPr>
          <w:bCs/>
          <w:lang w:val="en-US" w:eastAsia="es-ES"/>
        </w:rPr>
        <w:t>The main findings are clear. Tighter US monetary conditions are associated with wider corporate spreads, consistent with the idea that global liquidity conditions affect local borrowing costs even when debt is denominated in domestic currency. BRL depreciation is also linked to wider spreads, indicating that exchange-rate movements remain an informative indicator of macro-financial stress for real-denominated corporate debt. Stronger domestic growth reduces spreads, while a higher public-debt ratio increases them. On the micro side, larger issues are priced at lower spreads, which points to a liquidity premium in Brazil's OTC corporate bond market. By contrast, accounting measures such as leverage and operating cash flow are not robust once bond fixed effects are included. Finally, the sovereign-risk proxy in local currency carries a negative sign across specifications, suggesting a more segmented and institutionally specific sovereign-corporate nexus than implied by a simple linear ceiling effect.</w:t>
      </w:r>
    </w:p>
    <w:p w14:paraId="068F35AA" w14:textId="77777777" w:rsidR="00812EAC" w:rsidRPr="002C08FB" w:rsidRDefault="00812EAC" w:rsidP="002C08FB">
      <w:pPr>
        <w:ind w:firstLine="709"/>
        <w:jc w:val="both"/>
        <w:rPr>
          <w:bCs/>
          <w:lang w:val="en-US" w:eastAsia="es-ES"/>
        </w:rPr>
      </w:pPr>
    </w:p>
    <w:p w14:paraId="6EEEB36C" w14:textId="3433DBC3" w:rsidR="0002722C" w:rsidRPr="0004735D" w:rsidRDefault="002C08FB" w:rsidP="002C08FB">
      <w:pPr>
        <w:ind w:firstLine="709"/>
        <w:jc w:val="both"/>
        <w:rPr>
          <w:lang w:val="en-US"/>
        </w:rPr>
      </w:pPr>
      <w:r w:rsidRPr="002C08FB">
        <w:rPr>
          <w:bCs/>
          <w:lang w:val="en-US" w:eastAsia="es-ES"/>
        </w:rPr>
        <w:t xml:space="preserve">The </w:t>
      </w:r>
      <w:r w:rsidR="00551603" w:rsidRPr="00551603">
        <w:rPr>
          <w:bCs/>
          <w:lang w:val="en-US" w:eastAsia="es-ES"/>
        </w:rPr>
        <w:t>remainder of the paper proceeds as follows. Section 2 presents the institutional background on Brazilian debentures, CVM reforms, and OTC price discovery. Section 3 reviews the literature and positions the contribution relative to related work. Section 4 presents the data, measurement strategy, and econometric specification. Section 5 reports the empirical results and robustness checks, including the real-variable and sovereign-risk-exclusion specifications requested after the supervisor meeting. Section 6 discusses the economic interpretation of the findings. Section 7 concludes with implications, limitations, and directions for future research.</w:t>
      </w:r>
    </w:p>
    <w:p w14:paraId="6D40E188" w14:textId="77777777" w:rsidR="0035040D" w:rsidRDefault="0035040D">
      <w:pPr>
        <w:jc w:val="both"/>
        <w:rPr>
          <w:lang w:val="en-US"/>
        </w:rPr>
      </w:pPr>
    </w:p>
    <w:p w14:paraId="2E736054" w14:textId="77777777" w:rsidR="005177AC" w:rsidRDefault="005177AC" w:rsidP="003A5D63">
      <w:pPr>
        <w:rPr>
          <w:b/>
          <w:bCs/>
          <w:sz w:val="28"/>
          <w:szCs w:val="28"/>
          <w:lang w:val="en-US"/>
        </w:rPr>
      </w:pPr>
    </w:p>
    <w:p w14:paraId="46EE0CAB" w14:textId="1D240607" w:rsidR="00C14E25" w:rsidRPr="001D1105" w:rsidRDefault="008268AD" w:rsidP="00F00A0D">
      <w:pPr>
        <w:pStyle w:val="Heading1"/>
        <w:rPr>
          <w:lang w:val="en-US"/>
        </w:rPr>
      </w:pPr>
      <w:bookmarkStart w:id="2" w:name="_Toc232189535"/>
      <w:r w:rsidRPr="001D1105">
        <w:rPr>
          <w:lang w:val="en-US"/>
        </w:rPr>
        <w:t>Institutional Background: Brazilian Debentures, CVM Reforms, and OTC Price Discovery</w:t>
      </w:r>
      <w:bookmarkEnd w:id="2"/>
    </w:p>
    <w:p w14:paraId="3568D4D6" w14:textId="77777777" w:rsidR="00C14E25" w:rsidRPr="008268AD" w:rsidRDefault="00C14E25" w:rsidP="00C14E25">
      <w:pPr>
        <w:rPr>
          <w:b/>
          <w:bCs/>
          <w:sz w:val="28"/>
          <w:szCs w:val="28"/>
          <w:lang w:val="en-US"/>
        </w:rPr>
      </w:pPr>
    </w:p>
    <w:p w14:paraId="5A94FAF5" w14:textId="287C757A" w:rsidR="00074CCC" w:rsidRDefault="0021270F" w:rsidP="009A446F">
      <w:pPr>
        <w:ind w:firstLine="709"/>
        <w:jc w:val="both"/>
        <w:rPr>
          <w:lang w:val="en-US"/>
        </w:rPr>
      </w:pPr>
      <w:r w:rsidRPr="0021270F">
        <w:rPr>
          <w:bCs/>
          <w:lang w:val="en-US" w:eastAsia="es-ES"/>
        </w:rPr>
        <w:t>The institutional development of the Brazilian debenture market is central to the identification and motivation of this paper. The empirical sample begins after 2009 because CVM Instruction 476 changed the practical economics of issuance for eligible securities. It created a restricted-efforts route for public offerings directed to qualified investors and therefore reduced the procedural burden relative to the traditional public-offering regime. This did not remove investor-protection requirements, but it changed the speed, cost, and feasibility of issuance for a wider set of firms and projects. For corporate bonds, this reform helped shift the Brazilian market from a relatively narrow issuer base toward a broader domestic capital-market financing channel.</w:t>
      </w:r>
      <w:r w:rsidR="00B23799" w:rsidRPr="00B23799">
        <w:rPr>
          <w:lang w:val="en-US"/>
        </w:rPr>
        <w:t xml:space="preserve"> </w:t>
      </w:r>
    </w:p>
    <w:p w14:paraId="0A7339FC" w14:textId="77777777" w:rsidR="009A446F" w:rsidRPr="009A446F" w:rsidRDefault="009A446F" w:rsidP="009A446F">
      <w:pPr>
        <w:ind w:firstLine="709"/>
        <w:jc w:val="both"/>
        <w:rPr>
          <w:lang w:val="en-US"/>
        </w:rPr>
      </w:pPr>
    </w:p>
    <w:p w14:paraId="206C670B" w14:textId="7B7BEDCE" w:rsidR="00074CCC" w:rsidRPr="00515552" w:rsidRDefault="00074CCC" w:rsidP="00074CCC">
      <w:pPr>
        <w:pStyle w:val="Caption"/>
        <w:keepNext/>
        <w:rPr>
          <w:lang w:val="en-US"/>
        </w:rPr>
      </w:pPr>
      <w:r w:rsidRPr="00522C2F">
        <w:rPr>
          <w:lang w:val="en-US"/>
        </w:rPr>
        <w:t xml:space="preserve">Table </w:t>
      </w:r>
      <w:r>
        <w:rPr>
          <w:lang w:val="en-US"/>
        </w:rPr>
        <w:t>1</w:t>
      </w:r>
      <w:r w:rsidRPr="00522C2F">
        <w:rPr>
          <w:lang w:val="en-US"/>
        </w:rPr>
        <w:t xml:space="preserve">: </w:t>
      </w:r>
      <w:r w:rsidR="00F406C1" w:rsidRPr="00F406C1">
        <w:rPr>
          <w:lang w:val="en-US"/>
        </w:rPr>
        <w:t>Regulatory milestones in Brazilian public offerings</w:t>
      </w:r>
    </w:p>
    <w:tbl>
      <w:tblPr>
        <w:tblStyle w:val="TableGrid"/>
        <w:tblW w:w="0" w:type="auto"/>
        <w:jc w:val="center"/>
        <w:tblLook w:val="04A0" w:firstRow="1" w:lastRow="0" w:firstColumn="1" w:lastColumn="0" w:noHBand="0" w:noVBand="1"/>
      </w:tblPr>
      <w:tblGrid>
        <w:gridCol w:w="2197"/>
        <w:gridCol w:w="2196"/>
        <w:gridCol w:w="2197"/>
        <w:gridCol w:w="2197"/>
      </w:tblGrid>
      <w:tr w:rsidR="000205EB" w14:paraId="11E2EDF6" w14:textId="77777777" w:rsidTr="00E007A5">
        <w:trPr>
          <w:cantSplit/>
          <w:jc w:val="center"/>
        </w:trPr>
        <w:tc>
          <w:tcPr>
            <w:tcW w:w="2199" w:type="dxa"/>
          </w:tcPr>
          <w:p w14:paraId="6382A90E" w14:textId="77777777" w:rsidR="000205EB" w:rsidRDefault="000205EB" w:rsidP="00E007A5">
            <w:proofErr w:type="spellStart"/>
            <w:r>
              <w:rPr>
                <w:b/>
                <w:sz w:val="15"/>
              </w:rPr>
              <w:t>Regulation</w:t>
            </w:r>
            <w:proofErr w:type="spellEnd"/>
          </w:p>
        </w:tc>
        <w:tc>
          <w:tcPr>
            <w:tcW w:w="2199" w:type="dxa"/>
          </w:tcPr>
          <w:p w14:paraId="269C767F" w14:textId="77777777" w:rsidR="000205EB" w:rsidRDefault="000205EB" w:rsidP="00E007A5">
            <w:proofErr w:type="spellStart"/>
            <w:r>
              <w:rPr>
                <w:b/>
                <w:sz w:val="15"/>
              </w:rPr>
              <w:t>Year</w:t>
            </w:r>
            <w:proofErr w:type="spellEnd"/>
          </w:p>
        </w:tc>
        <w:tc>
          <w:tcPr>
            <w:tcW w:w="2199" w:type="dxa"/>
          </w:tcPr>
          <w:p w14:paraId="5B7ABC01" w14:textId="77777777" w:rsidR="000205EB" w:rsidRDefault="000205EB" w:rsidP="00E007A5">
            <w:r>
              <w:rPr>
                <w:b/>
                <w:sz w:val="15"/>
              </w:rPr>
              <w:t xml:space="preserve">Main </w:t>
            </w:r>
            <w:proofErr w:type="spellStart"/>
            <w:r>
              <w:rPr>
                <w:b/>
                <w:sz w:val="15"/>
              </w:rPr>
              <w:t>change</w:t>
            </w:r>
            <w:proofErr w:type="spellEnd"/>
          </w:p>
        </w:tc>
        <w:tc>
          <w:tcPr>
            <w:tcW w:w="2199" w:type="dxa"/>
          </w:tcPr>
          <w:p w14:paraId="0E8B525A" w14:textId="77777777" w:rsidR="000205EB" w:rsidRDefault="000205EB" w:rsidP="00E007A5">
            <w:proofErr w:type="spellStart"/>
            <w:r>
              <w:rPr>
                <w:b/>
                <w:sz w:val="15"/>
              </w:rPr>
              <w:t>Relevance</w:t>
            </w:r>
            <w:proofErr w:type="spellEnd"/>
            <w:r>
              <w:rPr>
                <w:b/>
                <w:sz w:val="15"/>
              </w:rPr>
              <w:t xml:space="preserve"> </w:t>
            </w:r>
            <w:proofErr w:type="spellStart"/>
            <w:r>
              <w:rPr>
                <w:b/>
                <w:sz w:val="15"/>
              </w:rPr>
              <w:t>for</w:t>
            </w:r>
            <w:proofErr w:type="spellEnd"/>
            <w:r>
              <w:rPr>
                <w:b/>
                <w:sz w:val="15"/>
              </w:rPr>
              <w:t xml:space="preserve"> </w:t>
            </w:r>
            <w:proofErr w:type="spellStart"/>
            <w:r>
              <w:rPr>
                <w:b/>
                <w:sz w:val="15"/>
              </w:rPr>
              <w:t>this</w:t>
            </w:r>
            <w:proofErr w:type="spellEnd"/>
            <w:r>
              <w:rPr>
                <w:b/>
                <w:sz w:val="15"/>
              </w:rPr>
              <w:t xml:space="preserve"> </w:t>
            </w:r>
            <w:proofErr w:type="spellStart"/>
            <w:r>
              <w:rPr>
                <w:b/>
                <w:sz w:val="15"/>
              </w:rPr>
              <w:t>paper</w:t>
            </w:r>
            <w:proofErr w:type="spellEnd"/>
          </w:p>
        </w:tc>
      </w:tr>
      <w:tr w:rsidR="000205EB" w14:paraId="390145FD" w14:textId="77777777" w:rsidTr="00E007A5">
        <w:trPr>
          <w:cantSplit/>
          <w:jc w:val="center"/>
        </w:trPr>
        <w:tc>
          <w:tcPr>
            <w:tcW w:w="2199" w:type="dxa"/>
          </w:tcPr>
          <w:p w14:paraId="49CFB0BC" w14:textId="77777777" w:rsidR="000205EB" w:rsidRDefault="000205EB" w:rsidP="00E007A5">
            <w:r>
              <w:rPr>
                <w:sz w:val="15"/>
              </w:rPr>
              <w:t xml:space="preserve">CVM </w:t>
            </w:r>
            <w:proofErr w:type="spellStart"/>
            <w:r>
              <w:rPr>
                <w:sz w:val="15"/>
              </w:rPr>
              <w:t>Instruction</w:t>
            </w:r>
            <w:proofErr w:type="spellEnd"/>
            <w:r>
              <w:rPr>
                <w:sz w:val="15"/>
              </w:rPr>
              <w:t xml:space="preserve"> 400</w:t>
            </w:r>
          </w:p>
        </w:tc>
        <w:tc>
          <w:tcPr>
            <w:tcW w:w="2199" w:type="dxa"/>
          </w:tcPr>
          <w:p w14:paraId="3FBC093E" w14:textId="77777777" w:rsidR="000205EB" w:rsidRDefault="000205EB" w:rsidP="00E007A5">
            <w:r>
              <w:rPr>
                <w:sz w:val="15"/>
              </w:rPr>
              <w:t>2003</w:t>
            </w:r>
          </w:p>
        </w:tc>
        <w:tc>
          <w:tcPr>
            <w:tcW w:w="2199" w:type="dxa"/>
          </w:tcPr>
          <w:p w14:paraId="2BBB6D69" w14:textId="77777777" w:rsidR="000205EB" w:rsidRPr="00502B36" w:rsidRDefault="000205EB" w:rsidP="00E007A5">
            <w:pPr>
              <w:rPr>
                <w:lang w:val="en-US"/>
              </w:rPr>
            </w:pPr>
            <w:r w:rsidRPr="00502B36">
              <w:rPr>
                <w:sz w:val="15"/>
                <w:lang w:val="en-US"/>
              </w:rPr>
              <w:t>Traditional registered public offerings in primary and secondary securities markets.</w:t>
            </w:r>
          </w:p>
        </w:tc>
        <w:tc>
          <w:tcPr>
            <w:tcW w:w="2199" w:type="dxa"/>
          </w:tcPr>
          <w:p w14:paraId="50611F79" w14:textId="77777777" w:rsidR="000205EB" w:rsidRDefault="000205EB" w:rsidP="00E007A5">
            <w:r>
              <w:rPr>
                <w:sz w:val="15"/>
              </w:rPr>
              <w:t xml:space="preserve">Defines </w:t>
            </w:r>
            <w:proofErr w:type="spellStart"/>
            <w:r>
              <w:rPr>
                <w:sz w:val="15"/>
              </w:rPr>
              <w:t>the</w:t>
            </w:r>
            <w:proofErr w:type="spellEnd"/>
            <w:r>
              <w:rPr>
                <w:sz w:val="15"/>
              </w:rPr>
              <w:t xml:space="preserve"> pre-2009 </w:t>
            </w:r>
            <w:proofErr w:type="spellStart"/>
            <w:r>
              <w:rPr>
                <w:sz w:val="15"/>
              </w:rPr>
              <w:t>benchmark</w:t>
            </w:r>
            <w:proofErr w:type="spellEnd"/>
            <w:r>
              <w:rPr>
                <w:sz w:val="15"/>
              </w:rPr>
              <w:t>.</w:t>
            </w:r>
          </w:p>
        </w:tc>
      </w:tr>
      <w:tr w:rsidR="000205EB" w:rsidRPr="00525D8F" w14:paraId="305B3B25" w14:textId="77777777" w:rsidTr="00E007A5">
        <w:trPr>
          <w:cantSplit/>
          <w:jc w:val="center"/>
        </w:trPr>
        <w:tc>
          <w:tcPr>
            <w:tcW w:w="2199" w:type="dxa"/>
          </w:tcPr>
          <w:p w14:paraId="00E6DD5F" w14:textId="77777777" w:rsidR="000205EB" w:rsidRDefault="000205EB" w:rsidP="00E007A5">
            <w:r>
              <w:rPr>
                <w:sz w:val="15"/>
              </w:rPr>
              <w:t xml:space="preserve">CVM </w:t>
            </w:r>
            <w:proofErr w:type="spellStart"/>
            <w:r>
              <w:rPr>
                <w:sz w:val="15"/>
              </w:rPr>
              <w:t>Instruction</w:t>
            </w:r>
            <w:proofErr w:type="spellEnd"/>
            <w:r>
              <w:rPr>
                <w:sz w:val="15"/>
              </w:rPr>
              <w:t xml:space="preserve"> 476</w:t>
            </w:r>
          </w:p>
        </w:tc>
        <w:tc>
          <w:tcPr>
            <w:tcW w:w="2199" w:type="dxa"/>
          </w:tcPr>
          <w:p w14:paraId="33C72C8D" w14:textId="77777777" w:rsidR="000205EB" w:rsidRDefault="000205EB" w:rsidP="00E007A5">
            <w:r>
              <w:rPr>
                <w:sz w:val="15"/>
              </w:rPr>
              <w:t>2009</w:t>
            </w:r>
          </w:p>
        </w:tc>
        <w:tc>
          <w:tcPr>
            <w:tcW w:w="2199" w:type="dxa"/>
          </w:tcPr>
          <w:p w14:paraId="7B04E90C" w14:textId="77777777" w:rsidR="000205EB" w:rsidRPr="00502B36" w:rsidRDefault="000205EB" w:rsidP="00E007A5">
            <w:pPr>
              <w:rPr>
                <w:lang w:val="en-US"/>
              </w:rPr>
            </w:pPr>
            <w:r w:rsidRPr="00502B36">
              <w:rPr>
                <w:sz w:val="15"/>
                <w:lang w:val="en-US"/>
              </w:rPr>
              <w:t>Restricted-efforts offerings for qualified investors, including eligible non-convertible debentures, with automatic exemption from standard distribution registration.</w:t>
            </w:r>
          </w:p>
        </w:tc>
        <w:tc>
          <w:tcPr>
            <w:tcW w:w="2199" w:type="dxa"/>
          </w:tcPr>
          <w:p w14:paraId="066D762C" w14:textId="77777777" w:rsidR="000205EB" w:rsidRPr="00502B36" w:rsidRDefault="000205EB" w:rsidP="00E007A5">
            <w:pPr>
              <w:rPr>
                <w:lang w:val="en-US"/>
              </w:rPr>
            </w:pPr>
            <w:r w:rsidRPr="00502B36">
              <w:rPr>
                <w:sz w:val="15"/>
                <w:lang w:val="en-US"/>
              </w:rPr>
              <w:t>Marks the post-2009 expansion and motivates the empirical window.</w:t>
            </w:r>
          </w:p>
        </w:tc>
      </w:tr>
      <w:tr w:rsidR="000205EB" w:rsidRPr="00525D8F" w14:paraId="76ADB8A1" w14:textId="77777777" w:rsidTr="00E007A5">
        <w:trPr>
          <w:cantSplit/>
          <w:jc w:val="center"/>
        </w:trPr>
        <w:tc>
          <w:tcPr>
            <w:tcW w:w="2199" w:type="dxa"/>
          </w:tcPr>
          <w:p w14:paraId="36F8C705" w14:textId="77777777" w:rsidR="000205EB" w:rsidRDefault="000205EB" w:rsidP="00E007A5">
            <w:r>
              <w:rPr>
                <w:sz w:val="15"/>
              </w:rPr>
              <w:lastRenderedPageBreak/>
              <w:t xml:space="preserve">CVM </w:t>
            </w:r>
            <w:proofErr w:type="spellStart"/>
            <w:r>
              <w:rPr>
                <w:sz w:val="15"/>
              </w:rPr>
              <w:t>Resolution</w:t>
            </w:r>
            <w:proofErr w:type="spellEnd"/>
            <w:r>
              <w:rPr>
                <w:sz w:val="15"/>
              </w:rPr>
              <w:t xml:space="preserve"> 160</w:t>
            </w:r>
          </w:p>
        </w:tc>
        <w:tc>
          <w:tcPr>
            <w:tcW w:w="2199" w:type="dxa"/>
          </w:tcPr>
          <w:p w14:paraId="00F7D6B9" w14:textId="77777777" w:rsidR="000205EB" w:rsidRDefault="000205EB" w:rsidP="00E007A5">
            <w:r>
              <w:rPr>
                <w:sz w:val="15"/>
              </w:rPr>
              <w:t>2022</w:t>
            </w:r>
          </w:p>
        </w:tc>
        <w:tc>
          <w:tcPr>
            <w:tcW w:w="2199" w:type="dxa"/>
          </w:tcPr>
          <w:p w14:paraId="3EF52AC2" w14:textId="77777777" w:rsidR="000205EB" w:rsidRPr="00502B36" w:rsidRDefault="000205EB" w:rsidP="00E007A5">
            <w:pPr>
              <w:rPr>
                <w:lang w:val="en-US"/>
              </w:rPr>
            </w:pPr>
            <w:r w:rsidRPr="00502B36">
              <w:rPr>
                <w:sz w:val="15"/>
                <w:lang w:val="en-US"/>
              </w:rPr>
              <w:t>Modernized and consolidated the public-offering framework, revoking Instructions 400 and 476.</w:t>
            </w:r>
          </w:p>
        </w:tc>
        <w:tc>
          <w:tcPr>
            <w:tcW w:w="2199" w:type="dxa"/>
          </w:tcPr>
          <w:p w14:paraId="5E762D1E" w14:textId="77777777" w:rsidR="000205EB" w:rsidRPr="00502B36" w:rsidRDefault="000205EB" w:rsidP="00E007A5">
            <w:pPr>
              <w:rPr>
                <w:lang w:val="en-US"/>
              </w:rPr>
            </w:pPr>
            <w:r w:rsidRPr="00502B36">
              <w:rPr>
                <w:sz w:val="15"/>
                <w:lang w:val="en-US"/>
              </w:rPr>
              <w:t>Frames the current unified regime.</w:t>
            </w:r>
          </w:p>
        </w:tc>
      </w:tr>
    </w:tbl>
    <w:p w14:paraId="2FC4FC01" w14:textId="286227B5" w:rsidR="00FD3753" w:rsidRDefault="00074CCC" w:rsidP="00C15A01">
      <w:pPr>
        <w:jc w:val="both"/>
        <w:rPr>
          <w:lang w:val="en-US"/>
        </w:rPr>
      </w:pPr>
      <w:r w:rsidRPr="00350E19">
        <w:rPr>
          <w:i/>
          <w:iCs/>
          <w:color w:val="1F497D" w:themeColor="text2"/>
          <w:sz w:val="18"/>
          <w:szCs w:val="18"/>
          <w:lang w:val="en-US"/>
        </w:rPr>
        <w:t xml:space="preserve">Notes: </w:t>
      </w:r>
      <w:r w:rsidR="00AE381A" w:rsidRPr="00AE381A">
        <w:rPr>
          <w:i/>
          <w:iCs/>
          <w:color w:val="1F497D" w:themeColor="text2"/>
          <w:sz w:val="18"/>
          <w:szCs w:val="18"/>
          <w:lang w:val="en-US"/>
        </w:rPr>
        <w:t>The table summarizes the regulatory milestones most relevant for the paper's narrative. The legal regimes differ in scope and investor-protection requirements; the point here is not to provide legal advice, but to explain why the post-2009 period is economically distinct for the Brazilian debenture market.</w:t>
      </w:r>
    </w:p>
    <w:p w14:paraId="51582EFE" w14:textId="77777777" w:rsidR="00FD3753" w:rsidRDefault="00FD3753" w:rsidP="00B23799">
      <w:pPr>
        <w:ind w:firstLine="709"/>
        <w:jc w:val="both"/>
        <w:rPr>
          <w:lang w:val="en-US"/>
        </w:rPr>
      </w:pPr>
    </w:p>
    <w:p w14:paraId="7282178E" w14:textId="330491C0" w:rsidR="00B23799" w:rsidRDefault="00B23799" w:rsidP="00B23799">
      <w:pPr>
        <w:ind w:firstLine="709"/>
        <w:jc w:val="both"/>
        <w:rPr>
          <w:bCs/>
          <w:lang w:val="en-US" w:eastAsia="es-ES"/>
        </w:rPr>
      </w:pPr>
      <w:r w:rsidRPr="00B23799">
        <w:rPr>
          <w:bCs/>
          <w:lang w:val="en-US" w:eastAsia="es-ES"/>
        </w:rPr>
        <w:t>CVM Instruction 476 matters because it is closely associated with the takeoff of domestic corporate bond financing in Brazil. By allowing restricted-efforts offerings for qualified investors, it facilitated larger and faster placements, strengthened the role of institutional investors, and made the domestic bond market more attractive to firms whose long-term financing needs could not be fully met through bank credit. CVM Resolution 160 later consolidated this architecture by creating a modernized offering framework. The paper's 2010-2025 sample therefore spans both the post-476 expansion and the transition to the Resolution 160 regime.</w:t>
      </w:r>
    </w:p>
    <w:p w14:paraId="272386DC" w14:textId="77777777" w:rsidR="00B23799" w:rsidRPr="00B23799" w:rsidRDefault="00B23799" w:rsidP="00B23799">
      <w:pPr>
        <w:ind w:firstLine="709"/>
        <w:jc w:val="both"/>
        <w:rPr>
          <w:bCs/>
          <w:lang w:val="en-US" w:eastAsia="es-ES"/>
        </w:rPr>
      </w:pPr>
    </w:p>
    <w:p w14:paraId="03CEA8B6" w14:textId="77777777" w:rsidR="00B23799" w:rsidRDefault="00B23799" w:rsidP="00B23799">
      <w:pPr>
        <w:ind w:firstLine="709"/>
        <w:jc w:val="both"/>
        <w:rPr>
          <w:bCs/>
          <w:lang w:val="en-US" w:eastAsia="es-ES"/>
        </w:rPr>
      </w:pPr>
      <w:r w:rsidRPr="00B23799">
        <w:rPr>
          <w:bCs/>
          <w:lang w:val="en-US" w:eastAsia="es-ES"/>
        </w:rPr>
        <w:t>The market is not only domestic in a narrow sense. Non-resident investors can participate in Brazilian financial and securities markets under the relevant foreign-portfolio-investment framework, and their access has been the object of simplification efforts by the Central Bank of Brazil and the CVM. This matters because local-currency bonds are increasingly part of global portfolio allocation, even when trading and settlement remain mostly local. The pricing of Brazilian debentures can therefore reflect both domestic institutional features and international financial conditions.</w:t>
      </w:r>
    </w:p>
    <w:p w14:paraId="205331C7" w14:textId="77777777" w:rsidR="00B23799" w:rsidRPr="00B23799" w:rsidRDefault="00B23799" w:rsidP="00B23799">
      <w:pPr>
        <w:ind w:firstLine="709"/>
        <w:jc w:val="both"/>
        <w:rPr>
          <w:bCs/>
          <w:lang w:val="en-US" w:eastAsia="es-ES"/>
        </w:rPr>
      </w:pPr>
    </w:p>
    <w:p w14:paraId="6EE32CAC" w14:textId="2A2B06FD" w:rsidR="00C14E25" w:rsidRDefault="00B23799" w:rsidP="00B23799">
      <w:pPr>
        <w:ind w:firstLine="709"/>
        <w:jc w:val="both"/>
        <w:rPr>
          <w:bCs/>
          <w:lang w:val="en-US" w:eastAsia="es-ES"/>
        </w:rPr>
      </w:pPr>
      <w:r w:rsidRPr="00B23799">
        <w:rPr>
          <w:bCs/>
          <w:lang w:val="en-US" w:eastAsia="es-ES"/>
        </w:rPr>
        <w:t>Secondary trading, however, remains predominantly OTC. Unlike exchange-traded equities, debenture prices are not continuously discovered in a single order book. Market participants rely on dealer quotes, pricing services, settlement information, and data vendors such as Bloomberg, ANBIMA Data, and B3-related sources. This structure creates two implications for the empirical strategy. First, observed yields may contain an illiquidity or OTC premium, which motivates controls such as issue size and residual maturity. Second, price discovery can be noisy, so the construction of a credible panel requires manual cleaning, consistency checks, and liquidity filters rather than a mechanical download of all available quotes.</w:t>
      </w:r>
    </w:p>
    <w:p w14:paraId="28660F71" w14:textId="77777777" w:rsidR="0091277F" w:rsidRDefault="0091277F" w:rsidP="0021270F">
      <w:pPr>
        <w:ind w:firstLine="709"/>
        <w:jc w:val="both"/>
        <w:rPr>
          <w:b/>
          <w:bCs/>
          <w:sz w:val="28"/>
          <w:szCs w:val="28"/>
          <w:lang w:val="en-US"/>
        </w:rPr>
      </w:pPr>
    </w:p>
    <w:p w14:paraId="6D36EBB0" w14:textId="77777777" w:rsidR="00C14E25" w:rsidRPr="00012BFC" w:rsidRDefault="00C14E25" w:rsidP="003A5D63">
      <w:pPr>
        <w:rPr>
          <w:b/>
          <w:bCs/>
          <w:sz w:val="28"/>
          <w:szCs w:val="28"/>
          <w:lang w:val="en-US"/>
        </w:rPr>
      </w:pPr>
    </w:p>
    <w:p w14:paraId="2F5CE719" w14:textId="76238922" w:rsidR="0002722C" w:rsidRDefault="008B4FE5" w:rsidP="00400F1D">
      <w:pPr>
        <w:pStyle w:val="Heading1"/>
      </w:pPr>
      <w:bookmarkStart w:id="3" w:name="_Toc232189536"/>
      <w:proofErr w:type="spellStart"/>
      <w:r w:rsidRPr="008B4FE5">
        <w:t>Literature</w:t>
      </w:r>
      <w:proofErr w:type="spellEnd"/>
      <w:r w:rsidRPr="008B4FE5">
        <w:t xml:space="preserve"> </w:t>
      </w:r>
      <w:proofErr w:type="spellStart"/>
      <w:r w:rsidRPr="008B4FE5">
        <w:t>Review</w:t>
      </w:r>
      <w:bookmarkEnd w:id="3"/>
      <w:proofErr w:type="spellEnd"/>
    </w:p>
    <w:p w14:paraId="67A667EE" w14:textId="77777777" w:rsidR="009A134A" w:rsidRPr="009A134A" w:rsidRDefault="009A134A" w:rsidP="009A134A"/>
    <w:p w14:paraId="50325C2F" w14:textId="613184F5" w:rsidR="009A134A" w:rsidRPr="009A134A" w:rsidRDefault="009A134A" w:rsidP="009A134A">
      <w:pPr>
        <w:pStyle w:val="Heading2"/>
        <w:rPr>
          <w:lang w:val="en-US"/>
        </w:rPr>
      </w:pPr>
      <w:bookmarkStart w:id="4" w:name="_Toc232189537"/>
      <w:r w:rsidRPr="009A134A">
        <w:rPr>
          <w:lang w:val="en-US"/>
        </w:rPr>
        <w:t>Development of Local Currency Bond Markets</w:t>
      </w:r>
      <w:bookmarkEnd w:id="4"/>
    </w:p>
    <w:p w14:paraId="76E08439" w14:textId="77777777" w:rsidR="00C81E81" w:rsidRPr="009A134A" w:rsidRDefault="00C81E81" w:rsidP="007C43DB">
      <w:pPr>
        <w:rPr>
          <w:b/>
          <w:bCs/>
          <w:sz w:val="28"/>
          <w:szCs w:val="28"/>
          <w:lang w:val="en-US"/>
        </w:rPr>
      </w:pPr>
    </w:p>
    <w:p w14:paraId="6935A76E" w14:textId="05ECA556" w:rsidR="009935C9" w:rsidRDefault="00715091" w:rsidP="009935C9">
      <w:pPr>
        <w:ind w:firstLine="709"/>
        <w:jc w:val="both"/>
        <w:rPr>
          <w:bCs/>
          <w:lang w:val="en-US" w:eastAsia="es-ES"/>
        </w:rPr>
      </w:pPr>
      <w:r w:rsidRPr="00715091">
        <w:rPr>
          <w:bCs/>
          <w:lang w:val="en-US" w:eastAsia="es-ES"/>
        </w:rPr>
        <w:t xml:space="preserve">The </w:t>
      </w:r>
      <w:r w:rsidR="009935C9" w:rsidRPr="009935C9">
        <w:rPr>
          <w:bCs/>
          <w:lang w:val="en-US" w:eastAsia="es-ES"/>
        </w:rPr>
        <w:t>development of local-currency bond markets is a central theme in the post-crisis policy literature on emerging markets. BIS CGFS Paper No. 28 argues that local-currency bond markets can strengthen financial stability by reducing currency mismatches and lengthening the duration of debt. The same logic is relevant for corporate borrowers: when firms can issue in domestic currency, their debt service is less mechanically exposed to exchange-rate depreciations, and domestic yield curves become more informative benchmarks for long-term financing.</w:t>
      </w:r>
    </w:p>
    <w:p w14:paraId="37AF8B82" w14:textId="77777777" w:rsidR="00266986" w:rsidRPr="009935C9" w:rsidRDefault="00266986" w:rsidP="009935C9">
      <w:pPr>
        <w:ind w:firstLine="709"/>
        <w:jc w:val="both"/>
        <w:rPr>
          <w:bCs/>
          <w:lang w:val="en-US" w:eastAsia="es-ES"/>
        </w:rPr>
      </w:pPr>
    </w:p>
    <w:p w14:paraId="4A65236B" w14:textId="77777777" w:rsidR="009935C9" w:rsidRDefault="009935C9" w:rsidP="009935C9">
      <w:pPr>
        <w:ind w:firstLine="709"/>
        <w:jc w:val="both"/>
        <w:rPr>
          <w:bCs/>
          <w:lang w:val="en-US" w:eastAsia="es-ES"/>
        </w:rPr>
      </w:pPr>
      <w:r w:rsidRPr="009935C9">
        <w:rPr>
          <w:bCs/>
          <w:lang w:val="en-US" w:eastAsia="es-ES"/>
        </w:rPr>
        <w:lastRenderedPageBreak/>
        <w:t>This policy case does not imply that local-currency markets are risk-free. Burger, Warnock, and Warnock (2012) show that emerging local-currency bond markets expanded as macroeconomic stability and institutional quality improved, but that foreign participation and investor demand remain sensitive to policy credibility and global conditions. World Bank and IMF work similarly emphasizes that market depth, investor base, secondary-market liquidity, and legal-regulatory infrastructure are jointly necessary for local-currency bond-market development. The OECD's recent work on local-currency financing in emerging markets also stresses that domestic market deepening and foreign-exchange risk management are complements, not substitutes.</w:t>
      </w:r>
    </w:p>
    <w:p w14:paraId="47E8587B" w14:textId="77777777" w:rsidR="00266986" w:rsidRPr="009935C9" w:rsidRDefault="00266986" w:rsidP="009935C9">
      <w:pPr>
        <w:ind w:firstLine="709"/>
        <w:jc w:val="both"/>
        <w:rPr>
          <w:bCs/>
          <w:lang w:val="en-US" w:eastAsia="es-ES"/>
        </w:rPr>
      </w:pPr>
    </w:p>
    <w:p w14:paraId="250C8E66" w14:textId="77777777" w:rsidR="009935C9" w:rsidRDefault="009935C9" w:rsidP="009935C9">
      <w:pPr>
        <w:ind w:firstLine="709"/>
        <w:jc w:val="both"/>
        <w:rPr>
          <w:bCs/>
          <w:lang w:val="en-US" w:eastAsia="es-ES"/>
        </w:rPr>
      </w:pPr>
      <w:r w:rsidRPr="009935C9">
        <w:rPr>
          <w:bCs/>
          <w:lang w:val="en-US" w:eastAsia="es-ES"/>
        </w:rPr>
        <w:t>The Brazilian case fits this agenda while adding a distinctive corporate-bond dimension. The main policy benefit of debentures is not only that firms borrow in BRL; it is that they borrow through a domestic market with its own investor base, indexation conventions, tax rules, liquidity constraints, and disclosure practices. This paper therefore treats local-currency denomination as one institutional feature among several, rather than as a sufficient condition for insulation from global shocks.</w:t>
      </w:r>
    </w:p>
    <w:p w14:paraId="3F59D473" w14:textId="77777777" w:rsidR="00266986" w:rsidRPr="009935C9" w:rsidRDefault="00266986" w:rsidP="009935C9">
      <w:pPr>
        <w:ind w:firstLine="709"/>
        <w:jc w:val="both"/>
        <w:rPr>
          <w:bCs/>
          <w:lang w:val="en-US" w:eastAsia="es-ES"/>
        </w:rPr>
      </w:pPr>
    </w:p>
    <w:p w14:paraId="6DBFA051" w14:textId="77777777" w:rsidR="009935C9" w:rsidRPr="009935C9" w:rsidRDefault="009935C9" w:rsidP="009935C9">
      <w:pPr>
        <w:ind w:firstLine="709"/>
        <w:jc w:val="both"/>
        <w:rPr>
          <w:bCs/>
          <w:lang w:val="en-US" w:eastAsia="es-ES"/>
        </w:rPr>
      </w:pPr>
      <w:r w:rsidRPr="009935C9">
        <w:rPr>
          <w:bCs/>
          <w:lang w:val="en-US" w:eastAsia="es-ES"/>
        </w:rPr>
        <w:t xml:space="preserve">A second relevant literature studies corporate bond markets in emerging economies and Latin America. Robles, Sutton, and </w:t>
      </w:r>
      <w:proofErr w:type="spellStart"/>
      <w:r w:rsidRPr="009935C9">
        <w:rPr>
          <w:bCs/>
          <w:lang w:val="en-US" w:eastAsia="es-ES"/>
        </w:rPr>
        <w:t>Vtyurina</w:t>
      </w:r>
      <w:proofErr w:type="spellEnd"/>
      <w:r w:rsidRPr="009935C9">
        <w:rPr>
          <w:bCs/>
          <w:lang w:val="en-US" w:eastAsia="es-ES"/>
        </w:rPr>
        <w:t xml:space="preserve"> (2017) analyze whether Latin American firms issue locally or abroad, highlighting that local markets remain shallower than external markets in several countries despite growth. Caballero and Fernandez (2018) study corporate spreads in international capital markets and their relation to macroeconomic activity in emerging economies. These papers help explain why the present study is distinct: it focuses on domestic BRL corporate bonds traded in Brazil's secondary market rather than on international corporate bonds issued abroad.</w:t>
      </w:r>
    </w:p>
    <w:p w14:paraId="6B762548" w14:textId="77777777" w:rsidR="009935C9" w:rsidRPr="009935C9" w:rsidRDefault="009935C9" w:rsidP="009935C9">
      <w:pPr>
        <w:ind w:firstLine="709"/>
        <w:jc w:val="both"/>
        <w:rPr>
          <w:bCs/>
          <w:lang w:val="en-US" w:eastAsia="es-ES"/>
        </w:rPr>
      </w:pPr>
    </w:p>
    <w:p w14:paraId="2E811DB0" w14:textId="77777777" w:rsidR="009935C9" w:rsidRPr="009935C9" w:rsidRDefault="009935C9" w:rsidP="009935C9">
      <w:pPr>
        <w:ind w:firstLine="709"/>
        <w:jc w:val="both"/>
        <w:rPr>
          <w:bCs/>
          <w:lang w:val="en-US" w:eastAsia="es-ES"/>
        </w:rPr>
      </w:pPr>
      <w:r w:rsidRPr="009935C9">
        <w:rPr>
          <w:bCs/>
          <w:lang w:val="en-US" w:eastAsia="es-ES"/>
        </w:rPr>
        <w:t>The determinants of corporate bond spreads have traditionally been studied through two broad lenses: default risk and liquidity. In structural credit-risk models, spreads compensate investors for the probability that the value of the firm will fall below its debt obligations; leverage, asset volatility, and maturity therefore play central roles in pricing corporate debt (Merton, 1974). Later empirical work showed that firm fundamentals matter, but also that a substantial share of spread variation remains unexplained by traditional default variables alone (Collin-Dufresne et al., 2001). Market liquidity, trading frictions, and the functioning of dealer markets became increasingly important in this literature, particularly for securities traded in less transparent or less active markets (Duffie, 1999; Longstaff et al., 2005). These insights are highly relevant for Brazil, where corporate bonds are predominantly traded OTC and secondary-market turnover is uneven across issuers and instruments.</w:t>
      </w:r>
    </w:p>
    <w:p w14:paraId="2A5CBD62" w14:textId="77777777" w:rsidR="009935C9" w:rsidRPr="009935C9" w:rsidRDefault="009935C9" w:rsidP="009935C9">
      <w:pPr>
        <w:ind w:firstLine="709"/>
        <w:jc w:val="both"/>
        <w:rPr>
          <w:bCs/>
          <w:lang w:val="en-US" w:eastAsia="es-ES"/>
        </w:rPr>
      </w:pPr>
    </w:p>
    <w:p w14:paraId="42DA2747" w14:textId="77777777" w:rsidR="009935C9" w:rsidRPr="009935C9" w:rsidRDefault="009935C9" w:rsidP="009935C9">
      <w:pPr>
        <w:ind w:firstLine="709"/>
        <w:jc w:val="both"/>
        <w:rPr>
          <w:bCs/>
          <w:lang w:val="en-US" w:eastAsia="es-ES"/>
        </w:rPr>
      </w:pPr>
      <w:r w:rsidRPr="009935C9">
        <w:rPr>
          <w:bCs/>
          <w:lang w:val="en-US" w:eastAsia="es-ES"/>
        </w:rPr>
        <w:t>In emerging markets, however, corporate spreads reflect more than idiosyncratic firm characteristics. A large literature shows that global factors account for a sizable fraction of movement in sovereign and corporate risk premia. Gonzalez-</w:t>
      </w:r>
      <w:proofErr w:type="spellStart"/>
      <w:r w:rsidRPr="009935C9">
        <w:rPr>
          <w:bCs/>
          <w:lang w:val="en-US" w:eastAsia="es-ES"/>
        </w:rPr>
        <w:t>Rozada</w:t>
      </w:r>
      <w:proofErr w:type="spellEnd"/>
      <w:r w:rsidRPr="009935C9">
        <w:rPr>
          <w:bCs/>
          <w:lang w:val="en-US" w:eastAsia="es-ES"/>
        </w:rPr>
        <w:t xml:space="preserve"> and Levy </w:t>
      </w:r>
      <w:proofErr w:type="spellStart"/>
      <w:r w:rsidRPr="009935C9">
        <w:rPr>
          <w:bCs/>
          <w:lang w:val="en-US" w:eastAsia="es-ES"/>
        </w:rPr>
        <w:t>Yeyati</w:t>
      </w:r>
      <w:proofErr w:type="spellEnd"/>
      <w:r w:rsidRPr="009935C9">
        <w:rPr>
          <w:bCs/>
          <w:lang w:val="en-US" w:eastAsia="es-ES"/>
        </w:rPr>
        <w:t xml:space="preserve"> (2008) emphasize the role of global conditions in explaining emerging-market spreads, while Liu and Spencer (2013) show for Brazil that sovereign credit spreads respond strongly to international macro-financial variables. Gomez-Gonzalez et al. (2022) document cross-border risk spillovers between global corporations and Latin American sovereigns, again underscoring the importance of external push factors. The core insight from this literature is </w:t>
      </w:r>
      <w:r w:rsidRPr="009935C9">
        <w:rPr>
          <w:bCs/>
          <w:lang w:val="en-US" w:eastAsia="es-ES"/>
        </w:rPr>
        <w:lastRenderedPageBreak/>
        <w:t>that even domestically issued debt can be repriced by shocks originating abroad because global investors, local portfolio managers, and domestic yield curves are embedded in an international financial environment.</w:t>
      </w:r>
    </w:p>
    <w:p w14:paraId="46219DFE" w14:textId="77777777" w:rsidR="009935C9" w:rsidRPr="009935C9" w:rsidRDefault="009935C9" w:rsidP="009935C9">
      <w:pPr>
        <w:ind w:firstLine="709"/>
        <w:jc w:val="both"/>
        <w:rPr>
          <w:bCs/>
          <w:lang w:val="en-US" w:eastAsia="es-ES"/>
        </w:rPr>
      </w:pPr>
    </w:p>
    <w:p w14:paraId="12B6F2E4" w14:textId="77777777" w:rsidR="009935C9" w:rsidRPr="009935C9" w:rsidRDefault="009935C9" w:rsidP="009935C9">
      <w:pPr>
        <w:ind w:firstLine="709"/>
        <w:jc w:val="both"/>
        <w:rPr>
          <w:bCs/>
          <w:lang w:val="en-US" w:eastAsia="es-ES"/>
        </w:rPr>
      </w:pPr>
      <w:r w:rsidRPr="009935C9">
        <w:rPr>
          <w:bCs/>
          <w:lang w:val="en-US" w:eastAsia="es-ES"/>
        </w:rPr>
        <w:t>The mechanism is straightforward. When US monetary policy tightens, global funding conditions become less favorable, risk-free rates rise, and emerging-market assets face portfolio rebalancing pressures. When global risk aversion increases, capital tends to retreat from riskier jurisdictions and market liquidity becomes more selective. For sovereign bonds, these channels are well established. For corporate bonds in local currency, the evidence is thinner and in some cases more nuanced. Local institutional investors may not react in exactly the same way as international investors in hard-currency markets; in addition, domestic market segmentation can produce non-linear or even counterintuitive pricing patterns. This is one reason why separate evidence from local-currency corporate debt markets is needed.</w:t>
      </w:r>
    </w:p>
    <w:p w14:paraId="0F90D199" w14:textId="77777777" w:rsidR="009935C9" w:rsidRPr="009935C9" w:rsidRDefault="009935C9" w:rsidP="009935C9">
      <w:pPr>
        <w:ind w:firstLine="709"/>
        <w:jc w:val="both"/>
        <w:rPr>
          <w:bCs/>
          <w:lang w:val="en-US" w:eastAsia="es-ES"/>
        </w:rPr>
      </w:pPr>
    </w:p>
    <w:p w14:paraId="41C599F9" w14:textId="77777777" w:rsidR="009935C9" w:rsidRPr="009935C9" w:rsidRDefault="009935C9" w:rsidP="009935C9">
      <w:pPr>
        <w:ind w:firstLine="709"/>
        <w:jc w:val="both"/>
        <w:rPr>
          <w:bCs/>
          <w:lang w:val="en-US" w:eastAsia="es-ES"/>
        </w:rPr>
      </w:pPr>
      <w:r w:rsidRPr="009935C9">
        <w:rPr>
          <w:bCs/>
          <w:lang w:val="en-US" w:eastAsia="es-ES"/>
        </w:rPr>
        <w:t>A second relevant body of research concerns the transmission of sovereign risk to the corporate sector. Durbin and Ng (2001) provide a seminal formulation of the sovereign ceiling hypothesis for emerging-market corporate bonds, arguing that private-sector risk is partly bounded by sovereign risk because the sovereign conditions the legal, regulatory, external-financing, and macroeconomic environment in which firms operate. Grandes and Peter (2005) and Grandes et al. (2017) extend this logic to Latin America and South Africa, showing that sovereign risk often plays an important role in shaping corporate default premia. Espinoza and Prasad (2012) also show that sovereign ratings and spreads influence corporate financing conditions in emerging markets. The general message is that the sovereign acts as a reference borrower and as a carrier of macroeconomic risk.</w:t>
      </w:r>
    </w:p>
    <w:p w14:paraId="54B0B28F" w14:textId="77777777" w:rsidR="009935C9" w:rsidRPr="009935C9" w:rsidRDefault="009935C9" w:rsidP="009935C9">
      <w:pPr>
        <w:ind w:firstLine="709"/>
        <w:jc w:val="both"/>
        <w:rPr>
          <w:bCs/>
          <w:lang w:val="en-US" w:eastAsia="es-ES"/>
        </w:rPr>
      </w:pPr>
    </w:p>
    <w:p w14:paraId="19BEEE45" w14:textId="77777777" w:rsidR="009935C9" w:rsidRPr="009935C9" w:rsidRDefault="009935C9" w:rsidP="009935C9">
      <w:pPr>
        <w:ind w:firstLine="709"/>
        <w:jc w:val="both"/>
        <w:rPr>
          <w:bCs/>
          <w:lang w:val="en-US" w:eastAsia="es-ES"/>
        </w:rPr>
      </w:pPr>
      <w:r w:rsidRPr="009935C9">
        <w:rPr>
          <w:bCs/>
          <w:lang w:val="en-US" w:eastAsia="es-ES"/>
        </w:rPr>
        <w:t>Yet the sovereign-corporate relationship is unlikely to be invariant across currencies, market structures, and investor bases. In foreign-currency debt markets, sovereign risk directly affects access to external funding and the availability of foreign exchange. In local-currency markets, especially those dominated by domestic institutional investors, the relevant transmission channels may be more indirect and more dependent on portfolio allocation, benchmark structure, and monetary policy. Grandes et al. (2017) note that the ceiling effect can vary by firm type, maturity, and market segment. This point is particularly important for Brazil's inflation-linked corporate bond market, where benchmark construction, inflation indexation, and investor clientele differ from those in hard-currency bond markets.</w:t>
      </w:r>
    </w:p>
    <w:p w14:paraId="4CC78A22" w14:textId="77777777" w:rsidR="009935C9" w:rsidRPr="009935C9" w:rsidRDefault="009935C9" w:rsidP="009935C9">
      <w:pPr>
        <w:ind w:firstLine="709"/>
        <w:jc w:val="both"/>
        <w:rPr>
          <w:bCs/>
          <w:lang w:val="en-US" w:eastAsia="es-ES"/>
        </w:rPr>
      </w:pPr>
    </w:p>
    <w:p w14:paraId="1E0B159E" w14:textId="77777777" w:rsidR="009935C9" w:rsidRPr="009935C9" w:rsidRDefault="009935C9" w:rsidP="009935C9">
      <w:pPr>
        <w:ind w:firstLine="709"/>
        <w:jc w:val="both"/>
        <w:rPr>
          <w:bCs/>
          <w:lang w:val="en-US" w:eastAsia="es-ES"/>
        </w:rPr>
      </w:pPr>
      <w:r w:rsidRPr="009935C9">
        <w:rPr>
          <w:bCs/>
          <w:lang w:val="en-US" w:eastAsia="es-ES"/>
        </w:rPr>
        <w:t xml:space="preserve">The third line of literature concerns bond-level and firm-level heterogeneity. Corporate spreads are shaped by liquidity, issue size, maturity, leverage, profitability, and sector-specific characteristics. In developed markets, larger and more liquid issues tend to trade at lower spreads because they are easier to price and transact, while higher leverage tends to raise spreads through higher expected default risk (Collin-Dufresne et al., 2001; Longstaff et al., 2005). For emerging markets, the same mechanisms apply, but they often interact with institutional frictions, lower transparency, and thinner secondary markets. Carvalho and Marques (2020) show that the microstructure of the Brazilian corporate bond market matters for price formation and liquidity. Their evidence is especially relevant for the </w:t>
      </w:r>
      <w:r w:rsidRPr="009935C9">
        <w:rPr>
          <w:bCs/>
          <w:lang w:val="en-US" w:eastAsia="es-ES"/>
        </w:rPr>
        <w:lastRenderedPageBreak/>
        <w:t>present paper because it points to issue-level liquidity as a key determinant of prices in a market where observable turnover measures are limited and quotations are fragmented.</w:t>
      </w:r>
    </w:p>
    <w:p w14:paraId="2A490B04" w14:textId="77777777" w:rsidR="009935C9" w:rsidRPr="009935C9" w:rsidRDefault="009935C9" w:rsidP="009935C9">
      <w:pPr>
        <w:ind w:firstLine="709"/>
        <w:jc w:val="both"/>
        <w:rPr>
          <w:bCs/>
          <w:lang w:val="en-US" w:eastAsia="es-ES"/>
        </w:rPr>
      </w:pPr>
    </w:p>
    <w:p w14:paraId="4F387045" w14:textId="77777777" w:rsidR="009935C9" w:rsidRPr="009935C9" w:rsidRDefault="009935C9" w:rsidP="009935C9">
      <w:pPr>
        <w:ind w:firstLine="709"/>
        <w:jc w:val="both"/>
        <w:rPr>
          <w:bCs/>
          <w:lang w:val="en-US" w:eastAsia="es-ES"/>
        </w:rPr>
      </w:pPr>
      <w:r w:rsidRPr="009935C9">
        <w:rPr>
          <w:bCs/>
          <w:lang w:val="en-US" w:eastAsia="es-ES"/>
        </w:rPr>
        <w:t>The literature on Brazil itself is uneven. Several papers examine sovereign spreads, CDS, or the role of macro-financial variables in the pricing of Brazilian sovereign risk (Liu and Spencer, 2013; Silva and Paulo, 2015). Other studies discuss corporate spreads in broader emerging-market settings or in Latin America, but they rarely focus on local-currency Brazilian corporate debt over a long sample. Work specifically devoted to inflation-linked debentures is even more limited. This leaves at least three gaps.</w:t>
      </w:r>
    </w:p>
    <w:p w14:paraId="4337DC69" w14:textId="77777777" w:rsidR="009935C9" w:rsidRPr="009935C9" w:rsidRDefault="009935C9" w:rsidP="009935C9">
      <w:pPr>
        <w:ind w:firstLine="709"/>
        <w:jc w:val="both"/>
        <w:rPr>
          <w:bCs/>
          <w:lang w:val="en-US" w:eastAsia="es-ES"/>
        </w:rPr>
      </w:pPr>
    </w:p>
    <w:p w14:paraId="510F7DB6" w14:textId="77777777" w:rsidR="009935C9" w:rsidRPr="009935C9" w:rsidRDefault="009935C9" w:rsidP="009935C9">
      <w:pPr>
        <w:ind w:firstLine="709"/>
        <w:jc w:val="both"/>
        <w:rPr>
          <w:bCs/>
          <w:lang w:val="en-US" w:eastAsia="es-ES"/>
        </w:rPr>
      </w:pPr>
      <w:r w:rsidRPr="009935C9">
        <w:rPr>
          <w:bCs/>
          <w:lang w:val="en-US" w:eastAsia="es-ES"/>
        </w:rPr>
        <w:t>First, there is little bond-level evidence for Brazilian local-currency corporate debt over a period long enough to encompass major macro-financial regimes, including the fiscal deterioration and sovereign downgrades of 2014-2016, the COVID-19 shock, and the post-2021 global monetary tightening cycle. Second, existing studies often examine only one dimension of risk at a time, such as global factors or sovereign spreads, even though investors price macro, sovereign, and idiosyncratic risks jointly. Third, the sovereign ceiling hypothesis has rarely been tested with a local-currency sovereign-risk proxy tailored to the Brazilian real curve and to inflation-linked corporate bonds.</w:t>
      </w:r>
    </w:p>
    <w:p w14:paraId="5A569997" w14:textId="77777777" w:rsidR="009935C9" w:rsidRPr="009935C9" w:rsidRDefault="009935C9" w:rsidP="009935C9">
      <w:pPr>
        <w:ind w:firstLine="709"/>
        <w:jc w:val="both"/>
        <w:rPr>
          <w:bCs/>
          <w:lang w:val="en-US" w:eastAsia="es-ES"/>
        </w:rPr>
      </w:pPr>
    </w:p>
    <w:p w14:paraId="474F13F7" w14:textId="77777777" w:rsidR="009935C9" w:rsidRPr="009935C9" w:rsidRDefault="009935C9" w:rsidP="009935C9">
      <w:pPr>
        <w:ind w:firstLine="709"/>
        <w:jc w:val="both"/>
        <w:rPr>
          <w:bCs/>
          <w:lang w:val="en-US" w:eastAsia="es-ES"/>
        </w:rPr>
      </w:pPr>
      <w:r w:rsidRPr="009935C9">
        <w:rPr>
          <w:bCs/>
          <w:lang w:val="en-US" w:eastAsia="es-ES"/>
        </w:rPr>
        <w:t>This paper contributes to the literature by addressing these three gaps simultaneously. It combines bond-level data for Brazil's IPCA-linked market with a broad set of macro-financial covariates and an original synthetic measure of local-currency sovereign risk. This design makes it possible to ask whether the standard global-factor and sovereign-ceiling predictions continue to hold in a domestic inflation-linked market dominated by local institutional investors. It also clarifies which firm and bond characteristics remain relevant once time-invariant issuer and contract heterogeneity are absorbed by bond fixed effects.</w:t>
      </w:r>
    </w:p>
    <w:p w14:paraId="3FBDC9F7" w14:textId="77777777" w:rsidR="009935C9" w:rsidRPr="009935C9" w:rsidRDefault="009935C9" w:rsidP="009935C9">
      <w:pPr>
        <w:ind w:firstLine="709"/>
        <w:jc w:val="both"/>
        <w:rPr>
          <w:bCs/>
          <w:lang w:val="en-US" w:eastAsia="es-ES"/>
        </w:rPr>
      </w:pPr>
    </w:p>
    <w:p w14:paraId="73B6F145" w14:textId="6EF9DD66" w:rsidR="004048A2" w:rsidRDefault="009935C9" w:rsidP="009935C9">
      <w:pPr>
        <w:ind w:firstLine="709"/>
        <w:jc w:val="both"/>
        <w:rPr>
          <w:bCs/>
          <w:lang w:val="en-US" w:eastAsia="es-ES"/>
        </w:rPr>
      </w:pPr>
      <w:r w:rsidRPr="009935C9">
        <w:rPr>
          <w:bCs/>
          <w:lang w:val="en-US" w:eastAsia="es-ES"/>
        </w:rPr>
        <w:t>The paper's priors are consistent with the literature but leave room for market-specific departures. Global risk aversion and tighter US monetary conditions should increase corporate spreads. Currency depreciation and a higher public debt burden should also raise spreads by worsening macro-financial conditions. Stronger output growth should narrow spreads by improving expected repayment capacity. Larger issues should carry lower spreads because of greater liquidity. Leverage should raise spreads, while operating liquidity should reduce them. Maturity is theoretically ambiguous because longer bonds can embed greater duration and uncertainty, but also greater investor demand when long-horizon liabilities are matched with real-return assets. The empirical question is whether these expected signs survive in Brazil's IPCA-linked market and whether sovereign risk behaves as the sovereign-ceiling literature would predict.</w:t>
      </w:r>
    </w:p>
    <w:p w14:paraId="4BAA8836" w14:textId="77777777" w:rsidR="009935C9" w:rsidRDefault="009935C9" w:rsidP="009935C9">
      <w:pPr>
        <w:ind w:firstLine="709"/>
        <w:jc w:val="both"/>
        <w:rPr>
          <w:lang w:val="en-US"/>
        </w:rPr>
      </w:pPr>
    </w:p>
    <w:p w14:paraId="1B11A92A" w14:textId="77777777" w:rsidR="000160D0" w:rsidRPr="009935C9" w:rsidRDefault="000160D0" w:rsidP="009935C9">
      <w:pPr>
        <w:ind w:firstLine="709"/>
        <w:jc w:val="both"/>
        <w:rPr>
          <w:lang w:val="en-US"/>
        </w:rPr>
      </w:pPr>
    </w:p>
    <w:p w14:paraId="4C52E312" w14:textId="689E4199" w:rsidR="004048A2" w:rsidRPr="009A134A" w:rsidRDefault="00F23DD9" w:rsidP="004048A2">
      <w:pPr>
        <w:pStyle w:val="Heading2"/>
        <w:rPr>
          <w:lang w:val="en-US"/>
        </w:rPr>
      </w:pPr>
      <w:bookmarkStart w:id="5" w:name="_Toc232189538"/>
      <w:r w:rsidRPr="00F23DD9">
        <w:rPr>
          <w:lang w:val="en-US"/>
        </w:rPr>
        <w:t>Positioning relative to the literature</w:t>
      </w:r>
      <w:bookmarkEnd w:id="5"/>
    </w:p>
    <w:p w14:paraId="22DDFEE2" w14:textId="77777777" w:rsidR="004048A2" w:rsidRPr="009A134A" w:rsidRDefault="004048A2" w:rsidP="004048A2">
      <w:pPr>
        <w:rPr>
          <w:b/>
          <w:bCs/>
          <w:sz w:val="28"/>
          <w:szCs w:val="28"/>
          <w:lang w:val="en-US"/>
        </w:rPr>
      </w:pPr>
    </w:p>
    <w:p w14:paraId="65CD9C6C" w14:textId="07A6C8C1" w:rsidR="006F3F1E" w:rsidRDefault="0074008E" w:rsidP="0074008E">
      <w:pPr>
        <w:ind w:firstLine="709"/>
        <w:jc w:val="both"/>
        <w:rPr>
          <w:bCs/>
          <w:lang w:val="en-US" w:eastAsia="es-ES"/>
        </w:rPr>
      </w:pPr>
      <w:r w:rsidRPr="0074008E">
        <w:rPr>
          <w:bCs/>
          <w:lang w:val="en-US" w:eastAsia="es-ES"/>
        </w:rPr>
        <w:t>Table 2 summarizes how the paper is positioned relative to selected studies. The main gap is the combination of secondary-market pricing, BRL/local-currency corporate bonds, and a bond-level panel for Brazil.</w:t>
      </w:r>
    </w:p>
    <w:p w14:paraId="7CD9F648" w14:textId="77777777" w:rsidR="0074008E" w:rsidRPr="009A446F" w:rsidRDefault="0074008E" w:rsidP="0074008E">
      <w:pPr>
        <w:ind w:firstLine="709"/>
        <w:jc w:val="both"/>
        <w:rPr>
          <w:lang w:val="en-US"/>
        </w:rPr>
      </w:pPr>
    </w:p>
    <w:p w14:paraId="50CA201E" w14:textId="035CF946" w:rsidR="0074008E" w:rsidRDefault="0074008E" w:rsidP="0074008E">
      <w:pPr>
        <w:pStyle w:val="Caption"/>
        <w:keepNext/>
        <w:rPr>
          <w:lang w:val="en-US"/>
        </w:rPr>
      </w:pPr>
      <w:r w:rsidRPr="00522C2F">
        <w:rPr>
          <w:lang w:val="en-US"/>
        </w:rPr>
        <w:lastRenderedPageBreak/>
        <w:t xml:space="preserve">Table </w:t>
      </w:r>
      <w:r>
        <w:rPr>
          <w:lang w:val="en-US"/>
        </w:rPr>
        <w:t>2</w:t>
      </w:r>
      <w:r w:rsidRPr="00522C2F">
        <w:rPr>
          <w:lang w:val="en-US"/>
        </w:rPr>
        <w:t xml:space="preserve">: </w:t>
      </w:r>
      <w:r w:rsidR="00F959D5" w:rsidRPr="00F959D5">
        <w:rPr>
          <w:lang w:val="en-US"/>
        </w:rPr>
        <w:t>Positioning of this paper relative to selected literature</w:t>
      </w:r>
    </w:p>
    <w:tbl>
      <w:tblPr>
        <w:tblStyle w:val="TableGrid"/>
        <w:tblW w:w="0" w:type="auto"/>
        <w:jc w:val="center"/>
        <w:tblLook w:val="04A0" w:firstRow="1" w:lastRow="0" w:firstColumn="1" w:lastColumn="0" w:noHBand="0" w:noVBand="1"/>
      </w:tblPr>
      <w:tblGrid>
        <w:gridCol w:w="1465"/>
        <w:gridCol w:w="1464"/>
        <w:gridCol w:w="1465"/>
        <w:gridCol w:w="1464"/>
        <w:gridCol w:w="1464"/>
        <w:gridCol w:w="1465"/>
      </w:tblGrid>
      <w:tr w:rsidR="00E47548" w14:paraId="4201B8D4" w14:textId="77777777" w:rsidTr="00E007A5">
        <w:trPr>
          <w:cantSplit/>
          <w:jc w:val="center"/>
        </w:trPr>
        <w:tc>
          <w:tcPr>
            <w:tcW w:w="1466" w:type="dxa"/>
          </w:tcPr>
          <w:p w14:paraId="1DB9B6D8" w14:textId="77777777" w:rsidR="00E47548" w:rsidRDefault="00E47548" w:rsidP="00E007A5">
            <w:r>
              <w:rPr>
                <w:b/>
                <w:sz w:val="14"/>
              </w:rPr>
              <w:t xml:space="preserve">Paper / </w:t>
            </w:r>
            <w:proofErr w:type="spellStart"/>
            <w:r>
              <w:rPr>
                <w:b/>
                <w:sz w:val="14"/>
              </w:rPr>
              <w:t>context</w:t>
            </w:r>
            <w:proofErr w:type="spellEnd"/>
          </w:p>
        </w:tc>
        <w:tc>
          <w:tcPr>
            <w:tcW w:w="1466" w:type="dxa"/>
          </w:tcPr>
          <w:p w14:paraId="78A84F43" w14:textId="77777777" w:rsidR="00E47548" w:rsidRDefault="00E47548" w:rsidP="00E007A5">
            <w:proofErr w:type="spellStart"/>
            <w:r>
              <w:rPr>
                <w:b/>
                <w:sz w:val="14"/>
              </w:rPr>
              <w:t>Primary</w:t>
            </w:r>
            <w:proofErr w:type="spellEnd"/>
          </w:p>
        </w:tc>
        <w:tc>
          <w:tcPr>
            <w:tcW w:w="1466" w:type="dxa"/>
          </w:tcPr>
          <w:p w14:paraId="6BF5B286" w14:textId="77777777" w:rsidR="00E47548" w:rsidRDefault="00E47548" w:rsidP="00E007A5">
            <w:proofErr w:type="spellStart"/>
            <w:r>
              <w:rPr>
                <w:b/>
                <w:sz w:val="14"/>
              </w:rPr>
              <w:t>Secondary</w:t>
            </w:r>
            <w:proofErr w:type="spellEnd"/>
          </w:p>
        </w:tc>
        <w:tc>
          <w:tcPr>
            <w:tcW w:w="1466" w:type="dxa"/>
          </w:tcPr>
          <w:p w14:paraId="4BCEC22E" w14:textId="77777777" w:rsidR="00E47548" w:rsidRDefault="00E47548" w:rsidP="00E007A5">
            <w:r>
              <w:rPr>
                <w:b/>
                <w:sz w:val="14"/>
              </w:rPr>
              <w:t xml:space="preserve">BRL / local </w:t>
            </w:r>
            <w:proofErr w:type="spellStart"/>
            <w:r>
              <w:rPr>
                <w:b/>
                <w:sz w:val="14"/>
              </w:rPr>
              <w:t>currency</w:t>
            </w:r>
            <w:proofErr w:type="spellEnd"/>
          </w:p>
        </w:tc>
        <w:tc>
          <w:tcPr>
            <w:tcW w:w="1466" w:type="dxa"/>
          </w:tcPr>
          <w:p w14:paraId="55FC3028" w14:textId="77777777" w:rsidR="00E47548" w:rsidRDefault="00E47548" w:rsidP="00E007A5">
            <w:r>
              <w:rPr>
                <w:b/>
                <w:sz w:val="14"/>
              </w:rPr>
              <w:t>Panel</w:t>
            </w:r>
          </w:p>
        </w:tc>
        <w:tc>
          <w:tcPr>
            <w:tcW w:w="1466" w:type="dxa"/>
          </w:tcPr>
          <w:p w14:paraId="46D05961" w14:textId="77777777" w:rsidR="00E47548" w:rsidRDefault="00E47548" w:rsidP="00E007A5">
            <w:proofErr w:type="spellStart"/>
            <w:r>
              <w:rPr>
                <w:b/>
                <w:sz w:val="14"/>
              </w:rPr>
              <w:t>Corporate</w:t>
            </w:r>
            <w:proofErr w:type="spellEnd"/>
          </w:p>
        </w:tc>
      </w:tr>
      <w:tr w:rsidR="00E47548" w14:paraId="7F17D4AE" w14:textId="77777777" w:rsidTr="00E007A5">
        <w:trPr>
          <w:cantSplit/>
          <w:jc w:val="center"/>
        </w:trPr>
        <w:tc>
          <w:tcPr>
            <w:tcW w:w="1466" w:type="dxa"/>
          </w:tcPr>
          <w:p w14:paraId="571C67A5" w14:textId="77777777" w:rsidR="00E47548" w:rsidRDefault="00E47548" w:rsidP="00E007A5">
            <w:r>
              <w:rPr>
                <w:b/>
                <w:sz w:val="14"/>
              </w:rPr>
              <w:t>Sheng &amp; Saito (2005)</w:t>
            </w:r>
          </w:p>
        </w:tc>
        <w:tc>
          <w:tcPr>
            <w:tcW w:w="1466" w:type="dxa"/>
          </w:tcPr>
          <w:p w14:paraId="77C0FB7B" w14:textId="77777777" w:rsidR="00E47548" w:rsidRDefault="00E47548" w:rsidP="00E007A5">
            <w:r>
              <w:rPr>
                <w:sz w:val="14"/>
              </w:rPr>
              <w:t>Yes</w:t>
            </w:r>
          </w:p>
        </w:tc>
        <w:tc>
          <w:tcPr>
            <w:tcW w:w="1466" w:type="dxa"/>
          </w:tcPr>
          <w:p w14:paraId="417C9605" w14:textId="77777777" w:rsidR="00E47548" w:rsidRDefault="00E47548" w:rsidP="00E007A5">
            <w:r>
              <w:rPr>
                <w:sz w:val="14"/>
              </w:rPr>
              <w:t>No</w:t>
            </w:r>
          </w:p>
        </w:tc>
        <w:tc>
          <w:tcPr>
            <w:tcW w:w="1466" w:type="dxa"/>
          </w:tcPr>
          <w:p w14:paraId="63940CDD" w14:textId="77777777" w:rsidR="00E47548" w:rsidRDefault="00E47548" w:rsidP="00E007A5">
            <w:r>
              <w:rPr>
                <w:sz w:val="14"/>
              </w:rPr>
              <w:t>Yes</w:t>
            </w:r>
          </w:p>
        </w:tc>
        <w:tc>
          <w:tcPr>
            <w:tcW w:w="1466" w:type="dxa"/>
          </w:tcPr>
          <w:p w14:paraId="41BE6C54" w14:textId="77777777" w:rsidR="00E47548" w:rsidRDefault="00E47548" w:rsidP="00E007A5">
            <w:r>
              <w:rPr>
                <w:sz w:val="14"/>
              </w:rPr>
              <w:t>No</w:t>
            </w:r>
          </w:p>
        </w:tc>
        <w:tc>
          <w:tcPr>
            <w:tcW w:w="1466" w:type="dxa"/>
          </w:tcPr>
          <w:p w14:paraId="414E9786" w14:textId="77777777" w:rsidR="00E47548" w:rsidRDefault="00E47548" w:rsidP="00E007A5">
            <w:r>
              <w:rPr>
                <w:sz w:val="14"/>
              </w:rPr>
              <w:t>Yes</w:t>
            </w:r>
          </w:p>
        </w:tc>
      </w:tr>
      <w:tr w:rsidR="00E47548" w14:paraId="2619A8C4" w14:textId="77777777" w:rsidTr="00E007A5">
        <w:trPr>
          <w:cantSplit/>
          <w:jc w:val="center"/>
        </w:trPr>
        <w:tc>
          <w:tcPr>
            <w:tcW w:w="1466" w:type="dxa"/>
          </w:tcPr>
          <w:p w14:paraId="504711B8" w14:textId="77777777" w:rsidR="00E47548" w:rsidRDefault="00E47548" w:rsidP="00E007A5">
            <w:r>
              <w:rPr>
                <w:b/>
                <w:sz w:val="14"/>
              </w:rPr>
              <w:t>Sheng &amp; Saito (2008)</w:t>
            </w:r>
          </w:p>
        </w:tc>
        <w:tc>
          <w:tcPr>
            <w:tcW w:w="1466" w:type="dxa"/>
          </w:tcPr>
          <w:p w14:paraId="517F9915" w14:textId="77777777" w:rsidR="00E47548" w:rsidRDefault="00E47548" w:rsidP="00E007A5">
            <w:proofErr w:type="spellStart"/>
            <w:r>
              <w:rPr>
                <w:sz w:val="14"/>
              </w:rPr>
              <w:t>Issuance</w:t>
            </w:r>
            <w:proofErr w:type="spellEnd"/>
            <w:r>
              <w:rPr>
                <w:sz w:val="14"/>
              </w:rPr>
              <w:t xml:space="preserve"> / </w:t>
            </w:r>
            <w:proofErr w:type="spellStart"/>
            <w:r>
              <w:rPr>
                <w:sz w:val="14"/>
              </w:rPr>
              <w:t>early</w:t>
            </w:r>
            <w:proofErr w:type="spellEnd"/>
            <w:r>
              <w:rPr>
                <w:sz w:val="14"/>
              </w:rPr>
              <w:t xml:space="preserve"> </w:t>
            </w:r>
            <w:proofErr w:type="spellStart"/>
            <w:r>
              <w:rPr>
                <w:sz w:val="14"/>
              </w:rPr>
              <w:t>market</w:t>
            </w:r>
            <w:proofErr w:type="spellEnd"/>
          </w:p>
        </w:tc>
        <w:tc>
          <w:tcPr>
            <w:tcW w:w="1466" w:type="dxa"/>
          </w:tcPr>
          <w:p w14:paraId="2720A148" w14:textId="77777777" w:rsidR="00E47548" w:rsidRDefault="00E47548" w:rsidP="00E007A5">
            <w:proofErr w:type="spellStart"/>
            <w:r>
              <w:rPr>
                <w:sz w:val="14"/>
              </w:rPr>
              <w:t>Limited</w:t>
            </w:r>
            <w:proofErr w:type="spellEnd"/>
          </w:p>
        </w:tc>
        <w:tc>
          <w:tcPr>
            <w:tcW w:w="1466" w:type="dxa"/>
          </w:tcPr>
          <w:p w14:paraId="29D81B27" w14:textId="77777777" w:rsidR="00E47548" w:rsidRDefault="00E47548" w:rsidP="00E007A5">
            <w:r>
              <w:rPr>
                <w:sz w:val="14"/>
              </w:rPr>
              <w:t>Yes</w:t>
            </w:r>
          </w:p>
        </w:tc>
        <w:tc>
          <w:tcPr>
            <w:tcW w:w="1466" w:type="dxa"/>
          </w:tcPr>
          <w:p w14:paraId="62967265" w14:textId="77777777" w:rsidR="00E47548" w:rsidRDefault="00E47548" w:rsidP="00E007A5">
            <w:r>
              <w:rPr>
                <w:sz w:val="14"/>
              </w:rPr>
              <w:t>No</w:t>
            </w:r>
          </w:p>
        </w:tc>
        <w:tc>
          <w:tcPr>
            <w:tcW w:w="1466" w:type="dxa"/>
          </w:tcPr>
          <w:p w14:paraId="40AF749E" w14:textId="77777777" w:rsidR="00E47548" w:rsidRDefault="00E47548" w:rsidP="00E007A5">
            <w:r>
              <w:rPr>
                <w:sz w:val="14"/>
              </w:rPr>
              <w:t>Yes</w:t>
            </w:r>
          </w:p>
        </w:tc>
      </w:tr>
      <w:tr w:rsidR="00E47548" w14:paraId="1FAFD1E5" w14:textId="77777777" w:rsidTr="00E007A5">
        <w:trPr>
          <w:cantSplit/>
          <w:jc w:val="center"/>
        </w:trPr>
        <w:tc>
          <w:tcPr>
            <w:tcW w:w="1466" w:type="dxa"/>
          </w:tcPr>
          <w:p w14:paraId="416C391A" w14:textId="77777777" w:rsidR="00E47548" w:rsidRDefault="00E47548" w:rsidP="00E007A5">
            <w:r>
              <w:rPr>
                <w:b/>
                <w:sz w:val="14"/>
              </w:rPr>
              <w:t>Giacomoni &amp; Sheng (2013)</w:t>
            </w:r>
          </w:p>
        </w:tc>
        <w:tc>
          <w:tcPr>
            <w:tcW w:w="1466" w:type="dxa"/>
          </w:tcPr>
          <w:p w14:paraId="6FD76260" w14:textId="77777777" w:rsidR="00E47548" w:rsidRDefault="00E47548" w:rsidP="00E007A5">
            <w:r>
              <w:rPr>
                <w:sz w:val="14"/>
              </w:rPr>
              <w:t>No</w:t>
            </w:r>
          </w:p>
        </w:tc>
        <w:tc>
          <w:tcPr>
            <w:tcW w:w="1466" w:type="dxa"/>
          </w:tcPr>
          <w:p w14:paraId="34E5E51A" w14:textId="77777777" w:rsidR="00E47548" w:rsidRDefault="00E47548" w:rsidP="00E007A5">
            <w:r>
              <w:rPr>
                <w:sz w:val="14"/>
              </w:rPr>
              <w:t>Yes</w:t>
            </w:r>
          </w:p>
        </w:tc>
        <w:tc>
          <w:tcPr>
            <w:tcW w:w="1466" w:type="dxa"/>
          </w:tcPr>
          <w:p w14:paraId="7292E365" w14:textId="77777777" w:rsidR="00E47548" w:rsidRDefault="00E47548" w:rsidP="00E007A5">
            <w:r>
              <w:rPr>
                <w:sz w:val="14"/>
              </w:rPr>
              <w:t>Yes</w:t>
            </w:r>
          </w:p>
        </w:tc>
        <w:tc>
          <w:tcPr>
            <w:tcW w:w="1466" w:type="dxa"/>
          </w:tcPr>
          <w:p w14:paraId="082A8870" w14:textId="77777777" w:rsidR="00E47548" w:rsidRDefault="00E47548" w:rsidP="00E007A5">
            <w:r>
              <w:rPr>
                <w:sz w:val="14"/>
              </w:rPr>
              <w:t>Yes</w:t>
            </w:r>
          </w:p>
        </w:tc>
        <w:tc>
          <w:tcPr>
            <w:tcW w:w="1466" w:type="dxa"/>
          </w:tcPr>
          <w:p w14:paraId="62C0F625" w14:textId="77777777" w:rsidR="00E47548" w:rsidRDefault="00E47548" w:rsidP="00E007A5">
            <w:r>
              <w:rPr>
                <w:sz w:val="14"/>
              </w:rPr>
              <w:t>Yes</w:t>
            </w:r>
          </w:p>
        </w:tc>
      </w:tr>
      <w:tr w:rsidR="00E47548" w14:paraId="098F2252" w14:textId="77777777" w:rsidTr="00E007A5">
        <w:trPr>
          <w:cantSplit/>
          <w:jc w:val="center"/>
        </w:trPr>
        <w:tc>
          <w:tcPr>
            <w:tcW w:w="1466" w:type="dxa"/>
          </w:tcPr>
          <w:p w14:paraId="3713F99C" w14:textId="77777777" w:rsidR="00E47548" w:rsidRDefault="00E47548" w:rsidP="00E007A5">
            <w:r>
              <w:rPr>
                <w:b/>
                <w:sz w:val="14"/>
              </w:rPr>
              <w:t>Avendano &amp; Nieto-Parra (2015)</w:t>
            </w:r>
          </w:p>
        </w:tc>
        <w:tc>
          <w:tcPr>
            <w:tcW w:w="1466" w:type="dxa"/>
          </w:tcPr>
          <w:p w14:paraId="145BB116" w14:textId="77777777" w:rsidR="00E47548" w:rsidRDefault="00E47548" w:rsidP="00E007A5">
            <w:r>
              <w:rPr>
                <w:sz w:val="14"/>
              </w:rPr>
              <w:t>Yes</w:t>
            </w:r>
          </w:p>
        </w:tc>
        <w:tc>
          <w:tcPr>
            <w:tcW w:w="1466" w:type="dxa"/>
          </w:tcPr>
          <w:p w14:paraId="1CA5638C" w14:textId="77777777" w:rsidR="00E47548" w:rsidRDefault="00E47548" w:rsidP="00E007A5">
            <w:r>
              <w:rPr>
                <w:sz w:val="14"/>
              </w:rPr>
              <w:t>No</w:t>
            </w:r>
          </w:p>
        </w:tc>
        <w:tc>
          <w:tcPr>
            <w:tcW w:w="1466" w:type="dxa"/>
          </w:tcPr>
          <w:p w14:paraId="0FE8C170" w14:textId="77777777" w:rsidR="00E47548" w:rsidRDefault="00E47548" w:rsidP="00E007A5">
            <w:proofErr w:type="spellStart"/>
            <w:r>
              <w:rPr>
                <w:sz w:val="14"/>
              </w:rPr>
              <w:t>Mixed</w:t>
            </w:r>
            <w:proofErr w:type="spellEnd"/>
            <w:r>
              <w:rPr>
                <w:sz w:val="14"/>
              </w:rPr>
              <w:t xml:space="preserve"> regional </w:t>
            </w:r>
            <w:proofErr w:type="spellStart"/>
            <w:r>
              <w:rPr>
                <w:sz w:val="14"/>
              </w:rPr>
              <w:t>sample</w:t>
            </w:r>
            <w:proofErr w:type="spellEnd"/>
          </w:p>
        </w:tc>
        <w:tc>
          <w:tcPr>
            <w:tcW w:w="1466" w:type="dxa"/>
          </w:tcPr>
          <w:p w14:paraId="6F51956A" w14:textId="77777777" w:rsidR="00E47548" w:rsidRDefault="00E47548" w:rsidP="00E007A5">
            <w:r>
              <w:rPr>
                <w:sz w:val="14"/>
              </w:rPr>
              <w:t>Cross-country</w:t>
            </w:r>
          </w:p>
        </w:tc>
        <w:tc>
          <w:tcPr>
            <w:tcW w:w="1466" w:type="dxa"/>
          </w:tcPr>
          <w:p w14:paraId="27DDF866" w14:textId="77777777" w:rsidR="00E47548" w:rsidRDefault="00E47548" w:rsidP="00E007A5">
            <w:r>
              <w:rPr>
                <w:sz w:val="14"/>
              </w:rPr>
              <w:t>Yes</w:t>
            </w:r>
          </w:p>
        </w:tc>
      </w:tr>
      <w:tr w:rsidR="00E47548" w14:paraId="378D884E" w14:textId="77777777" w:rsidTr="00E007A5">
        <w:trPr>
          <w:cantSplit/>
          <w:jc w:val="center"/>
        </w:trPr>
        <w:tc>
          <w:tcPr>
            <w:tcW w:w="1466" w:type="dxa"/>
          </w:tcPr>
          <w:p w14:paraId="53245F48" w14:textId="77777777" w:rsidR="00E47548" w:rsidRDefault="00E47548" w:rsidP="00E007A5">
            <w:r>
              <w:rPr>
                <w:b/>
                <w:sz w:val="14"/>
              </w:rPr>
              <w:t>Cortazar et al. (2022), Chile</w:t>
            </w:r>
          </w:p>
        </w:tc>
        <w:tc>
          <w:tcPr>
            <w:tcW w:w="1466" w:type="dxa"/>
          </w:tcPr>
          <w:p w14:paraId="35682F8A" w14:textId="77777777" w:rsidR="00E47548" w:rsidRDefault="00E47548" w:rsidP="00E007A5">
            <w:r>
              <w:rPr>
                <w:sz w:val="14"/>
              </w:rPr>
              <w:t>No</w:t>
            </w:r>
          </w:p>
        </w:tc>
        <w:tc>
          <w:tcPr>
            <w:tcW w:w="1466" w:type="dxa"/>
          </w:tcPr>
          <w:p w14:paraId="78F48790" w14:textId="77777777" w:rsidR="00E47548" w:rsidRDefault="00E47548" w:rsidP="00E007A5">
            <w:r>
              <w:rPr>
                <w:sz w:val="14"/>
              </w:rPr>
              <w:t>Yes</w:t>
            </w:r>
          </w:p>
        </w:tc>
        <w:tc>
          <w:tcPr>
            <w:tcW w:w="1466" w:type="dxa"/>
          </w:tcPr>
          <w:p w14:paraId="580195A0" w14:textId="77777777" w:rsidR="00E47548" w:rsidRDefault="00E47548" w:rsidP="00E007A5">
            <w:r>
              <w:rPr>
                <w:sz w:val="14"/>
              </w:rPr>
              <w:t>Yes</w:t>
            </w:r>
          </w:p>
        </w:tc>
        <w:tc>
          <w:tcPr>
            <w:tcW w:w="1466" w:type="dxa"/>
          </w:tcPr>
          <w:p w14:paraId="4FD5EDC5" w14:textId="77777777" w:rsidR="00E47548" w:rsidRDefault="00E47548" w:rsidP="00E007A5">
            <w:r>
              <w:rPr>
                <w:sz w:val="14"/>
              </w:rPr>
              <w:t>Yes</w:t>
            </w:r>
          </w:p>
        </w:tc>
        <w:tc>
          <w:tcPr>
            <w:tcW w:w="1466" w:type="dxa"/>
          </w:tcPr>
          <w:p w14:paraId="5D0F85D1" w14:textId="77777777" w:rsidR="00E47548" w:rsidRDefault="00E47548" w:rsidP="00E007A5">
            <w:r>
              <w:rPr>
                <w:sz w:val="14"/>
              </w:rPr>
              <w:t>Yes</w:t>
            </w:r>
          </w:p>
        </w:tc>
      </w:tr>
      <w:tr w:rsidR="00E47548" w14:paraId="6DC05588" w14:textId="77777777" w:rsidTr="00E007A5">
        <w:trPr>
          <w:cantSplit/>
          <w:jc w:val="center"/>
        </w:trPr>
        <w:tc>
          <w:tcPr>
            <w:tcW w:w="1466" w:type="dxa"/>
          </w:tcPr>
          <w:p w14:paraId="4BB2E8F5" w14:textId="77777777" w:rsidR="00E47548" w:rsidRDefault="00E47548" w:rsidP="00E007A5">
            <w:r>
              <w:rPr>
                <w:b/>
                <w:sz w:val="14"/>
              </w:rPr>
              <w:t xml:space="preserve">Robles et al. (2017), </w:t>
            </w:r>
            <w:proofErr w:type="spellStart"/>
            <w:r>
              <w:rPr>
                <w:b/>
                <w:sz w:val="14"/>
              </w:rPr>
              <w:t>Latin</w:t>
            </w:r>
            <w:proofErr w:type="spellEnd"/>
            <w:r>
              <w:rPr>
                <w:b/>
                <w:sz w:val="14"/>
              </w:rPr>
              <w:t xml:space="preserve"> America</w:t>
            </w:r>
          </w:p>
        </w:tc>
        <w:tc>
          <w:tcPr>
            <w:tcW w:w="1466" w:type="dxa"/>
          </w:tcPr>
          <w:p w14:paraId="299FE9EE" w14:textId="77777777" w:rsidR="00E47548" w:rsidRDefault="00E47548" w:rsidP="00E007A5">
            <w:proofErr w:type="spellStart"/>
            <w:r>
              <w:rPr>
                <w:sz w:val="14"/>
              </w:rPr>
              <w:t>Mostly</w:t>
            </w:r>
            <w:proofErr w:type="spellEnd"/>
            <w:r>
              <w:rPr>
                <w:sz w:val="14"/>
              </w:rPr>
              <w:t xml:space="preserve"> </w:t>
            </w:r>
            <w:proofErr w:type="spellStart"/>
            <w:r>
              <w:rPr>
                <w:sz w:val="14"/>
              </w:rPr>
              <w:t>issuance</w:t>
            </w:r>
            <w:proofErr w:type="spellEnd"/>
          </w:p>
        </w:tc>
        <w:tc>
          <w:tcPr>
            <w:tcW w:w="1466" w:type="dxa"/>
          </w:tcPr>
          <w:p w14:paraId="76DE0AA7" w14:textId="77777777" w:rsidR="00E47548" w:rsidRDefault="00E47548" w:rsidP="00E007A5">
            <w:r>
              <w:rPr>
                <w:sz w:val="14"/>
              </w:rPr>
              <w:t>No</w:t>
            </w:r>
          </w:p>
        </w:tc>
        <w:tc>
          <w:tcPr>
            <w:tcW w:w="1466" w:type="dxa"/>
          </w:tcPr>
          <w:p w14:paraId="3F4B958A" w14:textId="77777777" w:rsidR="00E47548" w:rsidRDefault="00E47548" w:rsidP="00E007A5">
            <w:r>
              <w:rPr>
                <w:sz w:val="14"/>
              </w:rPr>
              <w:t xml:space="preserve">Local and </w:t>
            </w:r>
            <w:proofErr w:type="spellStart"/>
            <w:r>
              <w:rPr>
                <w:sz w:val="14"/>
              </w:rPr>
              <w:t>external</w:t>
            </w:r>
            <w:proofErr w:type="spellEnd"/>
          </w:p>
        </w:tc>
        <w:tc>
          <w:tcPr>
            <w:tcW w:w="1466" w:type="dxa"/>
          </w:tcPr>
          <w:p w14:paraId="51B4A620" w14:textId="77777777" w:rsidR="00E47548" w:rsidRDefault="00E47548" w:rsidP="00E007A5">
            <w:r>
              <w:rPr>
                <w:sz w:val="14"/>
              </w:rPr>
              <w:t>Yes</w:t>
            </w:r>
          </w:p>
        </w:tc>
        <w:tc>
          <w:tcPr>
            <w:tcW w:w="1466" w:type="dxa"/>
          </w:tcPr>
          <w:p w14:paraId="1A55EF0C" w14:textId="77777777" w:rsidR="00E47548" w:rsidRDefault="00E47548" w:rsidP="00E007A5">
            <w:r>
              <w:rPr>
                <w:sz w:val="14"/>
              </w:rPr>
              <w:t>Yes</w:t>
            </w:r>
          </w:p>
        </w:tc>
      </w:tr>
      <w:tr w:rsidR="00E47548" w14:paraId="0C9846A1" w14:textId="77777777" w:rsidTr="00E007A5">
        <w:trPr>
          <w:cantSplit/>
          <w:jc w:val="center"/>
        </w:trPr>
        <w:tc>
          <w:tcPr>
            <w:tcW w:w="1466" w:type="dxa"/>
          </w:tcPr>
          <w:p w14:paraId="069E28C3" w14:textId="77777777" w:rsidR="00E47548" w:rsidRDefault="00E47548" w:rsidP="00E007A5">
            <w:proofErr w:type="spellStart"/>
            <w:r>
              <w:rPr>
                <w:b/>
                <w:sz w:val="14"/>
              </w:rPr>
              <w:t>This</w:t>
            </w:r>
            <w:proofErr w:type="spellEnd"/>
            <w:r>
              <w:rPr>
                <w:b/>
                <w:sz w:val="14"/>
              </w:rPr>
              <w:t xml:space="preserve"> </w:t>
            </w:r>
            <w:proofErr w:type="spellStart"/>
            <w:r>
              <w:rPr>
                <w:b/>
                <w:sz w:val="14"/>
              </w:rPr>
              <w:t>paper</w:t>
            </w:r>
            <w:proofErr w:type="spellEnd"/>
          </w:p>
        </w:tc>
        <w:tc>
          <w:tcPr>
            <w:tcW w:w="1466" w:type="dxa"/>
          </w:tcPr>
          <w:p w14:paraId="7C8E791C" w14:textId="77777777" w:rsidR="00E47548" w:rsidRDefault="00E47548" w:rsidP="00E007A5">
            <w:r>
              <w:rPr>
                <w:sz w:val="14"/>
              </w:rPr>
              <w:t>No</w:t>
            </w:r>
          </w:p>
        </w:tc>
        <w:tc>
          <w:tcPr>
            <w:tcW w:w="1466" w:type="dxa"/>
          </w:tcPr>
          <w:p w14:paraId="00C910D3" w14:textId="77777777" w:rsidR="00E47548" w:rsidRDefault="00E47548" w:rsidP="00E007A5">
            <w:r>
              <w:rPr>
                <w:sz w:val="14"/>
              </w:rPr>
              <w:t>Yes</w:t>
            </w:r>
          </w:p>
        </w:tc>
        <w:tc>
          <w:tcPr>
            <w:tcW w:w="1466" w:type="dxa"/>
          </w:tcPr>
          <w:p w14:paraId="3C9726A0" w14:textId="77777777" w:rsidR="00E47548" w:rsidRDefault="00E47548" w:rsidP="00E007A5">
            <w:r>
              <w:rPr>
                <w:sz w:val="14"/>
              </w:rPr>
              <w:t>BRL / IPCA-</w:t>
            </w:r>
            <w:proofErr w:type="spellStart"/>
            <w:r>
              <w:rPr>
                <w:sz w:val="14"/>
              </w:rPr>
              <w:t>linked</w:t>
            </w:r>
            <w:proofErr w:type="spellEnd"/>
          </w:p>
        </w:tc>
        <w:tc>
          <w:tcPr>
            <w:tcW w:w="1466" w:type="dxa"/>
          </w:tcPr>
          <w:p w14:paraId="0DB195E8" w14:textId="77777777" w:rsidR="00E47548" w:rsidRDefault="00E47548" w:rsidP="00E007A5">
            <w:r>
              <w:rPr>
                <w:sz w:val="14"/>
              </w:rPr>
              <w:t>Yes</w:t>
            </w:r>
          </w:p>
        </w:tc>
        <w:tc>
          <w:tcPr>
            <w:tcW w:w="1466" w:type="dxa"/>
          </w:tcPr>
          <w:p w14:paraId="70D092AF" w14:textId="77777777" w:rsidR="00E47548" w:rsidRDefault="00E47548" w:rsidP="00E007A5">
            <w:r>
              <w:rPr>
                <w:sz w:val="14"/>
              </w:rPr>
              <w:t>Yes</w:t>
            </w:r>
          </w:p>
        </w:tc>
      </w:tr>
    </w:tbl>
    <w:p w14:paraId="6A8F7CF5" w14:textId="77777777" w:rsidR="00E47548" w:rsidRPr="00E47548" w:rsidRDefault="00E47548" w:rsidP="00E47548">
      <w:pPr>
        <w:rPr>
          <w:lang w:val="en-US"/>
        </w:rPr>
      </w:pPr>
    </w:p>
    <w:p w14:paraId="4768ADA5" w14:textId="64D44736" w:rsidR="0074008E" w:rsidRDefault="0074008E" w:rsidP="0074008E">
      <w:pPr>
        <w:jc w:val="both"/>
        <w:rPr>
          <w:lang w:val="en-US"/>
        </w:rPr>
      </w:pPr>
      <w:r w:rsidRPr="00350E19">
        <w:rPr>
          <w:i/>
          <w:iCs/>
          <w:color w:val="1F497D" w:themeColor="text2"/>
          <w:sz w:val="18"/>
          <w:szCs w:val="18"/>
          <w:lang w:val="en-US"/>
        </w:rPr>
        <w:t xml:space="preserve">Notes: </w:t>
      </w:r>
      <w:r w:rsidR="00B029FA" w:rsidRPr="00B029FA">
        <w:rPr>
          <w:i/>
          <w:iCs/>
          <w:color w:val="1F497D" w:themeColor="text2"/>
          <w:sz w:val="18"/>
          <w:szCs w:val="18"/>
          <w:lang w:val="en-US"/>
        </w:rPr>
        <w:t>The table is selective and intended to clarify the contribution. It does not imply that the listed papers have identical dependent variables, samples, or econometric designs.</w:t>
      </w:r>
    </w:p>
    <w:p w14:paraId="15DA7254" w14:textId="77777777" w:rsidR="0074008E" w:rsidRDefault="0074008E" w:rsidP="0074008E">
      <w:pPr>
        <w:ind w:firstLine="709"/>
        <w:jc w:val="both"/>
        <w:rPr>
          <w:lang w:val="en-US"/>
        </w:rPr>
      </w:pPr>
    </w:p>
    <w:p w14:paraId="0F2575C6" w14:textId="77777777" w:rsidR="007A3B94" w:rsidRPr="00715091" w:rsidRDefault="007A3B94" w:rsidP="006F3F1E">
      <w:pPr>
        <w:rPr>
          <w:lang w:val="en-US"/>
        </w:rPr>
      </w:pPr>
    </w:p>
    <w:p w14:paraId="797C3439" w14:textId="549085B3" w:rsidR="00BD1BE1" w:rsidRPr="00CA38ED" w:rsidRDefault="001D5078" w:rsidP="00132AFA">
      <w:pPr>
        <w:pStyle w:val="Heading1"/>
        <w:spacing w:after="200" w:line="276" w:lineRule="auto"/>
        <w:ind w:firstLine="720"/>
      </w:pPr>
      <w:bookmarkStart w:id="6" w:name="_Toc232189539"/>
      <w:proofErr w:type="spellStart"/>
      <w:r w:rsidRPr="001D5078">
        <w:t>Methodology</w:t>
      </w:r>
      <w:proofErr w:type="spellEnd"/>
      <w:r w:rsidRPr="001D5078">
        <w:t xml:space="preserve"> / </w:t>
      </w:r>
      <w:proofErr w:type="spellStart"/>
      <w:r w:rsidRPr="001D5078">
        <w:t>Empirical</w:t>
      </w:r>
      <w:proofErr w:type="spellEnd"/>
      <w:r w:rsidRPr="001D5078">
        <w:t xml:space="preserve"> </w:t>
      </w:r>
      <w:proofErr w:type="spellStart"/>
      <w:r w:rsidRPr="001D5078">
        <w:t>Strategy</w:t>
      </w:r>
      <w:bookmarkEnd w:id="6"/>
      <w:proofErr w:type="spellEnd"/>
    </w:p>
    <w:p w14:paraId="7115E2D7" w14:textId="6400F578" w:rsidR="0016548A" w:rsidRPr="00777D30" w:rsidRDefault="00777D30" w:rsidP="0016548A">
      <w:pPr>
        <w:pStyle w:val="Heading2"/>
        <w:rPr>
          <w:lang w:val="en-US"/>
        </w:rPr>
      </w:pPr>
      <w:bookmarkStart w:id="7" w:name="_Toc232189540"/>
      <w:r w:rsidRPr="00777D30">
        <w:rPr>
          <w:lang w:val="en-US"/>
        </w:rPr>
        <w:t>Data and empirical setting</w:t>
      </w:r>
      <w:bookmarkEnd w:id="7"/>
    </w:p>
    <w:p w14:paraId="13C89276" w14:textId="77777777" w:rsidR="0016548A" w:rsidRPr="00777D30" w:rsidRDefault="0016548A" w:rsidP="0016548A">
      <w:pPr>
        <w:jc w:val="both"/>
        <w:rPr>
          <w:lang w:val="en-US"/>
        </w:rPr>
      </w:pPr>
    </w:p>
    <w:p w14:paraId="7617E8CB" w14:textId="7B48C258" w:rsidR="00386860" w:rsidRPr="00386860" w:rsidRDefault="00AA74C2" w:rsidP="00386860">
      <w:pPr>
        <w:ind w:firstLine="709"/>
        <w:jc w:val="both"/>
        <w:rPr>
          <w:bCs/>
          <w:lang w:val="en-US" w:eastAsia="es-ES"/>
        </w:rPr>
      </w:pPr>
      <w:r w:rsidRPr="00AA74C2">
        <w:rPr>
          <w:bCs/>
          <w:lang w:val="en-US" w:eastAsia="es-ES"/>
        </w:rPr>
        <w:t xml:space="preserve">The </w:t>
      </w:r>
      <w:r w:rsidR="00386860" w:rsidRPr="00386860">
        <w:rPr>
          <w:bCs/>
          <w:lang w:val="en-US" w:eastAsia="es-ES"/>
        </w:rPr>
        <w:t>empirical analysis uses a monthly unbalanced panel of Brazilian inflation-linked corporate bonds issued by non-financial corporations between 2010 and 2025. The start date is tied to the post-CVM Instruction 476 period, when restricted-efforts offerings became central to the expansion of the domestic debenture market. After cleaning and filtering the initial universe of local-currency debentures, the final sample contains 103 valid IPCA-linked bonds issued by 48 firms, for a total of 4,229 bond-month observations. The average bond is observed for about 41 months, with substantial heterogeneity in coverage because bonds enter and leave the sample as they are issued, mature, or fail market-quality filters. This unbalanced structure is a natural feature of the primary and secondary corporate bond market and is common in bond-level datasets.</w:t>
      </w:r>
    </w:p>
    <w:p w14:paraId="0E4A9D66" w14:textId="77777777" w:rsidR="00386860" w:rsidRPr="00386860" w:rsidRDefault="00386860" w:rsidP="00386860">
      <w:pPr>
        <w:ind w:firstLine="709"/>
        <w:jc w:val="both"/>
        <w:rPr>
          <w:bCs/>
          <w:lang w:val="en-US" w:eastAsia="es-ES"/>
        </w:rPr>
      </w:pPr>
    </w:p>
    <w:p w14:paraId="5F850A06" w14:textId="77777777" w:rsidR="00386860" w:rsidRPr="00386860" w:rsidRDefault="00386860" w:rsidP="00386860">
      <w:pPr>
        <w:ind w:firstLine="709"/>
        <w:jc w:val="both"/>
        <w:rPr>
          <w:bCs/>
          <w:lang w:val="en-US" w:eastAsia="es-ES"/>
        </w:rPr>
      </w:pPr>
      <w:r w:rsidRPr="00386860">
        <w:rPr>
          <w:bCs/>
          <w:lang w:val="en-US" w:eastAsia="es-ES"/>
        </w:rPr>
        <w:t>The sample focuses on IPCA-linked instruments for three reasons. First, these bonds represent a large and economically important segment of Brazil's local-currency corporate debt market. Second, they allow the paper to measure the real cost of financing by comparing corporate yields with a real risk-free benchmark that shares the same inflation indexation. Third, they are widely used by long-horizon investors seeking real returns, which makes them particularly relevant for the local-currency bond-market development agenda. The sample is concentrated in sectors such as electricity, transport, infrastructure-related services, iron and steel, and alternative energy, which is consistent with the broader structure of the Brazilian debenture market and with the needs of capital-intensive firms that seek long-term funding.</w:t>
      </w:r>
    </w:p>
    <w:p w14:paraId="0DDE7C52" w14:textId="77777777" w:rsidR="00386860" w:rsidRPr="00386860" w:rsidRDefault="00386860" w:rsidP="00386860">
      <w:pPr>
        <w:ind w:firstLine="709"/>
        <w:jc w:val="both"/>
        <w:rPr>
          <w:bCs/>
          <w:lang w:val="en-US" w:eastAsia="es-ES"/>
        </w:rPr>
      </w:pPr>
    </w:p>
    <w:p w14:paraId="21CB7C45" w14:textId="2B541E19" w:rsidR="0090339C" w:rsidRDefault="00386860" w:rsidP="00386860">
      <w:pPr>
        <w:ind w:firstLine="709"/>
        <w:jc w:val="both"/>
        <w:rPr>
          <w:bCs/>
          <w:lang w:val="en-US" w:eastAsia="es-ES"/>
        </w:rPr>
      </w:pPr>
      <w:r w:rsidRPr="00386860">
        <w:rPr>
          <w:bCs/>
          <w:lang w:val="en-US" w:eastAsia="es-ES"/>
        </w:rPr>
        <w:t xml:space="preserve">The Brazilian corporate bond market is predominantly OTC. Secondary prices are not formed in a centralized limit-order book, and quotes are dispersed across market makers, pricing services, custodians, and data vendors. For that reason, the construction of the panel required a specific consolidation procedure aimed at selecting the most representative price and yield for each bond-month observation. The original thesis describes the filtering steps in detail, but the core principle is simple: retain only those observations for which metadata, </w:t>
      </w:r>
      <w:r w:rsidRPr="00386860">
        <w:rPr>
          <w:bCs/>
          <w:lang w:val="en-US" w:eastAsia="es-ES"/>
        </w:rPr>
        <w:lastRenderedPageBreak/>
        <w:t>maturity information, pricing history, issuer classification, and benchmark matching are sufficiently consistent to produce a credible spread series. The resulting dataset is designed for empirical inference rather than for exhaustive market coverage.</w:t>
      </w:r>
    </w:p>
    <w:p w14:paraId="085D3862" w14:textId="77777777" w:rsidR="00386860" w:rsidRDefault="00386860" w:rsidP="00386860">
      <w:pPr>
        <w:ind w:firstLine="709"/>
        <w:jc w:val="both"/>
        <w:rPr>
          <w:lang w:val="en-US"/>
        </w:rPr>
      </w:pPr>
    </w:p>
    <w:p w14:paraId="0E586C7F" w14:textId="77777777" w:rsidR="009C5A0F" w:rsidRPr="00AA74C2" w:rsidRDefault="009C5A0F" w:rsidP="0016548A">
      <w:pPr>
        <w:rPr>
          <w:lang w:val="en-US"/>
        </w:rPr>
      </w:pPr>
    </w:p>
    <w:p w14:paraId="176332A1" w14:textId="581406A9" w:rsidR="0016548A" w:rsidRPr="009C5A0F" w:rsidRDefault="009C5A0F" w:rsidP="0016548A">
      <w:pPr>
        <w:pStyle w:val="Heading2"/>
        <w:rPr>
          <w:lang w:val="en-US"/>
        </w:rPr>
      </w:pPr>
      <w:bookmarkStart w:id="8" w:name="_Toc232189541"/>
      <w:r w:rsidRPr="009C5A0F">
        <w:rPr>
          <w:lang w:val="en-US"/>
        </w:rPr>
        <w:t>Measuring the dependent variable</w:t>
      </w:r>
      <w:bookmarkEnd w:id="8"/>
    </w:p>
    <w:p w14:paraId="171170F9" w14:textId="77777777" w:rsidR="00E654CA" w:rsidRPr="009C5A0F" w:rsidRDefault="00E654CA" w:rsidP="00E654CA">
      <w:pPr>
        <w:rPr>
          <w:lang w:val="en-US"/>
        </w:rPr>
      </w:pPr>
    </w:p>
    <w:p w14:paraId="6C07F4C7" w14:textId="63A51595" w:rsidR="009525F6" w:rsidRDefault="008278C8" w:rsidP="008278C8">
      <w:pPr>
        <w:spacing w:after="200" w:line="276" w:lineRule="auto"/>
        <w:ind w:firstLine="720"/>
        <w:jc w:val="both"/>
        <w:rPr>
          <w:bCs/>
          <w:lang w:val="en-US" w:eastAsia="es-ES"/>
        </w:rPr>
      </w:pPr>
      <w:r w:rsidRPr="008278C8">
        <w:rPr>
          <w:bCs/>
          <w:lang w:val="en-US" w:eastAsia="es-ES"/>
        </w:rPr>
        <w:t xml:space="preserve">The dependent variable is the corporate bond spread measured in real terms. For bond </w:t>
      </w:r>
      <w:proofErr w:type="spellStart"/>
      <w:r w:rsidRPr="008278C8">
        <w:rPr>
          <w:bCs/>
          <w:lang w:val="en-US" w:eastAsia="es-ES"/>
        </w:rPr>
        <w:t>i</w:t>
      </w:r>
      <w:proofErr w:type="spellEnd"/>
      <w:r w:rsidRPr="008278C8">
        <w:rPr>
          <w:bCs/>
          <w:lang w:val="en-US" w:eastAsia="es-ES"/>
        </w:rPr>
        <w:t xml:space="preserve"> at month t, the spread is defined as the yield to maturity on the corporate bond minus the yield on a maturity-matched real risk-free benchmark:</w:t>
      </w:r>
    </w:p>
    <w:p w14:paraId="0F2EE822" w14:textId="073E982C" w:rsidR="004A1D99" w:rsidRPr="00CD501F" w:rsidRDefault="009525F6" w:rsidP="004A1D99">
      <w:pPr>
        <w:spacing w:after="200" w:line="276" w:lineRule="auto"/>
        <w:jc w:val="both"/>
      </w:pPr>
      <m:oMathPara>
        <m:oMath>
          <m:r>
            <w:rPr>
              <w:rFonts w:ascii="Cambria Math" w:hAnsi="Cambria Math"/>
            </w:rPr>
            <m:t>Sprea</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i,t</m:t>
                  </m:r>
                </m:e>
              </m:d>
            </m:sub>
          </m:sSub>
          <m:r>
            <w:rPr>
              <w:rFonts w:ascii="Cambria Math" w:hAnsi="Cambria Math"/>
            </w:rPr>
            <m:t>= 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i,t</m:t>
                  </m:r>
                </m:e>
              </m:d>
            </m:sub>
          </m:sSub>
          <m:r>
            <w:rPr>
              <w:rFonts w:ascii="Cambria Math" w:hAnsi="Cambria Math"/>
            </w:rPr>
            <m:t xml:space="preserve">  -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m:oMathPara>
    </w:p>
    <w:p w14:paraId="1A05358C" w14:textId="31AB6E4C" w:rsidR="00CD501F" w:rsidRDefault="003A71E7" w:rsidP="00CD501F">
      <w:pPr>
        <w:spacing w:after="200" w:line="276" w:lineRule="auto"/>
        <w:jc w:val="both"/>
        <w:rPr>
          <w:bCs/>
          <w:lang w:val="en-US" w:eastAsia="es-ES"/>
        </w:rPr>
      </w:pPr>
      <w:r w:rsidRPr="008278C8">
        <w:rPr>
          <w:bCs/>
          <w:lang w:val="en-US" w:eastAsia="es-ES"/>
        </w:rPr>
        <w:t>W</w:t>
      </w:r>
      <w:r w:rsidR="008278C8" w:rsidRPr="008278C8">
        <w:rPr>
          <w:bCs/>
          <w:lang w:val="en-US" w:eastAsia="es-ES"/>
        </w:rPr>
        <w:t>here</w:t>
      </w:r>
      <w:r>
        <w:rPr>
          <w:bCs/>
          <w:lang w:val="en-US" w:eastAsia="es-ES"/>
        </w:rPr>
        <w:t>:</w:t>
      </w:r>
    </w:p>
    <w:p w14:paraId="6E468E7E" w14:textId="77777777" w:rsidR="008A26EA" w:rsidRDefault="009E5CD6" w:rsidP="009E5CD6">
      <w:pPr>
        <w:pStyle w:val="ListParagraph"/>
        <w:numPr>
          <w:ilvl w:val="0"/>
          <w:numId w:val="50"/>
        </w:numPr>
        <w:spacing w:after="200" w:line="276" w:lineRule="auto"/>
        <w:jc w:val="both"/>
        <w:rPr>
          <w:bCs/>
          <w:lang w:val="en-US" w:eastAsia="es-ES"/>
        </w:rPr>
      </w:pPr>
      <m:oMath>
        <m:r>
          <w:rPr>
            <w:rFonts w:ascii="Cambria Math" w:hAnsi="Cambria Math"/>
          </w:rPr>
          <m:t>YT</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i</m:t>
                </m:r>
                <m:r>
                  <w:rPr>
                    <w:rFonts w:ascii="Cambria Math" w:hAnsi="Cambria Math"/>
                    <w:lang w:val="en-US"/>
                  </w:rPr>
                  <m:t>,</m:t>
                </m:r>
                <m:r>
                  <w:rPr>
                    <w:rFonts w:ascii="Cambria Math" w:hAnsi="Cambria Math"/>
                  </w:rPr>
                  <m:t>t</m:t>
                </m:r>
              </m:e>
            </m:d>
          </m:sub>
        </m:sSub>
      </m:oMath>
      <w:r w:rsidRPr="009E5CD6">
        <w:rPr>
          <w:lang w:val="en-US"/>
        </w:rPr>
        <w:t xml:space="preserve"> </w:t>
      </w:r>
      <w:r w:rsidR="008278C8" w:rsidRPr="009E5CD6">
        <w:rPr>
          <w:bCs/>
          <w:lang w:val="en-US" w:eastAsia="es-ES"/>
        </w:rPr>
        <w:t>is the observed yield to maturity of the corporate bond and</w:t>
      </w:r>
    </w:p>
    <w:p w14:paraId="0C156C81" w14:textId="38A910C3" w:rsidR="008278C8" w:rsidRPr="009E5CD6" w:rsidRDefault="008278C8" w:rsidP="009E5CD6">
      <w:pPr>
        <w:pStyle w:val="ListParagraph"/>
        <w:numPr>
          <w:ilvl w:val="0"/>
          <w:numId w:val="50"/>
        </w:numPr>
        <w:spacing w:after="200" w:line="276" w:lineRule="auto"/>
        <w:jc w:val="both"/>
        <w:rPr>
          <w:bCs/>
          <w:lang w:val="en-US" w:eastAsia="es-ES"/>
        </w:rPr>
      </w:pPr>
      <w:r w:rsidRPr="009E5CD6">
        <w:rPr>
          <w:bCs/>
          <w:lang w:val="en-US" w:eastAsia="es-ES"/>
        </w:rPr>
        <w:t xml:space="preserve"> </w:t>
      </w:r>
      <m:oMath>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t</m:t>
                </m:r>
                <m:r>
                  <w:rPr>
                    <w:rFonts w:ascii="Cambria Math" w:hAnsi="Cambria Math"/>
                    <w:lang w:val="en-US"/>
                  </w:rPr>
                  <m:t>,</m:t>
                </m:r>
                <m:sSub>
                  <m:sSubPr>
                    <m:ctrlPr>
                      <w:rPr>
                        <w:rFonts w:ascii="Cambria Math" w:hAnsi="Cambria Math"/>
                        <w:i/>
                      </w:rPr>
                    </m:ctrlPr>
                  </m:sSubPr>
                  <m:e>
                    <m:r>
                      <w:rPr>
                        <w:rFonts w:ascii="Cambria Math" w:hAnsi="Cambria Math"/>
                      </w:rPr>
                      <m:t>τ</m:t>
                    </m:r>
                  </m:e>
                  <m:sub>
                    <m:r>
                      <w:rPr>
                        <w:rFonts w:ascii="Cambria Math" w:hAnsi="Cambria Math"/>
                      </w:rPr>
                      <m:t>i</m:t>
                    </m:r>
                  </m:sub>
                </m:sSub>
              </m:e>
            </m:d>
          </m:sup>
        </m:sSup>
      </m:oMath>
      <w:r w:rsidRPr="009E5CD6">
        <w:rPr>
          <w:bCs/>
          <w:lang w:val="en-US" w:eastAsia="es-ES"/>
        </w:rPr>
        <w:t xml:space="preserve"> is the interpolated real risk-free rate at the same date and residual maturity. Because the corporate bonds in the sample are indexed to the IPCA, the benchmark curve must also be real and IPCA-consistent.</w:t>
      </w:r>
    </w:p>
    <w:p w14:paraId="2CF04E15" w14:textId="77777777" w:rsidR="008278C8" w:rsidRPr="008278C8" w:rsidRDefault="008278C8" w:rsidP="008278C8">
      <w:pPr>
        <w:spacing w:after="200" w:line="276" w:lineRule="auto"/>
        <w:ind w:firstLine="720"/>
        <w:jc w:val="both"/>
        <w:rPr>
          <w:bCs/>
          <w:lang w:val="en-US" w:eastAsia="es-ES"/>
        </w:rPr>
      </w:pPr>
      <w:r w:rsidRPr="008278C8">
        <w:rPr>
          <w:bCs/>
          <w:lang w:val="en-US" w:eastAsia="es-ES"/>
        </w:rPr>
        <w:t>Constructing that benchmark is non-trivial because no single instrument provides a fully liquid real risk-free curve across all maturities. The strategy therefore combines two sources. For the short end, from zero to roughly five years, the paper uses rates implied by DAP futures, which are relatively more liquid in that segment. For the medium and long end, from about five to fifteen years, the paper uses yields on Brazilian Treasury inflation-linked bonds (NTN-B). To smooth the term structure and interpolate across maturities, the benchmark curves are fitted with a Nelson-Siegel specification. This hybrid approach aims to minimize distortions from illiquidity at long maturities while preserving consistency across the term structure. The result is a monthly real yield curve that can be matched to each corporate bond by residual maturity.</w:t>
      </w:r>
    </w:p>
    <w:p w14:paraId="6F3C998B" w14:textId="19F03E78" w:rsidR="00E654CA" w:rsidRDefault="008278C8" w:rsidP="008278C8">
      <w:pPr>
        <w:spacing w:after="200" w:line="276" w:lineRule="auto"/>
        <w:ind w:firstLine="720"/>
        <w:jc w:val="both"/>
        <w:rPr>
          <w:bCs/>
          <w:lang w:val="en-US" w:eastAsia="es-ES"/>
        </w:rPr>
      </w:pPr>
      <w:r w:rsidRPr="008278C8">
        <w:rPr>
          <w:bCs/>
          <w:lang w:val="en-US" w:eastAsia="es-ES"/>
        </w:rPr>
        <w:t>The spread defined in this way is conceptually appealing because it isolates the compensation investors require above a real sovereign benchmark of comparable maturity. It therefore captures a combination of expected default risk, liquidity premia, tax and contract effects, and market segmentation. In practice, the OTC nature of the market means that part of the measured spread also reflects pricing frictions, which reinforces the importance of controlling for issue size and other liquidity-related characteristics.</w:t>
      </w:r>
    </w:p>
    <w:p w14:paraId="7ABCAF9F" w14:textId="77777777" w:rsidR="00401B39" w:rsidRPr="008278C8" w:rsidRDefault="00401B39" w:rsidP="008278C8">
      <w:pPr>
        <w:spacing w:after="200" w:line="276" w:lineRule="auto"/>
        <w:ind w:firstLine="720"/>
        <w:jc w:val="both"/>
        <w:rPr>
          <w:lang w:val="en-US"/>
        </w:rPr>
      </w:pPr>
    </w:p>
    <w:p w14:paraId="14DDCDB3" w14:textId="77777777" w:rsidR="004440FB" w:rsidRPr="008278C8" w:rsidRDefault="004440FB" w:rsidP="0064035A">
      <w:pPr>
        <w:jc w:val="both"/>
        <w:rPr>
          <w:lang w:val="en-US"/>
        </w:rPr>
      </w:pPr>
    </w:p>
    <w:p w14:paraId="5ADB6E60" w14:textId="512570CD" w:rsidR="00CB0BE9" w:rsidRPr="0056305B" w:rsidRDefault="0056305B" w:rsidP="00CB0BE9">
      <w:pPr>
        <w:pStyle w:val="Heading2"/>
        <w:rPr>
          <w:lang w:val="es-AR"/>
        </w:rPr>
      </w:pPr>
      <w:bookmarkStart w:id="9" w:name="_Toc232189542"/>
      <w:proofErr w:type="spellStart"/>
      <w:r w:rsidRPr="0056305B">
        <w:rPr>
          <w:lang w:val="es-AR"/>
        </w:rPr>
        <w:t>Explanatory</w:t>
      </w:r>
      <w:proofErr w:type="spellEnd"/>
      <w:r w:rsidRPr="0056305B">
        <w:rPr>
          <w:lang w:val="es-AR"/>
        </w:rPr>
        <w:t xml:space="preserve"> variables</w:t>
      </w:r>
      <w:bookmarkEnd w:id="9"/>
    </w:p>
    <w:p w14:paraId="2F264945" w14:textId="77777777" w:rsidR="00CB0BE9" w:rsidRPr="0056305B" w:rsidRDefault="00CB0BE9" w:rsidP="00CB0BE9">
      <w:pPr>
        <w:jc w:val="both"/>
        <w:rPr>
          <w:sz w:val="28"/>
          <w:szCs w:val="28"/>
          <w:lang w:val="es-AR"/>
        </w:rPr>
      </w:pPr>
    </w:p>
    <w:p w14:paraId="59E3C9CF" w14:textId="456ABFB3" w:rsidR="00BB6037" w:rsidRDefault="00BB6037" w:rsidP="00BB6037">
      <w:pPr>
        <w:ind w:firstLine="709"/>
        <w:jc w:val="both"/>
        <w:rPr>
          <w:bCs/>
          <w:lang w:val="en-US" w:eastAsia="es-ES"/>
        </w:rPr>
      </w:pPr>
      <w:r w:rsidRPr="00BB6037">
        <w:rPr>
          <w:bCs/>
          <w:lang w:val="en-US" w:eastAsia="es-ES"/>
        </w:rPr>
        <w:lastRenderedPageBreak/>
        <w:t>The covariates are grouped into four blocks: global factors, domestic macroeconomic conditions, sovereign risk, and idiosyncratic bond- and firm-level variables.</w:t>
      </w:r>
    </w:p>
    <w:p w14:paraId="3707F873" w14:textId="77777777" w:rsidR="00223C58" w:rsidRPr="00BB6037" w:rsidRDefault="00223C58" w:rsidP="00BB6037">
      <w:pPr>
        <w:ind w:firstLine="709"/>
        <w:jc w:val="both"/>
        <w:rPr>
          <w:bCs/>
          <w:lang w:val="en-US" w:eastAsia="es-ES"/>
        </w:rPr>
      </w:pPr>
    </w:p>
    <w:p w14:paraId="3FF2814B" w14:textId="77777777" w:rsidR="00775DD6" w:rsidRPr="00775DD6" w:rsidRDefault="00775DD6" w:rsidP="00775DD6">
      <w:pPr>
        <w:ind w:firstLine="709"/>
        <w:jc w:val="both"/>
        <w:rPr>
          <w:bCs/>
          <w:lang w:val="en-US" w:eastAsia="es-ES"/>
        </w:rPr>
      </w:pPr>
      <w:r w:rsidRPr="00775DD6">
        <w:rPr>
          <w:bCs/>
          <w:lang w:val="en-US" w:eastAsia="es-ES"/>
        </w:rPr>
        <w:t>Global factors are represented by the VIX index and a three-month forward measure of US monetary policy based on the US rate curve. The VIX captures global risk aversion and the risk-off environment faced by emerging-market assets. The forward US monetary-policy indicator is intended to capture changes in expected international funding conditions more effectively than a spot policy rate. A tightening in expected US policy should raise Brazilian corporate spreads if local borrowing costs remain sensitive to global liquidity. As a robustness check, the paper also constructs a real US monetary-policy proxy, defined as the three-month US forward rate minus year-on-year US CPI inflation computed from the US CPI index.</w:t>
      </w:r>
    </w:p>
    <w:p w14:paraId="5556E04E" w14:textId="77777777" w:rsidR="00775DD6" w:rsidRPr="00775DD6" w:rsidRDefault="00775DD6" w:rsidP="00775DD6">
      <w:pPr>
        <w:ind w:firstLine="709"/>
        <w:jc w:val="both"/>
        <w:rPr>
          <w:bCs/>
          <w:lang w:val="en-US" w:eastAsia="es-ES"/>
        </w:rPr>
      </w:pPr>
    </w:p>
    <w:p w14:paraId="2660AE79" w14:textId="00E7E3CF" w:rsidR="00223C58" w:rsidRDefault="00775DD6" w:rsidP="00775DD6">
      <w:pPr>
        <w:ind w:firstLine="709"/>
        <w:jc w:val="both"/>
        <w:rPr>
          <w:bCs/>
          <w:lang w:val="en-US" w:eastAsia="es-ES"/>
        </w:rPr>
      </w:pPr>
      <w:r w:rsidRPr="00775DD6">
        <w:rPr>
          <w:bCs/>
          <w:lang w:val="en-US" w:eastAsia="es-ES"/>
        </w:rPr>
        <w:t>Domestic macroeconomic conditions are proxied by the BRL/USD exchange rate, real GDP growth, and the public-debt-to-GDP ratio. Exchange-rate depreciation is expected to raise spreads because it signals external vulnerability, inflationary pressure, and tighter domestic financial conditions, even when bonds are denominated in local currency. Higher real growth should narrow spreads by improving expected cash flows and reducing perceived default risk. A higher public-debt ratio should widen spreads through the macro-fiscal channel by worsening the sovereign backdrop against which private issuers are priced. The robustness analysis replaces nominal USD/BRL with a bilateral real USD/BRL index constructed from nominal USD/BRL, the US CPI index, and the Brazilian IPCA index; an increase in this index corresponds to a real depreciation of the Brazilian real.</w:t>
      </w:r>
    </w:p>
    <w:p w14:paraId="3F007A80" w14:textId="77777777" w:rsidR="00775DD6" w:rsidRPr="00BB6037" w:rsidRDefault="00775DD6" w:rsidP="00775DD6">
      <w:pPr>
        <w:ind w:firstLine="709"/>
        <w:jc w:val="both"/>
        <w:rPr>
          <w:bCs/>
          <w:lang w:val="en-US" w:eastAsia="es-ES"/>
        </w:rPr>
      </w:pPr>
    </w:p>
    <w:p w14:paraId="4FC251FE" w14:textId="77777777" w:rsidR="00BB6037" w:rsidRDefault="00BB6037" w:rsidP="00BB6037">
      <w:pPr>
        <w:ind w:firstLine="709"/>
        <w:jc w:val="both"/>
        <w:rPr>
          <w:bCs/>
          <w:lang w:val="en-US" w:eastAsia="es-ES"/>
        </w:rPr>
      </w:pPr>
      <w:r w:rsidRPr="00BB6037">
        <w:rPr>
          <w:bCs/>
          <w:lang w:val="en-US" w:eastAsia="es-ES"/>
        </w:rPr>
        <w:t>Sovereign risk is measured with a synthetic local-currency spread rather than with a standard hard-currency CDS series. The motivation is straightforward: the paper studies local-currency corporate bonds and therefore requires a sovereign-risk proxy relevant to the pricing of Brazilian real-denominated instruments. The synthetic measure is built from sovereign securities in local currency. For nominal sovereign bonds, yields are compared with the DI curve; for inflation-linked sovereign bonds, yields are compared with the corresponding real benchmark curve. The resulting spread is interpreted as a proxy for sovereign risk in BRL. It is not equivalent to an international risk-country measure, but it is better aligned with the valuation of domestic corporate bonds.</w:t>
      </w:r>
    </w:p>
    <w:p w14:paraId="5E5BA6D7" w14:textId="77777777" w:rsidR="00223C58" w:rsidRPr="00BB6037" w:rsidRDefault="00223C58" w:rsidP="00BB6037">
      <w:pPr>
        <w:ind w:firstLine="709"/>
        <w:jc w:val="both"/>
        <w:rPr>
          <w:bCs/>
          <w:lang w:val="en-US" w:eastAsia="es-ES"/>
        </w:rPr>
      </w:pPr>
    </w:p>
    <w:p w14:paraId="72FE75C5" w14:textId="6CD054DD" w:rsidR="00CB0BE9" w:rsidRDefault="00BB6037" w:rsidP="00BB6037">
      <w:pPr>
        <w:ind w:firstLine="709"/>
        <w:jc w:val="both"/>
        <w:rPr>
          <w:bCs/>
          <w:lang w:val="en-US" w:eastAsia="es-ES"/>
        </w:rPr>
      </w:pPr>
      <w:r w:rsidRPr="00BB6037">
        <w:rPr>
          <w:bCs/>
          <w:lang w:val="en-US" w:eastAsia="es-ES"/>
        </w:rPr>
        <w:t>Idiosyncratic determinants include three bond- or firm-level variables. The first is the ratio of amount issued to total assets, which serves as a proxy for the relative size and liquidity of the issue. The intuition is that larger issues are easier to place, attract more investors, and may trade with narrower spreads in an OTC market. The second is operating cash flow over total assets, which proxies for internal liquidity and short-term financial strength. The third is debt to EBITDA, a standard leverage measure. The paper also includes residual maturity in business days, normalized by the 252-day convention used in Brazilian financial markets.</w:t>
      </w:r>
    </w:p>
    <w:p w14:paraId="1A69AA46" w14:textId="77777777" w:rsidR="00A76DB0" w:rsidRDefault="00A76DB0" w:rsidP="00BB6037">
      <w:pPr>
        <w:ind w:firstLine="709"/>
        <w:jc w:val="both"/>
        <w:rPr>
          <w:bCs/>
          <w:lang w:val="en-US" w:eastAsia="es-ES"/>
        </w:rPr>
      </w:pPr>
    </w:p>
    <w:p w14:paraId="7D54AD8A" w14:textId="267730D9" w:rsidR="00A76DB0" w:rsidRPr="0083007D" w:rsidRDefault="00A76DB0" w:rsidP="00A76DB0">
      <w:pPr>
        <w:spacing w:after="120"/>
        <w:rPr>
          <w:lang w:val="en-US"/>
        </w:rPr>
      </w:pPr>
      <w:r w:rsidRPr="0083007D">
        <w:rPr>
          <w:lang w:val="en-US"/>
        </w:rPr>
        <w:t xml:space="preserve">Table </w:t>
      </w:r>
      <w:r w:rsidR="00FC7BF2">
        <w:rPr>
          <w:lang w:val="en-US"/>
        </w:rPr>
        <w:t>3</w:t>
      </w:r>
      <w:r w:rsidRPr="0083007D">
        <w:rPr>
          <w:lang w:val="en-US"/>
        </w:rPr>
        <w:t xml:space="preserve"> summarizes the variables, their interpretation, and the expected sign suggested by the literature.</w:t>
      </w:r>
    </w:p>
    <w:p w14:paraId="3492749B" w14:textId="6AB20C09" w:rsidR="00A76DB0" w:rsidRDefault="00A76DB0" w:rsidP="00350E19">
      <w:pPr>
        <w:spacing w:before="120" w:after="60"/>
        <w:rPr>
          <w:bCs/>
          <w:lang w:val="en-US"/>
        </w:rPr>
      </w:pPr>
    </w:p>
    <w:p w14:paraId="75AE761F" w14:textId="05B1F3D3" w:rsidR="00515552" w:rsidRPr="00515552" w:rsidRDefault="00515552" w:rsidP="00515552">
      <w:pPr>
        <w:pStyle w:val="Caption"/>
        <w:keepNext/>
        <w:rPr>
          <w:lang w:val="en-US"/>
        </w:rPr>
      </w:pPr>
      <w:r w:rsidRPr="00522C2F">
        <w:rPr>
          <w:lang w:val="en-US"/>
        </w:rPr>
        <w:lastRenderedPageBreak/>
        <w:t xml:space="preserve">Table </w:t>
      </w:r>
      <w:r w:rsidR="0056672D">
        <w:rPr>
          <w:lang w:val="en-US"/>
        </w:rPr>
        <w:t>3</w:t>
      </w:r>
      <w:r w:rsidRPr="00522C2F">
        <w:rPr>
          <w:lang w:val="en-US"/>
        </w:rPr>
        <w:t xml:space="preserve">: </w:t>
      </w:r>
      <w:r w:rsidR="00EE1A44" w:rsidRPr="00EE1A44">
        <w:rPr>
          <w:lang w:val="en-US"/>
        </w:rPr>
        <w:t>Variables, definitions, and expected signs</w:t>
      </w:r>
    </w:p>
    <w:tbl>
      <w:tblPr>
        <w:tblStyle w:val="TableGrid"/>
        <w:tblW w:w="0" w:type="auto"/>
        <w:jc w:val="center"/>
        <w:tblLook w:val="04A0" w:firstRow="1" w:lastRow="0" w:firstColumn="1" w:lastColumn="0" w:noHBand="0" w:noVBand="1"/>
      </w:tblPr>
      <w:tblGrid>
        <w:gridCol w:w="2926"/>
        <w:gridCol w:w="2948"/>
        <w:gridCol w:w="2913"/>
      </w:tblGrid>
      <w:tr w:rsidR="00A76DB0" w:rsidRPr="0083007D" w14:paraId="306263DD" w14:textId="77777777" w:rsidTr="00350E19">
        <w:trPr>
          <w:jc w:val="center"/>
        </w:trPr>
        <w:tc>
          <w:tcPr>
            <w:tcW w:w="2926" w:type="dxa"/>
          </w:tcPr>
          <w:p w14:paraId="71902051" w14:textId="77777777" w:rsidR="00A76DB0" w:rsidRPr="0083007D" w:rsidRDefault="00A76DB0" w:rsidP="004566CA">
            <w:pPr>
              <w:jc w:val="center"/>
            </w:pPr>
            <w:r w:rsidRPr="0083007D">
              <w:t>Variable</w:t>
            </w:r>
          </w:p>
        </w:tc>
        <w:tc>
          <w:tcPr>
            <w:tcW w:w="2948" w:type="dxa"/>
          </w:tcPr>
          <w:p w14:paraId="4134C49A" w14:textId="77777777" w:rsidR="00A76DB0" w:rsidRPr="0083007D" w:rsidRDefault="00A76DB0" w:rsidP="004566CA">
            <w:proofErr w:type="spellStart"/>
            <w:r w:rsidRPr="0083007D">
              <w:t>Definition</w:t>
            </w:r>
            <w:proofErr w:type="spellEnd"/>
          </w:p>
        </w:tc>
        <w:tc>
          <w:tcPr>
            <w:tcW w:w="2913" w:type="dxa"/>
          </w:tcPr>
          <w:p w14:paraId="2067277B" w14:textId="77777777" w:rsidR="00A76DB0" w:rsidRPr="0083007D" w:rsidRDefault="00A76DB0" w:rsidP="004566CA">
            <w:pPr>
              <w:jc w:val="center"/>
            </w:pPr>
            <w:proofErr w:type="spellStart"/>
            <w:r w:rsidRPr="0083007D">
              <w:t>Expected</w:t>
            </w:r>
            <w:proofErr w:type="spellEnd"/>
            <w:r w:rsidRPr="0083007D">
              <w:t xml:space="preserve"> </w:t>
            </w:r>
            <w:proofErr w:type="spellStart"/>
            <w:r w:rsidRPr="0083007D">
              <w:t>sign</w:t>
            </w:r>
            <w:proofErr w:type="spellEnd"/>
          </w:p>
        </w:tc>
      </w:tr>
      <w:tr w:rsidR="00A76DB0" w:rsidRPr="0083007D" w14:paraId="179FB4FB" w14:textId="77777777" w:rsidTr="00350E19">
        <w:trPr>
          <w:jc w:val="center"/>
        </w:trPr>
        <w:tc>
          <w:tcPr>
            <w:tcW w:w="2926" w:type="dxa"/>
          </w:tcPr>
          <w:p w14:paraId="499DE861" w14:textId="77777777" w:rsidR="00A76DB0" w:rsidRPr="0083007D" w:rsidRDefault="00A76DB0" w:rsidP="004566CA">
            <w:pPr>
              <w:jc w:val="center"/>
            </w:pPr>
            <w:r w:rsidRPr="0083007D">
              <w:t>VIX</w:t>
            </w:r>
          </w:p>
        </w:tc>
        <w:tc>
          <w:tcPr>
            <w:tcW w:w="2948" w:type="dxa"/>
          </w:tcPr>
          <w:p w14:paraId="49E8BBF0" w14:textId="77777777" w:rsidR="00A76DB0" w:rsidRPr="0083007D" w:rsidRDefault="00A76DB0" w:rsidP="004566CA">
            <w:r w:rsidRPr="0083007D">
              <w:t xml:space="preserve">Global </w:t>
            </w:r>
            <w:proofErr w:type="spellStart"/>
            <w:r w:rsidRPr="0083007D">
              <w:t>risk</w:t>
            </w:r>
            <w:proofErr w:type="spellEnd"/>
            <w:r w:rsidRPr="0083007D">
              <w:t xml:space="preserve"> </w:t>
            </w:r>
            <w:proofErr w:type="spellStart"/>
            <w:r w:rsidRPr="0083007D">
              <w:t>aversion</w:t>
            </w:r>
            <w:proofErr w:type="spellEnd"/>
          </w:p>
        </w:tc>
        <w:tc>
          <w:tcPr>
            <w:tcW w:w="2913" w:type="dxa"/>
          </w:tcPr>
          <w:p w14:paraId="007EB2D8" w14:textId="77777777" w:rsidR="00A76DB0" w:rsidRPr="0083007D" w:rsidRDefault="00A76DB0" w:rsidP="004566CA">
            <w:pPr>
              <w:jc w:val="center"/>
            </w:pPr>
            <w:r w:rsidRPr="0083007D">
              <w:t>+</w:t>
            </w:r>
          </w:p>
        </w:tc>
      </w:tr>
      <w:tr w:rsidR="00A76DB0" w:rsidRPr="0083007D" w14:paraId="0C63EE3D" w14:textId="77777777" w:rsidTr="00350E19">
        <w:trPr>
          <w:jc w:val="center"/>
        </w:trPr>
        <w:tc>
          <w:tcPr>
            <w:tcW w:w="2926" w:type="dxa"/>
          </w:tcPr>
          <w:p w14:paraId="64EEB09D" w14:textId="77777777" w:rsidR="00A76DB0" w:rsidRPr="0083007D" w:rsidRDefault="00A76DB0" w:rsidP="004566CA">
            <w:pPr>
              <w:jc w:val="center"/>
            </w:pPr>
            <w:r w:rsidRPr="0083007D">
              <w:t>Fed 3M Forward</w:t>
            </w:r>
          </w:p>
        </w:tc>
        <w:tc>
          <w:tcPr>
            <w:tcW w:w="2948" w:type="dxa"/>
          </w:tcPr>
          <w:p w14:paraId="33FA5B8D" w14:textId="77777777" w:rsidR="00A76DB0" w:rsidRPr="0083007D" w:rsidRDefault="00A76DB0" w:rsidP="004566CA">
            <w:proofErr w:type="spellStart"/>
            <w:r w:rsidRPr="0083007D">
              <w:t>Expected</w:t>
            </w:r>
            <w:proofErr w:type="spellEnd"/>
            <w:r w:rsidRPr="0083007D">
              <w:t xml:space="preserve"> US </w:t>
            </w:r>
            <w:proofErr w:type="spellStart"/>
            <w:r w:rsidRPr="0083007D">
              <w:t>monetary</w:t>
            </w:r>
            <w:proofErr w:type="spellEnd"/>
            <w:r w:rsidRPr="0083007D">
              <w:t xml:space="preserve"> </w:t>
            </w:r>
            <w:proofErr w:type="spellStart"/>
            <w:r w:rsidRPr="0083007D">
              <w:t>tightening</w:t>
            </w:r>
            <w:proofErr w:type="spellEnd"/>
          </w:p>
        </w:tc>
        <w:tc>
          <w:tcPr>
            <w:tcW w:w="2913" w:type="dxa"/>
          </w:tcPr>
          <w:p w14:paraId="26971095" w14:textId="77777777" w:rsidR="00A76DB0" w:rsidRPr="0083007D" w:rsidRDefault="00A76DB0" w:rsidP="004566CA">
            <w:pPr>
              <w:jc w:val="center"/>
            </w:pPr>
            <w:r w:rsidRPr="0083007D">
              <w:t>+</w:t>
            </w:r>
          </w:p>
        </w:tc>
      </w:tr>
      <w:tr w:rsidR="00A76DB0" w:rsidRPr="0083007D" w14:paraId="0437A28D" w14:textId="77777777" w:rsidTr="00350E19">
        <w:trPr>
          <w:jc w:val="center"/>
        </w:trPr>
        <w:tc>
          <w:tcPr>
            <w:tcW w:w="2926" w:type="dxa"/>
          </w:tcPr>
          <w:p w14:paraId="70B73FEC" w14:textId="77777777" w:rsidR="00A76DB0" w:rsidRPr="0083007D" w:rsidRDefault="00A76DB0" w:rsidP="004566CA">
            <w:pPr>
              <w:jc w:val="center"/>
            </w:pPr>
            <w:r w:rsidRPr="0083007D">
              <w:t>USD/BRL</w:t>
            </w:r>
          </w:p>
        </w:tc>
        <w:tc>
          <w:tcPr>
            <w:tcW w:w="2948" w:type="dxa"/>
          </w:tcPr>
          <w:p w14:paraId="411C2F8E" w14:textId="77777777" w:rsidR="00A76DB0" w:rsidRPr="0083007D" w:rsidRDefault="00A76DB0" w:rsidP="004566CA">
            <w:r w:rsidRPr="0083007D">
              <w:t>Exchange-</w:t>
            </w:r>
            <w:proofErr w:type="spellStart"/>
            <w:r w:rsidRPr="0083007D">
              <w:t>rate</w:t>
            </w:r>
            <w:proofErr w:type="spellEnd"/>
            <w:r w:rsidRPr="0083007D">
              <w:t xml:space="preserve"> </w:t>
            </w:r>
            <w:proofErr w:type="spellStart"/>
            <w:r w:rsidRPr="0083007D">
              <w:t>depreciation</w:t>
            </w:r>
            <w:proofErr w:type="spellEnd"/>
          </w:p>
        </w:tc>
        <w:tc>
          <w:tcPr>
            <w:tcW w:w="2913" w:type="dxa"/>
          </w:tcPr>
          <w:p w14:paraId="715926EF" w14:textId="77777777" w:rsidR="00A76DB0" w:rsidRPr="0083007D" w:rsidRDefault="00A76DB0" w:rsidP="004566CA">
            <w:pPr>
              <w:jc w:val="center"/>
            </w:pPr>
            <w:r w:rsidRPr="0083007D">
              <w:t>+</w:t>
            </w:r>
          </w:p>
        </w:tc>
      </w:tr>
      <w:tr w:rsidR="00A76DB0" w:rsidRPr="0083007D" w14:paraId="3D391F29" w14:textId="77777777" w:rsidTr="00350E19">
        <w:trPr>
          <w:jc w:val="center"/>
        </w:trPr>
        <w:tc>
          <w:tcPr>
            <w:tcW w:w="2926" w:type="dxa"/>
          </w:tcPr>
          <w:p w14:paraId="6563BB49" w14:textId="77777777" w:rsidR="00A76DB0" w:rsidRPr="0083007D" w:rsidRDefault="00A76DB0" w:rsidP="004566CA">
            <w:pPr>
              <w:jc w:val="center"/>
            </w:pPr>
            <w:r w:rsidRPr="0083007D">
              <w:t xml:space="preserve">GDP </w:t>
            </w:r>
            <w:proofErr w:type="spellStart"/>
            <w:r w:rsidRPr="0083007D">
              <w:t>growth</w:t>
            </w:r>
            <w:proofErr w:type="spellEnd"/>
            <w:r w:rsidRPr="0083007D">
              <w:t xml:space="preserve"> (YoY)</w:t>
            </w:r>
          </w:p>
        </w:tc>
        <w:tc>
          <w:tcPr>
            <w:tcW w:w="2948" w:type="dxa"/>
          </w:tcPr>
          <w:p w14:paraId="3E14C4F9" w14:textId="77777777" w:rsidR="00A76DB0" w:rsidRPr="0083007D" w:rsidRDefault="00A76DB0" w:rsidP="004566CA">
            <w:proofErr w:type="spellStart"/>
            <w:r w:rsidRPr="0083007D">
              <w:t>Domestic</w:t>
            </w:r>
            <w:proofErr w:type="spellEnd"/>
            <w:r w:rsidRPr="0083007D">
              <w:t xml:space="preserve"> </w:t>
            </w:r>
            <w:proofErr w:type="spellStart"/>
            <w:r w:rsidRPr="0083007D">
              <w:t>economic</w:t>
            </w:r>
            <w:proofErr w:type="spellEnd"/>
            <w:r w:rsidRPr="0083007D">
              <w:t xml:space="preserve"> </w:t>
            </w:r>
            <w:proofErr w:type="spellStart"/>
            <w:r w:rsidRPr="0083007D">
              <w:t>activity</w:t>
            </w:r>
            <w:proofErr w:type="spellEnd"/>
          </w:p>
        </w:tc>
        <w:tc>
          <w:tcPr>
            <w:tcW w:w="2913" w:type="dxa"/>
          </w:tcPr>
          <w:p w14:paraId="3DD55C0C" w14:textId="77777777" w:rsidR="00A76DB0" w:rsidRPr="0083007D" w:rsidRDefault="00A76DB0" w:rsidP="004566CA">
            <w:pPr>
              <w:jc w:val="center"/>
            </w:pPr>
            <w:r w:rsidRPr="0083007D">
              <w:t>-</w:t>
            </w:r>
          </w:p>
        </w:tc>
      </w:tr>
      <w:tr w:rsidR="00A76DB0" w:rsidRPr="0083007D" w14:paraId="34D03A2C" w14:textId="77777777" w:rsidTr="00350E19">
        <w:trPr>
          <w:jc w:val="center"/>
        </w:trPr>
        <w:tc>
          <w:tcPr>
            <w:tcW w:w="2926" w:type="dxa"/>
          </w:tcPr>
          <w:p w14:paraId="536D49D3" w14:textId="77777777" w:rsidR="00A76DB0" w:rsidRPr="0083007D" w:rsidRDefault="00A76DB0" w:rsidP="004566CA">
            <w:pPr>
              <w:jc w:val="center"/>
            </w:pPr>
            <w:r w:rsidRPr="0083007D">
              <w:t xml:space="preserve">Public </w:t>
            </w:r>
            <w:proofErr w:type="spellStart"/>
            <w:r w:rsidRPr="0083007D">
              <w:t>debt</w:t>
            </w:r>
            <w:proofErr w:type="spellEnd"/>
            <w:r w:rsidRPr="0083007D">
              <w:t xml:space="preserve"> / GDP</w:t>
            </w:r>
          </w:p>
        </w:tc>
        <w:tc>
          <w:tcPr>
            <w:tcW w:w="2948" w:type="dxa"/>
          </w:tcPr>
          <w:p w14:paraId="22B60D01" w14:textId="77777777" w:rsidR="00A76DB0" w:rsidRPr="0083007D" w:rsidRDefault="00A76DB0" w:rsidP="004566CA">
            <w:r w:rsidRPr="0083007D">
              <w:t xml:space="preserve">Fiscal </w:t>
            </w:r>
            <w:proofErr w:type="spellStart"/>
            <w:r w:rsidRPr="0083007D">
              <w:t>vulnerability</w:t>
            </w:r>
            <w:proofErr w:type="spellEnd"/>
          </w:p>
        </w:tc>
        <w:tc>
          <w:tcPr>
            <w:tcW w:w="2913" w:type="dxa"/>
          </w:tcPr>
          <w:p w14:paraId="3D1DA1AD" w14:textId="77777777" w:rsidR="00A76DB0" w:rsidRPr="0083007D" w:rsidRDefault="00A76DB0" w:rsidP="004566CA">
            <w:pPr>
              <w:jc w:val="center"/>
            </w:pPr>
            <w:r w:rsidRPr="0083007D">
              <w:t>+</w:t>
            </w:r>
          </w:p>
        </w:tc>
      </w:tr>
      <w:tr w:rsidR="00A76DB0" w:rsidRPr="0083007D" w14:paraId="0DCC8987" w14:textId="77777777" w:rsidTr="00350E19">
        <w:trPr>
          <w:jc w:val="center"/>
        </w:trPr>
        <w:tc>
          <w:tcPr>
            <w:tcW w:w="2926" w:type="dxa"/>
          </w:tcPr>
          <w:p w14:paraId="33547909" w14:textId="77777777" w:rsidR="00A76DB0" w:rsidRPr="0083007D" w:rsidRDefault="00A76DB0" w:rsidP="004566CA">
            <w:pPr>
              <w:jc w:val="center"/>
            </w:pPr>
            <w:proofErr w:type="spellStart"/>
            <w:r w:rsidRPr="0083007D">
              <w:t>Synthetic</w:t>
            </w:r>
            <w:proofErr w:type="spellEnd"/>
            <w:r w:rsidRPr="0083007D">
              <w:t xml:space="preserve"> </w:t>
            </w:r>
            <w:proofErr w:type="spellStart"/>
            <w:r w:rsidRPr="0083007D">
              <w:t>sovereign</w:t>
            </w:r>
            <w:proofErr w:type="spellEnd"/>
            <w:r w:rsidRPr="0083007D">
              <w:t xml:space="preserve"> </w:t>
            </w:r>
            <w:proofErr w:type="spellStart"/>
            <w:r w:rsidRPr="0083007D">
              <w:t>risk</w:t>
            </w:r>
            <w:proofErr w:type="spellEnd"/>
            <w:r w:rsidRPr="0083007D">
              <w:t xml:space="preserve"> (BRL)</w:t>
            </w:r>
          </w:p>
        </w:tc>
        <w:tc>
          <w:tcPr>
            <w:tcW w:w="2948" w:type="dxa"/>
          </w:tcPr>
          <w:p w14:paraId="4AB419F2" w14:textId="77777777" w:rsidR="00A76DB0" w:rsidRPr="0083007D" w:rsidRDefault="00A76DB0" w:rsidP="004566CA">
            <w:pPr>
              <w:rPr>
                <w:lang w:val="en-US"/>
              </w:rPr>
            </w:pPr>
            <w:r w:rsidRPr="0083007D">
              <w:rPr>
                <w:lang w:val="en-US"/>
              </w:rPr>
              <w:t>Local-currency sovereign spread proxy</w:t>
            </w:r>
          </w:p>
        </w:tc>
        <w:tc>
          <w:tcPr>
            <w:tcW w:w="2913" w:type="dxa"/>
          </w:tcPr>
          <w:p w14:paraId="7A544448" w14:textId="77777777" w:rsidR="00A76DB0" w:rsidRPr="0083007D" w:rsidRDefault="00A76DB0" w:rsidP="004566CA">
            <w:pPr>
              <w:jc w:val="center"/>
            </w:pPr>
            <w:r w:rsidRPr="0083007D">
              <w:t>+</w:t>
            </w:r>
          </w:p>
        </w:tc>
      </w:tr>
      <w:tr w:rsidR="00A76DB0" w:rsidRPr="0083007D" w14:paraId="20419588" w14:textId="77777777" w:rsidTr="00350E19">
        <w:trPr>
          <w:jc w:val="center"/>
        </w:trPr>
        <w:tc>
          <w:tcPr>
            <w:tcW w:w="2926" w:type="dxa"/>
          </w:tcPr>
          <w:p w14:paraId="7AC4ADD2" w14:textId="77777777" w:rsidR="00A76DB0" w:rsidRPr="0083007D" w:rsidRDefault="00A76DB0" w:rsidP="004566CA">
            <w:pPr>
              <w:jc w:val="center"/>
            </w:pPr>
            <w:proofErr w:type="spellStart"/>
            <w:r w:rsidRPr="0083007D">
              <w:t>Amount</w:t>
            </w:r>
            <w:proofErr w:type="spellEnd"/>
            <w:r w:rsidRPr="0083007D">
              <w:t xml:space="preserve"> </w:t>
            </w:r>
            <w:proofErr w:type="spellStart"/>
            <w:r w:rsidRPr="0083007D">
              <w:t>issued</w:t>
            </w:r>
            <w:proofErr w:type="spellEnd"/>
            <w:r w:rsidRPr="0083007D">
              <w:t xml:space="preserve"> / </w:t>
            </w:r>
            <w:proofErr w:type="spellStart"/>
            <w:r w:rsidRPr="0083007D">
              <w:t>assets</w:t>
            </w:r>
            <w:proofErr w:type="spellEnd"/>
          </w:p>
        </w:tc>
        <w:tc>
          <w:tcPr>
            <w:tcW w:w="2948" w:type="dxa"/>
          </w:tcPr>
          <w:p w14:paraId="664D50D1" w14:textId="77777777" w:rsidR="00A76DB0" w:rsidRPr="0083007D" w:rsidRDefault="00A76DB0" w:rsidP="004566CA">
            <w:pPr>
              <w:rPr>
                <w:lang w:val="en-US"/>
              </w:rPr>
            </w:pPr>
            <w:r w:rsidRPr="0083007D">
              <w:rPr>
                <w:lang w:val="en-US"/>
              </w:rPr>
              <w:t>Relative issue size and liquidity</w:t>
            </w:r>
          </w:p>
        </w:tc>
        <w:tc>
          <w:tcPr>
            <w:tcW w:w="2913" w:type="dxa"/>
          </w:tcPr>
          <w:p w14:paraId="3F2241C2" w14:textId="77777777" w:rsidR="00A76DB0" w:rsidRPr="0083007D" w:rsidRDefault="00A76DB0" w:rsidP="004566CA">
            <w:pPr>
              <w:jc w:val="center"/>
            </w:pPr>
            <w:r w:rsidRPr="0083007D">
              <w:t>-</w:t>
            </w:r>
          </w:p>
        </w:tc>
      </w:tr>
      <w:tr w:rsidR="00A76DB0" w:rsidRPr="0083007D" w14:paraId="771E21F8" w14:textId="77777777" w:rsidTr="00350E19">
        <w:trPr>
          <w:jc w:val="center"/>
        </w:trPr>
        <w:tc>
          <w:tcPr>
            <w:tcW w:w="2926" w:type="dxa"/>
          </w:tcPr>
          <w:p w14:paraId="0F124505" w14:textId="77777777" w:rsidR="00A76DB0" w:rsidRPr="0083007D" w:rsidRDefault="00A76DB0" w:rsidP="004566CA">
            <w:pPr>
              <w:jc w:val="center"/>
            </w:pPr>
            <w:r w:rsidRPr="0083007D">
              <w:t xml:space="preserve">Cash </w:t>
            </w:r>
            <w:proofErr w:type="spellStart"/>
            <w:r w:rsidRPr="0083007D">
              <w:t>flow</w:t>
            </w:r>
            <w:proofErr w:type="spellEnd"/>
            <w:r w:rsidRPr="0083007D">
              <w:t xml:space="preserve"> / </w:t>
            </w:r>
            <w:proofErr w:type="spellStart"/>
            <w:r w:rsidRPr="0083007D">
              <w:t>assets</w:t>
            </w:r>
            <w:proofErr w:type="spellEnd"/>
          </w:p>
        </w:tc>
        <w:tc>
          <w:tcPr>
            <w:tcW w:w="2948" w:type="dxa"/>
          </w:tcPr>
          <w:p w14:paraId="4AEE96A6" w14:textId="77777777" w:rsidR="00A76DB0" w:rsidRPr="0083007D" w:rsidRDefault="00A76DB0" w:rsidP="004566CA">
            <w:proofErr w:type="spellStart"/>
            <w:r w:rsidRPr="0083007D">
              <w:t>Operating</w:t>
            </w:r>
            <w:proofErr w:type="spellEnd"/>
            <w:r w:rsidRPr="0083007D">
              <w:t xml:space="preserve"> </w:t>
            </w:r>
            <w:proofErr w:type="spellStart"/>
            <w:r w:rsidRPr="0083007D">
              <w:t>liquidity</w:t>
            </w:r>
            <w:proofErr w:type="spellEnd"/>
          </w:p>
        </w:tc>
        <w:tc>
          <w:tcPr>
            <w:tcW w:w="2913" w:type="dxa"/>
          </w:tcPr>
          <w:p w14:paraId="3E16433C" w14:textId="77777777" w:rsidR="00A76DB0" w:rsidRPr="0083007D" w:rsidRDefault="00A76DB0" w:rsidP="004566CA">
            <w:pPr>
              <w:jc w:val="center"/>
            </w:pPr>
            <w:r w:rsidRPr="0083007D">
              <w:t>-</w:t>
            </w:r>
          </w:p>
        </w:tc>
      </w:tr>
      <w:tr w:rsidR="00A76DB0" w:rsidRPr="0083007D" w14:paraId="00B4334E" w14:textId="77777777" w:rsidTr="00350E19">
        <w:trPr>
          <w:jc w:val="center"/>
        </w:trPr>
        <w:tc>
          <w:tcPr>
            <w:tcW w:w="2926" w:type="dxa"/>
          </w:tcPr>
          <w:p w14:paraId="5A0A2ABE" w14:textId="77777777" w:rsidR="00A76DB0" w:rsidRPr="0083007D" w:rsidRDefault="00A76DB0" w:rsidP="004566CA">
            <w:pPr>
              <w:jc w:val="center"/>
            </w:pPr>
            <w:proofErr w:type="spellStart"/>
            <w:r w:rsidRPr="0083007D">
              <w:t>Debt</w:t>
            </w:r>
            <w:proofErr w:type="spellEnd"/>
            <w:r w:rsidRPr="0083007D">
              <w:t xml:space="preserve"> / EBITDA</w:t>
            </w:r>
          </w:p>
        </w:tc>
        <w:tc>
          <w:tcPr>
            <w:tcW w:w="2948" w:type="dxa"/>
          </w:tcPr>
          <w:p w14:paraId="53169A68" w14:textId="77777777" w:rsidR="00A76DB0" w:rsidRPr="0083007D" w:rsidRDefault="00A76DB0" w:rsidP="004566CA">
            <w:proofErr w:type="spellStart"/>
            <w:r w:rsidRPr="0083007D">
              <w:t>Leverage</w:t>
            </w:r>
            <w:proofErr w:type="spellEnd"/>
          </w:p>
        </w:tc>
        <w:tc>
          <w:tcPr>
            <w:tcW w:w="2913" w:type="dxa"/>
          </w:tcPr>
          <w:p w14:paraId="252E6A64" w14:textId="77777777" w:rsidR="00A76DB0" w:rsidRPr="0083007D" w:rsidRDefault="00A76DB0" w:rsidP="004566CA">
            <w:pPr>
              <w:jc w:val="center"/>
            </w:pPr>
            <w:r w:rsidRPr="0083007D">
              <w:t>+</w:t>
            </w:r>
          </w:p>
        </w:tc>
      </w:tr>
      <w:tr w:rsidR="00A76DB0" w:rsidRPr="0083007D" w14:paraId="2A84E95F" w14:textId="77777777" w:rsidTr="00350E19">
        <w:trPr>
          <w:jc w:val="center"/>
        </w:trPr>
        <w:tc>
          <w:tcPr>
            <w:tcW w:w="2926" w:type="dxa"/>
          </w:tcPr>
          <w:p w14:paraId="1C20FAEC" w14:textId="77777777" w:rsidR="00A76DB0" w:rsidRPr="0083007D" w:rsidRDefault="00A76DB0" w:rsidP="004566CA">
            <w:pPr>
              <w:jc w:val="center"/>
            </w:pPr>
            <w:r w:rsidRPr="0083007D">
              <w:t xml:space="preserve">Residual </w:t>
            </w:r>
            <w:proofErr w:type="spellStart"/>
            <w:r w:rsidRPr="0083007D">
              <w:t>maturity</w:t>
            </w:r>
            <w:proofErr w:type="spellEnd"/>
          </w:p>
        </w:tc>
        <w:tc>
          <w:tcPr>
            <w:tcW w:w="2948" w:type="dxa"/>
          </w:tcPr>
          <w:p w14:paraId="3847036E" w14:textId="77777777" w:rsidR="00A76DB0" w:rsidRPr="0083007D" w:rsidRDefault="00A76DB0" w:rsidP="004566CA">
            <w:r w:rsidRPr="0083007D">
              <w:t xml:space="preserve">Time </w:t>
            </w:r>
            <w:proofErr w:type="spellStart"/>
            <w:r w:rsidRPr="0083007D">
              <w:t>to</w:t>
            </w:r>
            <w:proofErr w:type="spellEnd"/>
            <w:r w:rsidRPr="0083007D">
              <w:t xml:space="preserve"> </w:t>
            </w:r>
            <w:proofErr w:type="spellStart"/>
            <w:r w:rsidRPr="0083007D">
              <w:t>maturity</w:t>
            </w:r>
            <w:proofErr w:type="spellEnd"/>
          </w:p>
        </w:tc>
        <w:tc>
          <w:tcPr>
            <w:tcW w:w="2913" w:type="dxa"/>
          </w:tcPr>
          <w:p w14:paraId="175B742F" w14:textId="77777777" w:rsidR="00A76DB0" w:rsidRPr="0083007D" w:rsidRDefault="00A76DB0" w:rsidP="004566CA">
            <w:pPr>
              <w:jc w:val="center"/>
            </w:pPr>
            <w:r w:rsidRPr="0083007D">
              <w:t>+/-</w:t>
            </w:r>
          </w:p>
        </w:tc>
      </w:tr>
      <w:tr w:rsidR="00775DD6" w:rsidRPr="00775DD6" w14:paraId="1EC7C1C3" w14:textId="77777777" w:rsidTr="00350E19">
        <w:trPr>
          <w:jc w:val="center"/>
        </w:trPr>
        <w:tc>
          <w:tcPr>
            <w:tcW w:w="2926" w:type="dxa"/>
          </w:tcPr>
          <w:p w14:paraId="50D69889" w14:textId="6C0EB410" w:rsidR="00775DD6" w:rsidRPr="0083007D" w:rsidRDefault="00775DD6" w:rsidP="004566CA">
            <w:pPr>
              <w:jc w:val="center"/>
            </w:pPr>
            <w:r>
              <w:t>Real Fed 3M (</w:t>
            </w:r>
            <w:proofErr w:type="spellStart"/>
            <w:r>
              <w:t>robustness</w:t>
            </w:r>
            <w:proofErr w:type="spellEnd"/>
            <w:r>
              <w:t>)</w:t>
            </w:r>
          </w:p>
        </w:tc>
        <w:tc>
          <w:tcPr>
            <w:tcW w:w="2948" w:type="dxa"/>
          </w:tcPr>
          <w:p w14:paraId="53A6932A" w14:textId="5C3A678D" w:rsidR="00775DD6" w:rsidRPr="00775DD6" w:rsidRDefault="00775DD6" w:rsidP="004566CA">
            <w:pPr>
              <w:rPr>
                <w:lang w:val="en-US"/>
              </w:rPr>
            </w:pPr>
            <w:r w:rsidRPr="00775DD6">
              <w:rPr>
                <w:lang w:val="en-US"/>
              </w:rPr>
              <w:t>Fed 3M Forward minus U</w:t>
            </w:r>
            <w:r>
              <w:rPr>
                <w:lang w:val="en-US"/>
              </w:rPr>
              <w:t>S CPI YoY</w:t>
            </w:r>
          </w:p>
        </w:tc>
        <w:tc>
          <w:tcPr>
            <w:tcW w:w="2913" w:type="dxa"/>
          </w:tcPr>
          <w:p w14:paraId="38689277" w14:textId="47A37F6D" w:rsidR="00775DD6" w:rsidRPr="00775DD6" w:rsidRDefault="00775DD6" w:rsidP="004566CA">
            <w:pPr>
              <w:jc w:val="center"/>
              <w:rPr>
                <w:lang w:val="en-US"/>
              </w:rPr>
            </w:pPr>
            <w:r>
              <w:rPr>
                <w:lang w:val="en-US"/>
              </w:rPr>
              <w:t>+</w:t>
            </w:r>
          </w:p>
        </w:tc>
      </w:tr>
      <w:tr w:rsidR="00775DD6" w:rsidRPr="00775DD6" w14:paraId="772CFC33" w14:textId="77777777" w:rsidTr="00350E19">
        <w:trPr>
          <w:jc w:val="center"/>
        </w:trPr>
        <w:tc>
          <w:tcPr>
            <w:tcW w:w="2926" w:type="dxa"/>
          </w:tcPr>
          <w:p w14:paraId="78FD1B10" w14:textId="436663FF" w:rsidR="00775DD6" w:rsidRPr="00775DD6" w:rsidRDefault="00775DD6" w:rsidP="004566CA">
            <w:pPr>
              <w:jc w:val="center"/>
              <w:rPr>
                <w:lang w:val="en-US"/>
              </w:rPr>
            </w:pPr>
            <w:r>
              <w:rPr>
                <w:lang w:val="en-US"/>
              </w:rPr>
              <w:t>Real USD/BRL (robustness)</w:t>
            </w:r>
          </w:p>
        </w:tc>
        <w:tc>
          <w:tcPr>
            <w:tcW w:w="2948" w:type="dxa"/>
          </w:tcPr>
          <w:p w14:paraId="21043DB5" w14:textId="53FAB844" w:rsidR="00775DD6" w:rsidRPr="00775DD6" w:rsidRDefault="00775DD6" w:rsidP="004566CA">
            <w:pPr>
              <w:rPr>
                <w:lang w:val="en-US"/>
              </w:rPr>
            </w:pPr>
            <w:r>
              <w:rPr>
                <w:lang w:val="en-US"/>
              </w:rPr>
              <w:t>Bilateral real USD/BRL index; increase = real depreciation</w:t>
            </w:r>
          </w:p>
        </w:tc>
        <w:tc>
          <w:tcPr>
            <w:tcW w:w="2913" w:type="dxa"/>
          </w:tcPr>
          <w:p w14:paraId="3AC01D33" w14:textId="547BD9A0" w:rsidR="00775DD6" w:rsidRPr="00775DD6" w:rsidRDefault="00775DD6" w:rsidP="004566CA">
            <w:pPr>
              <w:jc w:val="center"/>
              <w:rPr>
                <w:lang w:val="en-US"/>
              </w:rPr>
            </w:pPr>
            <w:r>
              <w:rPr>
                <w:lang w:val="en-US"/>
              </w:rPr>
              <w:t>+</w:t>
            </w:r>
          </w:p>
        </w:tc>
      </w:tr>
    </w:tbl>
    <w:p w14:paraId="15658D83" w14:textId="767D59B5" w:rsidR="00350E19" w:rsidRPr="00A36E81" w:rsidRDefault="00350E19" w:rsidP="00350E19">
      <w:pPr>
        <w:jc w:val="both"/>
        <w:rPr>
          <w:i/>
          <w:iCs/>
          <w:color w:val="1F497D" w:themeColor="text2"/>
          <w:sz w:val="18"/>
          <w:szCs w:val="18"/>
          <w:lang w:val="en-US"/>
        </w:rPr>
      </w:pPr>
      <w:r w:rsidRPr="00350E19">
        <w:rPr>
          <w:i/>
          <w:iCs/>
          <w:color w:val="1F497D" w:themeColor="text2"/>
          <w:sz w:val="18"/>
          <w:szCs w:val="18"/>
          <w:lang w:val="en-US"/>
        </w:rPr>
        <w:t>Notes: Expected signs follow the hypotheses developed from the structural-credit, sovereign-risk, and global-factor literatures</w:t>
      </w:r>
      <w:r w:rsidRPr="00A36E81">
        <w:rPr>
          <w:i/>
          <w:iCs/>
          <w:color w:val="1F497D" w:themeColor="text2"/>
          <w:sz w:val="18"/>
          <w:szCs w:val="18"/>
          <w:lang w:val="en-US"/>
        </w:rPr>
        <w:t>.</w:t>
      </w:r>
    </w:p>
    <w:p w14:paraId="7C705AB4" w14:textId="77777777" w:rsidR="00A76DB0" w:rsidRPr="00BB6037" w:rsidRDefault="00A76DB0" w:rsidP="00BB6037">
      <w:pPr>
        <w:ind w:firstLine="709"/>
        <w:jc w:val="both"/>
        <w:rPr>
          <w:bCs/>
          <w:lang w:val="en-US" w:eastAsia="es-ES"/>
        </w:rPr>
      </w:pPr>
    </w:p>
    <w:p w14:paraId="6A6C6C42" w14:textId="77777777" w:rsidR="00873255" w:rsidRPr="00BB6037" w:rsidRDefault="00873255" w:rsidP="0064035A">
      <w:pPr>
        <w:jc w:val="both"/>
        <w:rPr>
          <w:lang w:val="en-US"/>
        </w:rPr>
      </w:pPr>
    </w:p>
    <w:p w14:paraId="14EFC1F9" w14:textId="0949831F" w:rsidR="00DC47CA" w:rsidRPr="00CA38ED" w:rsidRDefault="0051083B" w:rsidP="00DC47CA">
      <w:pPr>
        <w:pStyle w:val="Heading2"/>
      </w:pPr>
      <w:bookmarkStart w:id="10" w:name="_Toc232189543"/>
      <w:proofErr w:type="spellStart"/>
      <w:r w:rsidRPr="0051083B">
        <w:t>Econometric</w:t>
      </w:r>
      <w:proofErr w:type="spellEnd"/>
      <w:r w:rsidRPr="0051083B">
        <w:t xml:space="preserve"> </w:t>
      </w:r>
      <w:proofErr w:type="spellStart"/>
      <w:r w:rsidRPr="0051083B">
        <w:t>specification</w:t>
      </w:r>
      <w:bookmarkEnd w:id="10"/>
      <w:proofErr w:type="spellEnd"/>
    </w:p>
    <w:p w14:paraId="69F9D6BC" w14:textId="77777777" w:rsidR="00F13B85" w:rsidRPr="00CA38ED" w:rsidRDefault="00F13B85" w:rsidP="00F13B85"/>
    <w:p w14:paraId="21D8272C" w14:textId="797C231D" w:rsidR="00A5162A" w:rsidRDefault="00A5162A" w:rsidP="00A5162A">
      <w:pPr>
        <w:ind w:firstLine="709"/>
        <w:jc w:val="both"/>
        <w:rPr>
          <w:bCs/>
          <w:lang w:val="en-US" w:eastAsia="es-ES"/>
        </w:rPr>
      </w:pPr>
      <w:r w:rsidRPr="00A5162A">
        <w:rPr>
          <w:bCs/>
          <w:lang w:val="en-US" w:eastAsia="es-ES"/>
        </w:rPr>
        <w:t>The baseline empirical specification is a static panel model with bond fixed effects:</w:t>
      </w:r>
    </w:p>
    <w:p w14:paraId="79F7DDAD" w14:textId="77777777" w:rsidR="00AD1347" w:rsidRPr="00AE2805" w:rsidRDefault="00AD1347" w:rsidP="00AD1347">
      <w:pPr>
        <w:jc w:val="both"/>
        <w:rPr>
          <w:lang w:val="en-US"/>
        </w:rPr>
      </w:pPr>
    </w:p>
    <w:p w14:paraId="35002AA9" w14:textId="77777777" w:rsidR="00AD1347" w:rsidRPr="00CA38ED" w:rsidRDefault="00AD1347" w:rsidP="00AD1347">
      <w:pPr>
        <w:jc w:val="both"/>
        <w:rPr>
          <w:lang w:val="en-US"/>
        </w:rPr>
      </w:pPr>
      <w:proofErr w:type="spellStart"/>
      <m:oMathPara>
        <m:oMath>
          <m:r>
            <m:rPr>
              <m:nor/>
            </m:rPr>
            <w:rPr>
              <w:lang w:val="en-US"/>
            </w:rPr>
            <m:t>sprea</m:t>
          </m:r>
          <w:proofErr w:type="spellEnd"/>
          <m:sSub>
            <m:sSubPr>
              <m:ctrlPr>
                <w:rPr>
                  <w:rFonts w:ascii="Cambria Math" w:hAnsi="Cambria Math"/>
                </w:rPr>
              </m:ctrlPr>
            </m:sSubPr>
            <m:e>
              <m:r>
                <m:rPr>
                  <m:nor/>
                </m:rPr>
                <w:rPr>
                  <w:lang w:val="en-US"/>
                </w:rPr>
                <m:t>d</m:t>
              </m:r>
            </m:e>
            <m:sub>
              <w:proofErr w:type="spellStart"/>
              <m:r>
                <m:rPr>
                  <m:nor/>
                </m:rPr>
                <w:rPr>
                  <w:lang w:val="en-US"/>
                </w:rPr>
                <m:t>i,t</m:t>
              </m:r>
              <w:proofErr w:type="spellEnd"/>
            </m:sub>
          </m:sSub>
          <m:r>
            <w:rPr>
              <w:rFonts w:ascii="Cambria Math"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1</m:t>
              </m:r>
            </m:sub>
          </m:sSub>
          <m:r>
            <w:rPr>
              <w:rFonts w:ascii="Cambria Math" w:hAnsi="Cambria Math"/>
              <w:lang w:val="en-US"/>
            </w:rPr>
            <m:t> </m:t>
          </m:r>
          <m:r>
            <m:rPr>
              <m:nor/>
            </m:rPr>
            <w:rPr>
              <w:lang w:val="en-US"/>
            </w:rPr>
            <m:t>vi</m:t>
          </m:r>
          <m:sSub>
            <m:sSubPr>
              <m:ctrlPr>
                <w:rPr>
                  <w:rFonts w:ascii="Cambria Math" w:hAnsi="Cambria Math"/>
                </w:rPr>
              </m:ctrlPr>
            </m:sSubPr>
            <m:e>
              <m:r>
                <m:rPr>
                  <m:nor/>
                </m:rPr>
                <w:rPr>
                  <w:lang w:val="en-US"/>
                </w:rPr>
                <m:t>x</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2</m:t>
              </m:r>
            </m:sub>
          </m:sSub>
          <m:r>
            <w:rPr>
              <w:rFonts w:ascii="Cambria Math" w:hAnsi="Cambria Math"/>
              <w:lang w:val="en-US"/>
            </w:rPr>
            <m:t> </m:t>
          </m:r>
          <m:r>
            <m:rPr>
              <m:nor/>
            </m:rPr>
            <w:rPr>
              <w:lang w:val="en-US"/>
            </w:rPr>
            <m:t>fed3</m:t>
          </m:r>
          <m:sSub>
            <m:sSubPr>
              <m:ctrlPr>
                <w:rPr>
                  <w:rFonts w:ascii="Cambria Math" w:hAnsi="Cambria Math"/>
                </w:rPr>
              </m:ctrlPr>
            </m:sSubPr>
            <m:e>
              <m:r>
                <m:rPr>
                  <m:nor/>
                </m:rPr>
                <w:rPr>
                  <w:lang w:val="en-US"/>
                </w:rPr>
                <m:t>m</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3</m:t>
              </m:r>
            </m:sub>
          </m:sSub>
          <m:r>
            <w:rPr>
              <w:rFonts w:ascii="Cambria Math" w:hAnsi="Cambria Math"/>
              <w:lang w:val="en-US"/>
            </w:rPr>
            <m:t> </m:t>
          </m:r>
          <m:r>
            <m:rPr>
              <m:nor/>
            </m:rPr>
            <w:rPr>
              <w:lang w:val="en-US"/>
            </w:rPr>
            <m:t>usdbr</m:t>
          </m:r>
          <m:sSub>
            <m:sSubPr>
              <m:ctrlPr>
                <w:rPr>
                  <w:rFonts w:ascii="Cambria Math" w:hAnsi="Cambria Math"/>
                </w:rPr>
              </m:ctrlPr>
            </m:sSubPr>
            <m:e>
              <m:r>
                <m:rPr>
                  <m:nor/>
                </m:rPr>
                <w:rPr>
                  <w:lang w:val="en-US"/>
                </w:rPr>
                <m:t>l</m:t>
              </m:r>
            </m:e>
            <m:sub>
              <m:r>
                <m:rPr>
                  <m:nor/>
                </m:rPr>
                <w:rPr>
                  <w:lang w:val="en-US"/>
                </w:rPr>
                <m:t>t</m:t>
              </m:r>
            </m:sub>
          </m:sSub>
          <m:r>
            <w:rPr>
              <w:rFonts w:ascii="Cambria Math" w:hAnsi="Cambria Math"/>
              <w:lang w:val="en-US"/>
            </w:rPr>
            <m:t>+</m:t>
          </m:r>
        </m:oMath>
      </m:oMathPara>
    </w:p>
    <w:p w14:paraId="62717620" w14:textId="77777777" w:rsidR="00AD1347" w:rsidRPr="00CA38ED" w:rsidRDefault="00F224C9"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4</m:t>
              </m:r>
            </m:sub>
          </m:sSub>
          <m:r>
            <w:rPr>
              <w:rFonts w:ascii="Cambria Math" w:hAnsi="Cambria Math"/>
              <w:lang w:val="en-US"/>
            </w:rPr>
            <m:t> </m:t>
          </m:r>
          <m:r>
            <m:rPr>
              <m:nor/>
            </m:rPr>
            <w:rPr>
              <w:lang w:val="en-US"/>
            </w:rPr>
            <m:t>gd</m:t>
          </m:r>
          <m:sSub>
            <m:sSubPr>
              <m:ctrlPr>
                <w:rPr>
                  <w:rFonts w:ascii="Cambria Math" w:hAnsi="Cambria Math"/>
                </w:rPr>
              </m:ctrlPr>
            </m:sSubPr>
            <m:e>
              <m:r>
                <m:rPr>
                  <m:nor/>
                </m:rPr>
                <w:rPr>
                  <w:lang w:val="en-US"/>
                </w:rPr>
                <m:t>p</m:t>
              </m:r>
            </m:e>
            <m:sub>
              <m:r>
                <m:rPr>
                  <m:nor/>
                </m:rPr>
                <w:rPr>
                  <w:lang w:val="en-US"/>
                </w:rPr>
                <m:t>yoy,t</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lang w:val="en-US"/>
                </w:rPr>
                <m:t>5</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gdp,t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6</m:t>
              </m:r>
            </m:sub>
          </m:sSub>
          <m:r>
            <w:rPr>
              <w:rFonts w:ascii="Cambria Math" w:hAnsi="Cambria Math"/>
              <w:lang w:val="en-US"/>
            </w:rPr>
            <m:t> </m:t>
          </m:r>
          <m:r>
            <m:rPr>
              <m:nor/>
            </m:rPr>
            <w:rPr>
              <w:lang w:val="en-US"/>
            </w:rPr>
            <m:t>cf</m:t>
          </m:r>
          <m:sSub>
            <m:sSubPr>
              <m:ctrlPr>
                <w:rPr>
                  <w:rFonts w:ascii="Cambria Math" w:hAnsi="Cambria Math"/>
                </w:rPr>
              </m:ctrlPr>
            </m:sSubPr>
            <m:e>
              <m:r>
                <m:rPr>
                  <m:nor/>
                </m:rPr>
                <w:rPr>
                  <w:lang w:val="en-US"/>
                </w:rPr>
                <m:t>o</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7</m:t>
              </m:r>
            </m:sub>
          </m:sSub>
          <m:r>
            <w:rPr>
              <w:rFonts w:ascii="Cambria Math" w:hAnsi="Cambria Math"/>
              <w:lang w:val="en-US"/>
            </w:rPr>
            <m:t> </m:t>
          </m:r>
          <m:r>
            <m:rPr>
              <m:nor/>
            </m:rPr>
            <w:rPr>
              <w:lang w:val="en-US"/>
            </w:rPr>
            <m:t>amtissu</m:t>
          </m:r>
          <m:sSub>
            <m:sSubPr>
              <m:ctrlPr>
                <w:rPr>
                  <w:rFonts w:ascii="Cambria Math" w:hAnsi="Cambria Math"/>
                </w:rPr>
              </m:ctrlPr>
            </m:sSubPr>
            <m:e>
              <m:r>
                <m:rPr>
                  <m:nor/>
                </m:rPr>
                <w:rPr>
                  <w:lang w:val="en-US"/>
                </w:rPr>
                <m:t>e</m:t>
              </m:r>
            </m:e>
            <m:sub>
              <m:r>
                <m:rPr>
                  <m:nor/>
                </m:rPr>
                <w:rPr>
                  <w:lang w:val="en-US"/>
                </w:rPr>
                <m:t>t</m:t>
              </m:r>
            </m:sub>
          </m:sSub>
          <m:r>
            <w:rPr>
              <w:rFonts w:ascii="Cambria Math" w:hAnsi="Cambria Math"/>
              <w:lang w:val="en-US"/>
            </w:rPr>
            <m:t>+</m:t>
          </m:r>
        </m:oMath>
      </m:oMathPara>
    </w:p>
    <w:p w14:paraId="35CD9692" w14:textId="0DCEB5F1" w:rsidR="00AD1347" w:rsidRPr="00CA38ED" w:rsidRDefault="00F224C9" w:rsidP="00AD1347">
      <w:pPr>
        <w:jc w:val="both"/>
        <w:rPr>
          <w:lang w:val="en-US"/>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8</m:t>
              </m:r>
            </m:sub>
          </m:sSub>
          <m:r>
            <w:rPr>
              <w:rFonts w:ascii="Cambria Math" w:hAnsi="Cambria Math"/>
              <w:lang w:val="en-US"/>
            </w:rPr>
            <m:t> </m:t>
          </m:r>
          <m:r>
            <m:rPr>
              <m:nor/>
            </m:rPr>
            <w:rPr>
              <w:lang w:val="en-US"/>
            </w:rPr>
            <m:t>deb</m:t>
          </m:r>
          <m:sSub>
            <m:sSubPr>
              <m:ctrlPr>
                <w:rPr>
                  <w:rFonts w:ascii="Cambria Math" w:hAnsi="Cambria Math"/>
                </w:rPr>
              </m:ctrlPr>
            </m:sSubPr>
            <m:e>
              <m:r>
                <m:rPr>
                  <m:nor/>
                </m:rPr>
                <w:rPr>
                  <w:lang w:val="en-US"/>
                </w:rPr>
                <m:t>t</m:t>
              </m:r>
            </m:e>
            <m:sub>
              <m:r>
                <m:rPr>
                  <m:nor/>
                </m:rPr>
                <w:rPr>
                  <w:lang w:val="en-US"/>
                </w:rPr>
                <m:t>ebitda,t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9</m:t>
              </m:r>
            </m:sub>
          </m:sSub>
          <m:r>
            <w:rPr>
              <w:rFonts w:ascii="Cambria Math" w:hAnsi="Cambria Math"/>
              <w:lang w:val="en-US"/>
            </w:rPr>
            <m:t> </m:t>
          </m:r>
          <m:r>
            <m:rPr>
              <m:nor/>
            </m:rPr>
            <w:rPr>
              <w:lang w:val="en-US"/>
            </w:rPr>
            <m:t>daysma</m:t>
          </m:r>
          <m:sSub>
            <m:sSubPr>
              <m:ctrlPr>
                <w:rPr>
                  <w:rFonts w:ascii="Cambria Math" w:hAnsi="Cambria Math"/>
                </w:rPr>
              </m:ctrlPr>
            </m:sSubPr>
            <m:e>
              <m:r>
                <m:rPr>
                  <m:nor/>
                </m:rPr>
                <w:rPr>
                  <w:lang w:val="en-US"/>
                </w:rPr>
                <m:t>t</m:t>
              </m:r>
            </m:e>
            <m:sub>
              <m:r>
                <m:rPr>
                  <m:nor/>
                </m:rPr>
                <w:rPr>
                  <w:lang w:val="en-US"/>
                </w:rPr>
                <m:t>t</m:t>
              </m:r>
            </m:sub>
          </m:sSub>
          <m:r>
            <w:rPr>
              <w:rFonts w:ascii="Cambria Math" w:hAnsi="Cambria Math"/>
              <w:lang w:val="en-US"/>
            </w:rPr>
            <m:t>+</m:t>
          </m:r>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lang w:val="en-US"/>
                </w:rPr>
                <m:t>10</m:t>
              </m:r>
            </m:sub>
          </m:sSub>
          <m:r>
            <w:rPr>
              <w:rFonts w:ascii="Cambria Math" w:hAnsi="Cambria Math"/>
              <w:lang w:val="en-US"/>
            </w:rPr>
            <m:t> </m:t>
          </m:r>
          <m:r>
            <m:rPr>
              <m:nor/>
            </m:rPr>
            <w:rPr>
              <w:lang w:val="en-US"/>
            </w:rPr>
            <m:t>cd</m:t>
          </m:r>
          <m:sSub>
            <m:sSubPr>
              <m:ctrlPr>
                <w:rPr>
                  <w:rFonts w:ascii="Cambria Math" w:hAnsi="Cambria Math"/>
                </w:rPr>
              </m:ctrlPr>
            </m:sSubPr>
            <m:e>
              <m:r>
                <m:rPr>
                  <m:nor/>
                </m:rPr>
                <w:rPr>
                  <w:lang w:val="en-US"/>
                </w:rPr>
                <m:t>s</m:t>
              </m:r>
            </m:e>
            <m:sub>
              <m:r>
                <m:rPr>
                  <m:nor/>
                </m:rPr>
                <w:rPr>
                  <w:lang w:val="en-US"/>
                </w:rPr>
                <m:t>t</m:t>
              </m:r>
            </m:sub>
          </m:sSub>
          <m:r>
            <w:rPr>
              <w:rFonts w:ascii="Cambria Math" w:hAnsi="Cambria Math"/>
              <w:lang w:val="en-US"/>
            </w:rPr>
            <m:t xml:space="preserve"> +</m:t>
          </m:r>
          <m:sSub>
            <m:sSubPr>
              <m:ctrlPr>
                <w:rPr>
                  <w:rFonts w:ascii="Cambria Math" w:hAnsi="Cambria Math"/>
                </w:rPr>
              </m:ctrlPr>
            </m:sSubPr>
            <m:e>
              <m:r>
                <w:rPr>
                  <w:rFonts w:ascii="Cambria Math" w:hAnsi="Cambria Math"/>
                </w:rPr>
                <m:t>ε</m:t>
              </m:r>
            </m:e>
            <m:sub>
              <m:r>
                <w:rPr>
                  <w:rFonts w:ascii="Cambria Math" w:hAnsi="Cambria Math"/>
                </w:rPr>
                <m:t>i</m:t>
              </m:r>
              <m:r>
                <w:rPr>
                  <w:rFonts w:ascii="Cambria Math" w:hAnsi="Cambria Math"/>
                  <w:lang w:val="en-US"/>
                </w:rPr>
                <m:t>,</m:t>
              </m:r>
              <m:r>
                <w:rPr>
                  <w:rFonts w:ascii="Cambria Math" w:hAnsi="Cambria Math"/>
                </w:rPr>
                <m:t>t</m:t>
              </m:r>
            </m:sub>
          </m:sSub>
        </m:oMath>
      </m:oMathPara>
    </w:p>
    <w:p w14:paraId="0D33CFA8" w14:textId="77777777" w:rsidR="00465A83" w:rsidRDefault="00465A83" w:rsidP="00AD1347">
      <w:pPr>
        <w:jc w:val="both"/>
        <w:rPr>
          <w:bCs/>
          <w:lang w:val="en-US" w:eastAsia="es-ES"/>
        </w:rPr>
      </w:pPr>
    </w:p>
    <w:p w14:paraId="2701E41F" w14:textId="77777777" w:rsidR="00465A83" w:rsidRPr="00A5162A" w:rsidRDefault="00465A83" w:rsidP="00A5162A">
      <w:pPr>
        <w:ind w:firstLine="709"/>
        <w:jc w:val="both"/>
        <w:rPr>
          <w:bCs/>
          <w:lang w:val="en-US" w:eastAsia="es-ES"/>
        </w:rPr>
      </w:pPr>
    </w:p>
    <w:p w14:paraId="10344DFD" w14:textId="7E204169" w:rsidR="00A5162A" w:rsidRDefault="00A5162A" w:rsidP="00A5162A">
      <w:pPr>
        <w:ind w:firstLine="709"/>
        <w:jc w:val="both"/>
        <w:rPr>
          <w:bCs/>
          <w:lang w:val="en-US" w:eastAsia="es-ES"/>
        </w:rPr>
      </w:pPr>
      <w:r w:rsidRPr="00A5162A">
        <w:rPr>
          <w:bCs/>
          <w:lang w:val="en-US" w:eastAsia="es-ES"/>
        </w:rPr>
        <w:t xml:space="preserve">The bond fixed effect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A5162A">
        <w:rPr>
          <w:bCs/>
          <w:lang w:val="en-US" w:eastAsia="es-ES"/>
        </w:rPr>
        <w:t xml:space="preserve"> absorbs all time-invariant characteristics of the bond and issuer, including sector, structural credit quality, contract design, and any slowly moving omitted factor that is specific to a given instrument. Because these effects are absorbed by alpha_i, the coefficients are identified from within-bond changes over time. This is a useful design for a dataset with large cross-sectional heterogeneity. It also aligns with the economic question: how are the same bonds repriced when global, macroeconomic, sovereign, or firm-level conditions change?</w:t>
      </w:r>
    </w:p>
    <w:p w14:paraId="2A6965E1" w14:textId="77777777" w:rsidR="00465A83" w:rsidRPr="00A5162A" w:rsidRDefault="00465A83" w:rsidP="00A5162A">
      <w:pPr>
        <w:ind w:firstLine="709"/>
        <w:jc w:val="both"/>
        <w:rPr>
          <w:bCs/>
          <w:lang w:val="en-US" w:eastAsia="es-ES"/>
        </w:rPr>
      </w:pPr>
    </w:p>
    <w:p w14:paraId="41A09FAD" w14:textId="77777777" w:rsidR="00A5162A" w:rsidRDefault="00A5162A" w:rsidP="00A5162A">
      <w:pPr>
        <w:ind w:firstLine="709"/>
        <w:jc w:val="both"/>
        <w:rPr>
          <w:bCs/>
          <w:lang w:val="en-US" w:eastAsia="es-ES"/>
        </w:rPr>
      </w:pPr>
      <w:r w:rsidRPr="00A5162A">
        <w:rPr>
          <w:bCs/>
          <w:lang w:val="en-US" w:eastAsia="es-ES"/>
        </w:rPr>
        <w:t xml:space="preserve">The interpretation is intentionally modest. The paper does not claim structural causality in a strong experimental sense. Rather, it estimates robust within-bond associations that are consistent with the mechanisms highlighted in the literature. The exogeneity assumption is most defensible for the global variables, which are clearly outside the control of any Brazilian issuer. Domestic macro variables and sovereign risk are more endogenous </w:t>
      </w:r>
      <w:r w:rsidRPr="00A5162A">
        <w:rPr>
          <w:bCs/>
          <w:lang w:val="en-US" w:eastAsia="es-ES"/>
        </w:rPr>
        <w:lastRenderedPageBreak/>
        <w:t>at the aggregate level, but from the perspective of an individual bond they remain common shocks that shape pricing conditions.</w:t>
      </w:r>
    </w:p>
    <w:p w14:paraId="58A35EF1" w14:textId="77777777" w:rsidR="00465A83" w:rsidRPr="00A5162A" w:rsidRDefault="00465A83" w:rsidP="00A5162A">
      <w:pPr>
        <w:ind w:firstLine="709"/>
        <w:jc w:val="both"/>
        <w:rPr>
          <w:bCs/>
          <w:lang w:val="en-US" w:eastAsia="es-ES"/>
        </w:rPr>
      </w:pPr>
    </w:p>
    <w:p w14:paraId="76B3C0A8" w14:textId="4A1A959A" w:rsidR="002D3AA6" w:rsidRPr="00A5162A" w:rsidRDefault="00A5162A" w:rsidP="00A5162A">
      <w:pPr>
        <w:ind w:firstLine="709"/>
        <w:jc w:val="both"/>
        <w:rPr>
          <w:lang w:val="en-US"/>
        </w:rPr>
      </w:pPr>
      <w:r w:rsidRPr="00A5162A">
        <w:rPr>
          <w:bCs/>
          <w:lang w:val="en-US" w:eastAsia="es-ES"/>
        </w:rPr>
        <w:t>The model is estimated in levels, not in first differences. This choice follows much of the empirical literature on sovereign and corporate spreads, which typically treats spreads as mean-reverting financial variables around an equilibrium level rather than as random walks. In principle, one might test panel unit roots before deciding on the specification. In practice, the strongly unbalanced panel, the presence of missing observations, and the discontinuous life cycle of bonds make standard panel unit-root tests difficult to apply consistently. The thesis explored these issues and ultimately retained the levels specification as the most coherent and interpretable benchmark.</w:t>
      </w:r>
    </w:p>
    <w:p w14:paraId="0D14E41C" w14:textId="77777777" w:rsidR="009A4AE2" w:rsidRDefault="009A4AE2" w:rsidP="009A4AE2">
      <w:pPr>
        <w:jc w:val="both"/>
        <w:rPr>
          <w:lang w:val="en-US"/>
        </w:rPr>
      </w:pPr>
    </w:p>
    <w:p w14:paraId="215AB870" w14:textId="77777777" w:rsidR="00586AB3" w:rsidRPr="00A5162A" w:rsidRDefault="00586AB3" w:rsidP="009A4AE2">
      <w:pPr>
        <w:jc w:val="both"/>
        <w:rPr>
          <w:lang w:val="en-US"/>
        </w:rPr>
      </w:pPr>
    </w:p>
    <w:p w14:paraId="757FB3E0" w14:textId="137B9277" w:rsidR="009A4AE2" w:rsidRPr="00CA38ED" w:rsidRDefault="00687E7A" w:rsidP="009A4AE2">
      <w:pPr>
        <w:pStyle w:val="Heading2"/>
      </w:pPr>
      <w:bookmarkStart w:id="11" w:name="_Toc232189544"/>
      <w:r w:rsidRPr="00687E7A">
        <w:t xml:space="preserve">Model </w:t>
      </w:r>
      <w:proofErr w:type="spellStart"/>
      <w:r w:rsidRPr="00687E7A">
        <w:t>selection</w:t>
      </w:r>
      <w:proofErr w:type="spellEnd"/>
      <w:r w:rsidRPr="00687E7A">
        <w:t xml:space="preserve"> and </w:t>
      </w:r>
      <w:proofErr w:type="spellStart"/>
      <w:r w:rsidRPr="00687E7A">
        <w:t>inference</w:t>
      </w:r>
      <w:bookmarkEnd w:id="11"/>
      <w:proofErr w:type="spellEnd"/>
    </w:p>
    <w:p w14:paraId="3F2490EF" w14:textId="77777777" w:rsidR="009A4AE2" w:rsidRPr="00CA38ED" w:rsidRDefault="009A4AE2" w:rsidP="009A4AE2"/>
    <w:p w14:paraId="1AE2D648" w14:textId="77CC8CDE" w:rsidR="00132D06" w:rsidRPr="00132D06" w:rsidRDefault="00DB29B6" w:rsidP="00132D06">
      <w:pPr>
        <w:ind w:firstLine="709"/>
        <w:jc w:val="both"/>
        <w:rPr>
          <w:lang w:val="en-US"/>
        </w:rPr>
      </w:pPr>
      <w:r w:rsidRPr="00DB29B6">
        <w:rPr>
          <w:lang w:val="en-US"/>
        </w:rPr>
        <w:t>The</w:t>
      </w:r>
      <w:r w:rsidR="00B71D8F">
        <w:rPr>
          <w:lang w:val="en-US"/>
        </w:rPr>
        <w:t xml:space="preserve"> </w:t>
      </w:r>
      <w:r w:rsidR="00132D06" w:rsidRPr="00132D06">
        <w:rPr>
          <w:lang w:val="en-US"/>
        </w:rPr>
        <w:t>choice of estimator is guided by formal diagnostic tests. First, an F test strongly rejects pooled OLS in favor of a model with individual effects, indicating that bond-level heterogeneity is economically and statistically important. Second, a Hausman test rejects random effects, which suggests that the unobserved bond-specific component is correlated with the regressors. These results make fixed effects the natural baseline.</w:t>
      </w:r>
    </w:p>
    <w:p w14:paraId="0B434321" w14:textId="77777777" w:rsidR="00132D06" w:rsidRPr="00132D06" w:rsidRDefault="00132D06" w:rsidP="00132D06">
      <w:pPr>
        <w:ind w:firstLine="709"/>
        <w:jc w:val="both"/>
        <w:rPr>
          <w:lang w:val="en-US"/>
        </w:rPr>
      </w:pPr>
    </w:p>
    <w:p w14:paraId="2E72FA98" w14:textId="77777777" w:rsidR="00132D06" w:rsidRPr="00132D06" w:rsidRDefault="00132D06" w:rsidP="00132D06">
      <w:pPr>
        <w:ind w:firstLine="709"/>
        <w:jc w:val="both"/>
        <w:rPr>
          <w:lang w:val="en-US"/>
        </w:rPr>
      </w:pPr>
      <w:r w:rsidRPr="00132D06">
        <w:rPr>
          <w:lang w:val="en-US"/>
        </w:rPr>
        <w:t xml:space="preserve">Additional diagnostics reveal that the error structure is not benign. Modified Wald tests indicate strong heteroskedasticity across panels. The </w:t>
      </w:r>
      <w:proofErr w:type="spellStart"/>
      <w:r w:rsidRPr="00132D06">
        <w:rPr>
          <w:lang w:val="en-US"/>
        </w:rPr>
        <w:t>Pesaran</w:t>
      </w:r>
      <w:proofErr w:type="spellEnd"/>
      <w:r w:rsidRPr="00132D06">
        <w:rPr>
          <w:lang w:val="en-US"/>
        </w:rPr>
        <w:t xml:space="preserve"> CD statistic points to substantial cross-sectional dependence, and the Wooldridge test rejects the absence of serial correlation. In other words, while the fixed-effects estimator remains appropriate for the conditional mean, conventional standard errors are unlikely to be reliable.</w:t>
      </w:r>
    </w:p>
    <w:p w14:paraId="0C045624" w14:textId="77777777" w:rsidR="00132D06" w:rsidRPr="00132D06" w:rsidRDefault="00132D06" w:rsidP="00132D06">
      <w:pPr>
        <w:ind w:firstLine="709"/>
        <w:jc w:val="both"/>
        <w:rPr>
          <w:lang w:val="en-US"/>
        </w:rPr>
      </w:pPr>
    </w:p>
    <w:p w14:paraId="1D694A0B" w14:textId="77777777" w:rsidR="00132D06" w:rsidRDefault="00132D06" w:rsidP="00132D06">
      <w:pPr>
        <w:ind w:firstLine="709"/>
        <w:jc w:val="both"/>
        <w:rPr>
          <w:lang w:val="en-US"/>
        </w:rPr>
      </w:pPr>
      <w:r w:rsidRPr="00132D06">
        <w:rPr>
          <w:lang w:val="en-US"/>
        </w:rPr>
        <w:t>The estimators play different roles and should not be interpreted as interchangeable models. The fixed-effects model is the preferred conditional-mean specification because it uses within-bond variation and absorbs all time-invariant bond and issuer characteristics, including contractual structure, sector, long-run credit quality, and persistent differences in investor following. Issuer-clustered standard errors are attached to this baseline because observations issued by the same firm may share residual shocks that are not independent across bonds. Random effects are reported only as a model-selection comparison: they would be more efficient if unobserved bond heterogeneity were uncorrelated with the regressors, but the Hausman test rejects that assumption in this sample. Panel-Corrected Standard Errors provide a complementary panel correction for heteroskedasticity and contemporaneous correlation across bonds. Driscoll-Kraay inference keeps the fixed-effects point estimates but computes standard errors that are robust to heteroskedasticity, serial correlation, and broad cross-sectional dependence. Thus, FE is the main estimator, PCSE is a covariance-structure robustness check, and Driscoll-Kraay tests whether the baseline FE signs survive a more demanding treatment of serial and cross-sectional dependence.</w:t>
      </w:r>
    </w:p>
    <w:p w14:paraId="45E1B7CB" w14:textId="77777777" w:rsidR="004F5F8A" w:rsidRPr="00132D06" w:rsidRDefault="004F5F8A" w:rsidP="00132D06">
      <w:pPr>
        <w:ind w:firstLine="709"/>
        <w:jc w:val="both"/>
        <w:rPr>
          <w:lang w:val="en-US"/>
        </w:rPr>
      </w:pPr>
    </w:p>
    <w:p w14:paraId="6B4A4CDA" w14:textId="77777777" w:rsidR="00132D06" w:rsidRPr="00132D06" w:rsidRDefault="00132D06" w:rsidP="00132D06">
      <w:pPr>
        <w:ind w:firstLine="709"/>
        <w:jc w:val="both"/>
        <w:rPr>
          <w:lang w:val="en-US"/>
        </w:rPr>
      </w:pPr>
      <w:r w:rsidRPr="00132D06">
        <w:rPr>
          <w:lang w:val="en-US"/>
        </w:rPr>
        <w:t xml:space="preserve">This distinction is especially important for the interpretation of the results table. Column 1 is the benchmark bond fixed-effects estimate. The PCSE column is used to assess whether the qualitative results are sensitive to a correction for cross-sectional covariance in the panel. The Driscoll-Kraay column is stricter for inference in the preferred FE framework, </w:t>
      </w:r>
      <w:r w:rsidRPr="00132D06">
        <w:rPr>
          <w:lang w:val="en-US"/>
        </w:rPr>
        <w:lastRenderedPageBreak/>
        <w:t>because it allows for common shocks and persistence in the residuals. For that reason, the discussion emphasizes sign, significance, and stability across estimators rather than exact equality of all coefficients.</w:t>
      </w:r>
    </w:p>
    <w:p w14:paraId="1C7344A1" w14:textId="77777777" w:rsidR="00132D06" w:rsidRPr="00132D06" w:rsidRDefault="00132D06" w:rsidP="00132D06">
      <w:pPr>
        <w:ind w:firstLine="709"/>
        <w:jc w:val="both"/>
        <w:rPr>
          <w:lang w:val="en-US"/>
        </w:rPr>
      </w:pPr>
    </w:p>
    <w:p w14:paraId="19269C3A" w14:textId="1B005BC0" w:rsidR="007A5901" w:rsidRPr="00DB29B6" w:rsidRDefault="00132D06" w:rsidP="00132D06">
      <w:pPr>
        <w:ind w:firstLine="709"/>
        <w:jc w:val="both"/>
        <w:rPr>
          <w:bCs/>
          <w:lang w:val="en-US" w:eastAsia="es-ES"/>
        </w:rPr>
      </w:pPr>
      <w:r w:rsidRPr="00132D06">
        <w:rPr>
          <w:lang w:val="en-US"/>
        </w:rPr>
        <w:t>A dynamic panel with a lagged dependent variable was considered but not adopted as the reference model. Given monthly data, the OTC nature of the market, and the fact that bond prices often reflect smoothed dealer quotations rather than highly informative transaction-by-transaction discovery, a one-month autoregressive structure is not clearly justified as the main economic model. The paper therefore prioritizes a transparent static framework and uses alternative variance estimators to assess the robustness of inference.</w:t>
      </w:r>
    </w:p>
    <w:p w14:paraId="496F6D5F" w14:textId="77777777" w:rsidR="00112212" w:rsidRDefault="00112212" w:rsidP="009F0E95">
      <w:pPr>
        <w:ind w:firstLine="709"/>
        <w:jc w:val="both"/>
        <w:rPr>
          <w:bCs/>
          <w:lang w:val="en-US" w:eastAsia="es-ES"/>
        </w:rPr>
      </w:pPr>
    </w:p>
    <w:p w14:paraId="496E67F8" w14:textId="77777777" w:rsidR="00586AB3" w:rsidRPr="00DB29B6" w:rsidRDefault="00586AB3" w:rsidP="009F0E95">
      <w:pPr>
        <w:ind w:firstLine="709"/>
        <w:jc w:val="both"/>
        <w:rPr>
          <w:bCs/>
          <w:lang w:val="en-US" w:eastAsia="es-ES"/>
        </w:rPr>
      </w:pPr>
    </w:p>
    <w:p w14:paraId="719894F7" w14:textId="58830B1F" w:rsidR="000958E3" w:rsidRPr="00A32AE4" w:rsidRDefault="008571F3" w:rsidP="00A32AE4">
      <w:pPr>
        <w:pStyle w:val="Heading1"/>
      </w:pPr>
      <w:bookmarkStart w:id="12" w:name="_Toc232189545"/>
      <w:proofErr w:type="spellStart"/>
      <w:r w:rsidRPr="008571F3">
        <w:t>Results</w:t>
      </w:r>
      <w:bookmarkEnd w:id="12"/>
      <w:proofErr w:type="spellEnd"/>
    </w:p>
    <w:p w14:paraId="41589E3E" w14:textId="77777777" w:rsidR="00B57005" w:rsidRPr="00CA38ED" w:rsidRDefault="00B57005" w:rsidP="000958E3">
      <w:pPr>
        <w:ind w:firstLine="709"/>
        <w:jc w:val="both"/>
        <w:rPr>
          <w:bCs/>
          <w:lang w:val="es-ES" w:eastAsia="es-ES"/>
        </w:rPr>
      </w:pPr>
    </w:p>
    <w:p w14:paraId="33FE43D0" w14:textId="27882FB4" w:rsidR="0002722C" w:rsidRPr="00CA38ED" w:rsidRDefault="00A32AE4" w:rsidP="00E33D91">
      <w:pPr>
        <w:pStyle w:val="Heading2"/>
      </w:pPr>
      <w:bookmarkStart w:id="13" w:name="_Toc232189546"/>
      <w:r w:rsidRPr="00A32AE4">
        <w:t xml:space="preserve">Model </w:t>
      </w:r>
      <w:proofErr w:type="spellStart"/>
      <w:r w:rsidRPr="00A32AE4">
        <w:t>selection</w:t>
      </w:r>
      <w:proofErr w:type="spellEnd"/>
      <w:r w:rsidRPr="00A32AE4">
        <w:t xml:space="preserve"> </w:t>
      </w:r>
      <w:proofErr w:type="spellStart"/>
      <w:r w:rsidRPr="00A32AE4">
        <w:t>diagnostics</w:t>
      </w:r>
      <w:bookmarkEnd w:id="13"/>
      <w:proofErr w:type="spellEnd"/>
    </w:p>
    <w:p w14:paraId="3C7C4C71" w14:textId="77777777" w:rsidR="0002722C" w:rsidRPr="00CA38ED" w:rsidRDefault="0002722C">
      <w:pPr>
        <w:jc w:val="both"/>
        <w:rPr>
          <w:b/>
          <w:bCs/>
          <w:sz w:val="28"/>
          <w:szCs w:val="28"/>
        </w:rPr>
      </w:pPr>
    </w:p>
    <w:p w14:paraId="372030D4" w14:textId="6F6C5259" w:rsidR="009253E5" w:rsidRDefault="00C42E9F" w:rsidP="00C42E9F">
      <w:pPr>
        <w:ind w:firstLine="709"/>
        <w:jc w:val="both"/>
        <w:rPr>
          <w:bCs/>
          <w:lang w:val="en-US" w:eastAsia="es-ES"/>
        </w:rPr>
      </w:pPr>
      <w:r w:rsidRPr="00C42E9F">
        <w:rPr>
          <w:bCs/>
          <w:lang w:val="en-US" w:eastAsia="es-ES"/>
        </w:rPr>
        <w:t xml:space="preserve">Table </w:t>
      </w:r>
      <w:r w:rsidR="000327AF">
        <w:rPr>
          <w:bCs/>
          <w:lang w:val="en-US" w:eastAsia="es-ES"/>
        </w:rPr>
        <w:t>4</w:t>
      </w:r>
      <w:r w:rsidRPr="00C42E9F">
        <w:rPr>
          <w:bCs/>
          <w:lang w:val="en-US" w:eastAsia="es-ES"/>
        </w:rPr>
        <w:t xml:space="preserve"> reports the main diagnostic tests that guide model selection. The F test of individual effects strongly rejects pooled OLS, and the Hausman test rejects random effects. Together, these results confirm that ignoring instrument-specific heterogeneity would be inappropriate and that the correlation between unobserved effects and regressors is non-negligible. The fixed-effects framework is therefore preferred on both econometric and substantive grounds.</w:t>
      </w:r>
    </w:p>
    <w:p w14:paraId="6092EFA7" w14:textId="77777777" w:rsidR="00C42E9F" w:rsidRPr="00C42E9F" w:rsidRDefault="00C42E9F" w:rsidP="00C42E9F">
      <w:pPr>
        <w:ind w:firstLine="709"/>
        <w:jc w:val="both"/>
        <w:rPr>
          <w:lang w:val="en-US"/>
        </w:rPr>
      </w:pPr>
    </w:p>
    <w:p w14:paraId="7F5E7B70" w14:textId="49E53F67" w:rsidR="00B57005" w:rsidRPr="00522C2F" w:rsidRDefault="00B57005" w:rsidP="00B57005">
      <w:pPr>
        <w:pStyle w:val="Caption"/>
        <w:keepNext/>
        <w:rPr>
          <w:lang w:val="en-US"/>
        </w:rPr>
      </w:pPr>
      <w:r w:rsidRPr="00522C2F">
        <w:rPr>
          <w:lang w:val="en-US"/>
        </w:rPr>
        <w:t xml:space="preserve">Table </w:t>
      </w:r>
      <w:r w:rsidR="000327AF">
        <w:rPr>
          <w:lang w:val="en-US"/>
        </w:rPr>
        <w:t>4</w:t>
      </w:r>
      <w:r w:rsidRPr="00522C2F">
        <w:rPr>
          <w:lang w:val="en-US"/>
        </w:rPr>
        <w:t xml:space="preserve">: </w:t>
      </w:r>
      <w:r w:rsidR="00522C2F" w:rsidRPr="00522C2F">
        <w:rPr>
          <w:lang w:val="en-US"/>
        </w:rPr>
        <w:t>Diagnostic tests for model selection</w:t>
      </w:r>
    </w:p>
    <w:tbl>
      <w:tblPr>
        <w:tblStyle w:val="TableGrid"/>
        <w:tblW w:w="0" w:type="auto"/>
        <w:tblLook w:val="04A0" w:firstRow="1" w:lastRow="0" w:firstColumn="1" w:lastColumn="0" w:noHBand="0" w:noVBand="1"/>
      </w:tblPr>
      <w:tblGrid>
        <w:gridCol w:w="4755"/>
        <w:gridCol w:w="3467"/>
      </w:tblGrid>
      <w:tr w:rsidR="00611CCB" w:rsidRPr="003977AA" w14:paraId="3EF3899D" w14:textId="77777777" w:rsidTr="00700029">
        <w:tc>
          <w:tcPr>
            <w:tcW w:w="0" w:type="auto"/>
            <w:hideMark/>
          </w:tcPr>
          <w:p w14:paraId="1BF15D6B" w14:textId="01C1868A" w:rsidR="00611CCB" w:rsidRPr="003977AA" w:rsidRDefault="00611CCB" w:rsidP="00611CCB">
            <w:pPr>
              <w:jc w:val="center"/>
              <w:rPr>
                <w:b/>
                <w:bCs/>
              </w:rPr>
            </w:pPr>
            <w:r w:rsidRPr="00077A9B">
              <w:t>Test</w:t>
            </w:r>
          </w:p>
        </w:tc>
        <w:tc>
          <w:tcPr>
            <w:tcW w:w="0" w:type="auto"/>
            <w:hideMark/>
          </w:tcPr>
          <w:p w14:paraId="15998E44" w14:textId="27F7896A" w:rsidR="00611CCB" w:rsidRPr="003977AA" w:rsidRDefault="00611CCB" w:rsidP="00611CCB">
            <w:pPr>
              <w:jc w:val="center"/>
              <w:rPr>
                <w:b/>
                <w:bCs/>
              </w:rPr>
            </w:pPr>
            <w:proofErr w:type="spellStart"/>
            <w:r w:rsidRPr="00077A9B">
              <w:t>Result</w:t>
            </w:r>
            <w:proofErr w:type="spellEnd"/>
          </w:p>
        </w:tc>
      </w:tr>
      <w:tr w:rsidR="00611CCB" w:rsidRPr="003977AA" w14:paraId="4BB51845" w14:textId="77777777" w:rsidTr="00700029">
        <w:tc>
          <w:tcPr>
            <w:tcW w:w="0" w:type="auto"/>
            <w:hideMark/>
          </w:tcPr>
          <w:p w14:paraId="1FF32DBE" w14:textId="0D6B6D9E" w:rsidR="00611CCB" w:rsidRPr="00611CCB" w:rsidRDefault="00611CCB" w:rsidP="00611CCB">
            <w:pPr>
              <w:rPr>
                <w:lang w:val="en-US"/>
              </w:rPr>
            </w:pPr>
            <w:r w:rsidRPr="00611CCB">
              <w:rPr>
                <w:lang w:val="en-US"/>
              </w:rPr>
              <w:t>F test of individual effects (pooled vs. FE)</w:t>
            </w:r>
          </w:p>
        </w:tc>
        <w:tc>
          <w:tcPr>
            <w:tcW w:w="0" w:type="auto"/>
            <w:hideMark/>
          </w:tcPr>
          <w:p w14:paraId="4F2EA678" w14:textId="07D8EAAC" w:rsidR="00611CCB" w:rsidRPr="003977AA" w:rsidRDefault="00611CCB" w:rsidP="00611CCB">
            <w:r w:rsidRPr="00077A9B">
              <w:t>F(102,4116) = 67.11; p &lt; 0.001</w:t>
            </w:r>
          </w:p>
        </w:tc>
      </w:tr>
      <w:tr w:rsidR="00611CCB" w:rsidRPr="003977AA" w14:paraId="5177F68E" w14:textId="77777777" w:rsidTr="00700029">
        <w:tc>
          <w:tcPr>
            <w:tcW w:w="0" w:type="auto"/>
            <w:hideMark/>
          </w:tcPr>
          <w:p w14:paraId="7D70DE43" w14:textId="14D9BF85" w:rsidR="00611CCB" w:rsidRPr="003977AA" w:rsidRDefault="00611CCB" w:rsidP="00611CCB">
            <w:r w:rsidRPr="00077A9B">
              <w:t>Hausman (FE vs. RE)</w:t>
            </w:r>
          </w:p>
        </w:tc>
        <w:tc>
          <w:tcPr>
            <w:tcW w:w="0" w:type="auto"/>
            <w:hideMark/>
          </w:tcPr>
          <w:p w14:paraId="6E0BB051" w14:textId="738EC741" w:rsidR="00611CCB" w:rsidRPr="003977AA" w:rsidRDefault="00611CCB" w:rsidP="00611CCB">
            <w:r w:rsidRPr="00077A9B">
              <w:t>chi2(10) = 289.48; p &lt; 0.001</w:t>
            </w:r>
          </w:p>
        </w:tc>
      </w:tr>
      <w:tr w:rsidR="00611CCB" w:rsidRPr="003977AA" w14:paraId="652B40F6" w14:textId="77777777" w:rsidTr="00700029">
        <w:tc>
          <w:tcPr>
            <w:tcW w:w="0" w:type="auto"/>
            <w:hideMark/>
          </w:tcPr>
          <w:p w14:paraId="023A8B6B" w14:textId="6F541947" w:rsidR="00611CCB" w:rsidRPr="003977AA" w:rsidRDefault="00611CCB" w:rsidP="00611CCB">
            <w:pPr>
              <w:rPr>
                <w:lang w:val="es-AR"/>
              </w:rPr>
            </w:pPr>
            <w:proofErr w:type="spellStart"/>
            <w:r w:rsidRPr="00077A9B">
              <w:t>Groupwise</w:t>
            </w:r>
            <w:proofErr w:type="spellEnd"/>
            <w:r w:rsidRPr="00077A9B">
              <w:t xml:space="preserve"> </w:t>
            </w:r>
            <w:proofErr w:type="spellStart"/>
            <w:r w:rsidRPr="00077A9B">
              <w:t>heteroskedasticity</w:t>
            </w:r>
            <w:proofErr w:type="spellEnd"/>
            <w:r w:rsidRPr="00077A9B">
              <w:t xml:space="preserve"> (</w:t>
            </w:r>
            <w:proofErr w:type="spellStart"/>
            <w:r w:rsidRPr="00077A9B">
              <w:t>Modified</w:t>
            </w:r>
            <w:proofErr w:type="spellEnd"/>
            <w:r w:rsidRPr="00077A9B">
              <w:t xml:space="preserve"> Wald)</w:t>
            </w:r>
          </w:p>
        </w:tc>
        <w:tc>
          <w:tcPr>
            <w:tcW w:w="0" w:type="auto"/>
            <w:hideMark/>
          </w:tcPr>
          <w:p w14:paraId="1B033594" w14:textId="1AABC97E" w:rsidR="00611CCB" w:rsidRPr="003977AA" w:rsidRDefault="00611CCB" w:rsidP="00611CCB">
            <w:r w:rsidRPr="00077A9B">
              <w:t>chi2(103) = 591800.93; p &lt; 0.001</w:t>
            </w:r>
          </w:p>
        </w:tc>
      </w:tr>
      <w:tr w:rsidR="00611CCB" w:rsidRPr="003977AA" w14:paraId="2A88C661" w14:textId="77777777" w:rsidTr="00700029">
        <w:tc>
          <w:tcPr>
            <w:tcW w:w="0" w:type="auto"/>
            <w:hideMark/>
          </w:tcPr>
          <w:p w14:paraId="4768182D" w14:textId="647CD22F" w:rsidR="00611CCB" w:rsidRPr="003977AA" w:rsidRDefault="00611CCB" w:rsidP="00611CCB">
            <w:r w:rsidRPr="00077A9B">
              <w:t>Cross-</w:t>
            </w:r>
            <w:proofErr w:type="spellStart"/>
            <w:r w:rsidRPr="00077A9B">
              <w:t>sectional</w:t>
            </w:r>
            <w:proofErr w:type="spellEnd"/>
            <w:r w:rsidRPr="00077A9B">
              <w:t xml:space="preserve"> </w:t>
            </w:r>
            <w:proofErr w:type="spellStart"/>
            <w:r w:rsidRPr="00077A9B">
              <w:t>dependence</w:t>
            </w:r>
            <w:proofErr w:type="spellEnd"/>
            <w:r w:rsidRPr="00077A9B">
              <w:t xml:space="preserve"> (Pesaran CD)</w:t>
            </w:r>
          </w:p>
        </w:tc>
        <w:tc>
          <w:tcPr>
            <w:tcW w:w="0" w:type="auto"/>
            <w:hideMark/>
          </w:tcPr>
          <w:p w14:paraId="7F744505" w14:textId="2129EEB9" w:rsidR="00611CCB" w:rsidRPr="003977AA" w:rsidRDefault="00611CCB" w:rsidP="00611CCB">
            <w:r w:rsidRPr="00077A9B">
              <w:t>CD = 69.493; p &lt; 0.001</w:t>
            </w:r>
          </w:p>
        </w:tc>
      </w:tr>
      <w:tr w:rsidR="00611CCB" w:rsidRPr="003977AA" w14:paraId="2B3625CC" w14:textId="77777777" w:rsidTr="00700029">
        <w:tc>
          <w:tcPr>
            <w:tcW w:w="0" w:type="auto"/>
            <w:hideMark/>
          </w:tcPr>
          <w:p w14:paraId="5C2F50ED" w14:textId="0D9F15C9" w:rsidR="00611CCB" w:rsidRPr="00611CCB" w:rsidRDefault="00611CCB" w:rsidP="00611CCB">
            <w:pPr>
              <w:rPr>
                <w:lang w:val="en-US"/>
              </w:rPr>
            </w:pPr>
            <w:r w:rsidRPr="00611CCB">
              <w:rPr>
                <w:lang w:val="en-US"/>
              </w:rPr>
              <w:t>Mean absolute cross-panel correlation</w:t>
            </w:r>
          </w:p>
        </w:tc>
        <w:tc>
          <w:tcPr>
            <w:tcW w:w="0" w:type="auto"/>
            <w:hideMark/>
          </w:tcPr>
          <w:p w14:paraId="1E407E33" w14:textId="27815B6F" w:rsidR="00611CCB" w:rsidRPr="003977AA" w:rsidRDefault="00611CCB" w:rsidP="00611CCB">
            <w:r w:rsidRPr="00077A9B">
              <w:t>0.479</w:t>
            </w:r>
          </w:p>
        </w:tc>
      </w:tr>
      <w:tr w:rsidR="00611CCB" w:rsidRPr="003977AA" w14:paraId="13802EB6" w14:textId="77777777" w:rsidTr="00700029">
        <w:tc>
          <w:tcPr>
            <w:tcW w:w="0" w:type="auto"/>
            <w:hideMark/>
          </w:tcPr>
          <w:p w14:paraId="5754D096" w14:textId="3E9D3FAE" w:rsidR="00611CCB" w:rsidRPr="003977AA" w:rsidRDefault="00611CCB" w:rsidP="00611CCB">
            <w:r w:rsidRPr="00077A9B">
              <w:t xml:space="preserve">Serial </w:t>
            </w:r>
            <w:proofErr w:type="spellStart"/>
            <w:r w:rsidRPr="00077A9B">
              <w:t>correlation</w:t>
            </w:r>
            <w:proofErr w:type="spellEnd"/>
            <w:r w:rsidRPr="00077A9B">
              <w:t xml:space="preserve"> (Wooldridge)</w:t>
            </w:r>
          </w:p>
        </w:tc>
        <w:tc>
          <w:tcPr>
            <w:tcW w:w="0" w:type="auto"/>
            <w:hideMark/>
          </w:tcPr>
          <w:p w14:paraId="6BD2DD49" w14:textId="01F2AD8B" w:rsidR="00611CCB" w:rsidRPr="003977AA" w:rsidRDefault="00611CCB" w:rsidP="00611CCB">
            <w:r w:rsidRPr="00077A9B">
              <w:t>F(1,100) = 279.756; p &lt; 0.001</w:t>
            </w:r>
          </w:p>
        </w:tc>
      </w:tr>
      <w:tr w:rsidR="00611CCB" w:rsidRPr="003977AA" w14:paraId="3F6FD668" w14:textId="77777777" w:rsidTr="00700029">
        <w:tc>
          <w:tcPr>
            <w:tcW w:w="0" w:type="auto"/>
            <w:hideMark/>
          </w:tcPr>
          <w:p w14:paraId="378CB2E4" w14:textId="365F0E9B" w:rsidR="00611CCB" w:rsidRPr="00611CCB" w:rsidRDefault="00611CCB" w:rsidP="00611CCB">
            <w:pPr>
              <w:rPr>
                <w:lang w:val="en-US"/>
              </w:rPr>
            </w:pPr>
            <w:r w:rsidRPr="00611CCB">
              <w:rPr>
                <w:lang w:val="en-US"/>
              </w:rPr>
              <w:t>rho in baseline FE model</w:t>
            </w:r>
          </w:p>
        </w:tc>
        <w:tc>
          <w:tcPr>
            <w:tcW w:w="0" w:type="auto"/>
            <w:hideMark/>
          </w:tcPr>
          <w:p w14:paraId="2BB7A634" w14:textId="1E7A6F61" w:rsidR="00611CCB" w:rsidRPr="003977AA" w:rsidRDefault="00611CCB" w:rsidP="00611CCB">
            <w:r w:rsidRPr="00077A9B">
              <w:t>0.8188</w:t>
            </w:r>
          </w:p>
        </w:tc>
      </w:tr>
    </w:tbl>
    <w:p w14:paraId="298A9394" w14:textId="74C7D44C" w:rsidR="00B57005" w:rsidRPr="00A36E81" w:rsidRDefault="00A36E81" w:rsidP="00B57005">
      <w:pPr>
        <w:jc w:val="both"/>
        <w:rPr>
          <w:i/>
          <w:iCs/>
          <w:color w:val="1F497D" w:themeColor="text2"/>
          <w:sz w:val="18"/>
          <w:szCs w:val="18"/>
          <w:lang w:val="en-US"/>
        </w:rPr>
      </w:pPr>
      <w:r w:rsidRPr="00A36E81">
        <w:rPr>
          <w:i/>
          <w:iCs/>
          <w:color w:val="1F497D" w:themeColor="text2"/>
          <w:sz w:val="18"/>
          <w:szCs w:val="18"/>
          <w:lang w:val="en-US"/>
        </w:rPr>
        <w:t>Notes: The tests reject pooled OLS and random effects, and indicate heteroskedasticity, cross-sectional dependence, and serial correlation in the panel.</w:t>
      </w:r>
    </w:p>
    <w:p w14:paraId="75FB2A1E" w14:textId="77777777" w:rsidR="00A36E81" w:rsidRPr="00A36E81" w:rsidRDefault="00A36E81" w:rsidP="00B57005">
      <w:pPr>
        <w:jc w:val="both"/>
        <w:rPr>
          <w:b/>
          <w:bCs/>
          <w:sz w:val="28"/>
          <w:szCs w:val="28"/>
          <w:lang w:val="en-US"/>
        </w:rPr>
      </w:pPr>
    </w:p>
    <w:p w14:paraId="444C52BB" w14:textId="477D66CB" w:rsidR="00B57005" w:rsidRPr="006D7820" w:rsidRDefault="006D7820" w:rsidP="006D7820">
      <w:pPr>
        <w:ind w:firstLine="720"/>
        <w:jc w:val="both"/>
        <w:rPr>
          <w:lang w:val="en-US"/>
        </w:rPr>
      </w:pPr>
      <w:r w:rsidRPr="006D7820">
        <w:rPr>
          <w:lang w:val="en-US"/>
        </w:rPr>
        <w:t>The diagnostics also show that the residual structure is characterized by heteroskedasticity, cross-sectional dependence, and serial correlation. The estimated within-panel persistence is high, with a rho of about 0.82 in the baseline fixed-effects model. This pattern is consistent with the fact that bond spreads evolve gradually and are influenced by common macro-financial conditions. It also justifies the use of alternative inference procedures. Importantly, these diagnostics do not invalidate the fixed-effects specification as a conditional-mean model; instead, they caution against over-reliance on conventional standard errors.</w:t>
      </w:r>
    </w:p>
    <w:p w14:paraId="32891C4E" w14:textId="77777777" w:rsidR="007365BD" w:rsidRPr="006D7820" w:rsidRDefault="007365BD" w:rsidP="007365BD">
      <w:pPr>
        <w:ind w:firstLine="720"/>
        <w:jc w:val="both"/>
        <w:rPr>
          <w:lang w:val="en-US"/>
        </w:rPr>
      </w:pPr>
    </w:p>
    <w:p w14:paraId="6311AAEA" w14:textId="77777777" w:rsidR="007365BD" w:rsidRDefault="007365BD" w:rsidP="007365BD">
      <w:pPr>
        <w:ind w:firstLine="720"/>
        <w:jc w:val="both"/>
        <w:rPr>
          <w:lang w:val="en-US"/>
        </w:rPr>
      </w:pPr>
    </w:p>
    <w:p w14:paraId="4623CD14" w14:textId="77777777" w:rsidR="001C3D06" w:rsidRPr="006D7820" w:rsidRDefault="001C3D06" w:rsidP="007365BD">
      <w:pPr>
        <w:ind w:firstLine="720"/>
        <w:jc w:val="both"/>
        <w:rPr>
          <w:lang w:val="en-US"/>
        </w:rPr>
      </w:pPr>
    </w:p>
    <w:p w14:paraId="53A8554B" w14:textId="35CEC958" w:rsidR="007365BD" w:rsidRPr="00CA38ED" w:rsidRDefault="00870CF5" w:rsidP="007365BD">
      <w:pPr>
        <w:pStyle w:val="Heading2"/>
      </w:pPr>
      <w:bookmarkStart w:id="14" w:name="_Toc232189547"/>
      <w:proofErr w:type="spellStart"/>
      <w:r w:rsidRPr="00870CF5">
        <w:lastRenderedPageBreak/>
        <w:t>Baseline</w:t>
      </w:r>
      <w:proofErr w:type="spellEnd"/>
      <w:r w:rsidRPr="00870CF5">
        <w:t xml:space="preserve"> </w:t>
      </w:r>
      <w:proofErr w:type="spellStart"/>
      <w:r w:rsidRPr="00870CF5">
        <w:t>estimates</w:t>
      </w:r>
      <w:bookmarkEnd w:id="14"/>
      <w:proofErr w:type="spellEnd"/>
    </w:p>
    <w:p w14:paraId="7BDCEE6B" w14:textId="77777777" w:rsidR="007365BD" w:rsidRPr="00CA38ED" w:rsidRDefault="007365BD" w:rsidP="007365BD">
      <w:pPr>
        <w:jc w:val="both"/>
        <w:rPr>
          <w:b/>
          <w:bCs/>
          <w:sz w:val="28"/>
          <w:szCs w:val="28"/>
        </w:rPr>
      </w:pPr>
    </w:p>
    <w:p w14:paraId="1123F5BE" w14:textId="00537BF4" w:rsidR="007365BD" w:rsidRPr="00D97A9D" w:rsidRDefault="00315A91" w:rsidP="007365BD">
      <w:pPr>
        <w:ind w:firstLine="720"/>
        <w:jc w:val="both"/>
        <w:rPr>
          <w:lang w:val="en-US"/>
        </w:rPr>
      </w:pPr>
      <w:r w:rsidRPr="00315A91">
        <w:rPr>
          <w:bCs/>
          <w:lang w:val="en-US" w:eastAsia="es-ES"/>
        </w:rPr>
        <w:t xml:space="preserve">Table </w:t>
      </w:r>
      <w:r w:rsidR="000327AF">
        <w:rPr>
          <w:bCs/>
          <w:lang w:val="en-US" w:eastAsia="es-ES"/>
        </w:rPr>
        <w:t>5</w:t>
      </w:r>
      <w:r w:rsidRPr="00315A91">
        <w:rPr>
          <w:bCs/>
          <w:lang w:val="en-US" w:eastAsia="es-ES"/>
        </w:rPr>
        <w:t xml:space="preserve"> presents the main results. Column 1 reports the preferred fixed-effects specification with issuer-clustered standard errors. Column 2 reports the PCSE estimates, and Column 3 reports fixed-effects coefficients with Driscoll-Kraay standard errors. </w:t>
      </w:r>
      <w:r w:rsidRPr="00D97A9D">
        <w:rPr>
          <w:bCs/>
          <w:lang w:val="en-US" w:eastAsia="es-ES"/>
        </w:rPr>
        <w:t>Several patterns stand out.</w:t>
      </w:r>
    </w:p>
    <w:p w14:paraId="6FE0E6AC" w14:textId="77777777" w:rsidR="00FD2768" w:rsidRPr="00D97A9D" w:rsidRDefault="00FD2768" w:rsidP="00D146B5">
      <w:pPr>
        <w:jc w:val="both"/>
        <w:rPr>
          <w:lang w:val="en-US"/>
        </w:rPr>
      </w:pPr>
    </w:p>
    <w:p w14:paraId="627524E8" w14:textId="2621C240" w:rsidR="00FD2768" w:rsidRPr="00D97A9D" w:rsidRDefault="00FD2768" w:rsidP="007114A2">
      <w:pPr>
        <w:pStyle w:val="Caption"/>
        <w:keepNext/>
        <w:rPr>
          <w:lang w:val="en-US"/>
        </w:rPr>
      </w:pPr>
      <w:r w:rsidRPr="00D97A9D">
        <w:rPr>
          <w:lang w:val="en-US"/>
        </w:rPr>
        <w:t>Tabl</w:t>
      </w:r>
      <w:r w:rsidR="000327AF">
        <w:rPr>
          <w:lang w:val="en-US"/>
        </w:rPr>
        <w:t>e</w:t>
      </w:r>
      <w:r w:rsidRPr="00D97A9D">
        <w:rPr>
          <w:lang w:val="en-US"/>
        </w:rPr>
        <w:t xml:space="preserve"> </w:t>
      </w:r>
      <w:r w:rsidR="000327AF">
        <w:rPr>
          <w:lang w:val="en-US"/>
        </w:rPr>
        <w:t>5</w:t>
      </w:r>
      <w:r w:rsidRPr="00D97A9D">
        <w:rPr>
          <w:lang w:val="en-US"/>
        </w:rPr>
        <w:t xml:space="preserve">: </w:t>
      </w:r>
      <w:r w:rsidR="00D97A9D" w:rsidRPr="00D97A9D">
        <w:rPr>
          <w:lang w:val="en-US"/>
        </w:rPr>
        <w:t>Determinants of IPCA-linked corporate bond spreads in Brazil</w:t>
      </w:r>
    </w:p>
    <w:tbl>
      <w:tblPr>
        <w:tblStyle w:val="TableGrid"/>
        <w:tblW w:w="0" w:type="auto"/>
        <w:tblLook w:val="04A0" w:firstRow="1" w:lastRow="0" w:firstColumn="1" w:lastColumn="0" w:noHBand="0" w:noVBand="1"/>
      </w:tblPr>
      <w:tblGrid>
        <w:gridCol w:w="2872"/>
        <w:gridCol w:w="1922"/>
        <w:gridCol w:w="1719"/>
        <w:gridCol w:w="2274"/>
      </w:tblGrid>
      <w:tr w:rsidR="0088398A" w14:paraId="767734CC" w14:textId="77777777" w:rsidTr="00FD2768">
        <w:tc>
          <w:tcPr>
            <w:tcW w:w="0" w:type="auto"/>
            <w:hideMark/>
          </w:tcPr>
          <w:p w14:paraId="7E9E4D68" w14:textId="5876D732" w:rsidR="0088398A" w:rsidRDefault="0088398A" w:rsidP="0088398A">
            <w:pPr>
              <w:jc w:val="center"/>
              <w:rPr>
                <w:b/>
                <w:bCs/>
              </w:rPr>
            </w:pPr>
            <w:r w:rsidRPr="00B72232">
              <w:t>Variable</w:t>
            </w:r>
          </w:p>
        </w:tc>
        <w:tc>
          <w:tcPr>
            <w:tcW w:w="0" w:type="auto"/>
            <w:hideMark/>
          </w:tcPr>
          <w:p w14:paraId="1A0C78F5" w14:textId="11C43C74" w:rsidR="0088398A" w:rsidRDefault="0088398A" w:rsidP="0088398A">
            <w:pPr>
              <w:jc w:val="center"/>
              <w:rPr>
                <w:b/>
                <w:bCs/>
              </w:rPr>
            </w:pPr>
            <w:r w:rsidRPr="00B72232">
              <w:t xml:space="preserve">FE </w:t>
            </w:r>
            <w:proofErr w:type="spellStart"/>
            <w:r w:rsidRPr="00B72232">
              <w:t>static</w:t>
            </w:r>
            <w:proofErr w:type="spellEnd"/>
            <w:r w:rsidRPr="00B72232">
              <w:t xml:space="preserve"> (</w:t>
            </w:r>
            <w:proofErr w:type="spellStart"/>
            <w:r w:rsidRPr="00B72232">
              <w:t>baseline</w:t>
            </w:r>
            <w:proofErr w:type="spellEnd"/>
            <w:r w:rsidRPr="00B72232">
              <w:t>)</w:t>
            </w:r>
          </w:p>
        </w:tc>
        <w:tc>
          <w:tcPr>
            <w:tcW w:w="0" w:type="auto"/>
            <w:hideMark/>
          </w:tcPr>
          <w:p w14:paraId="6B891150" w14:textId="02A386AE" w:rsidR="0088398A" w:rsidRDefault="0088398A" w:rsidP="0088398A">
            <w:pPr>
              <w:jc w:val="center"/>
              <w:rPr>
                <w:b/>
                <w:bCs/>
              </w:rPr>
            </w:pPr>
            <w:r w:rsidRPr="00B72232">
              <w:t>PCSE (</w:t>
            </w:r>
            <w:proofErr w:type="spellStart"/>
            <w:r w:rsidRPr="00B72232">
              <w:t>pairwise</w:t>
            </w:r>
            <w:proofErr w:type="spellEnd"/>
            <w:r w:rsidRPr="00B72232">
              <w:t>)</w:t>
            </w:r>
          </w:p>
        </w:tc>
        <w:tc>
          <w:tcPr>
            <w:tcW w:w="0" w:type="auto"/>
            <w:hideMark/>
          </w:tcPr>
          <w:p w14:paraId="046A20C1" w14:textId="7EC8630F" w:rsidR="0088398A" w:rsidRDefault="0088398A" w:rsidP="0088398A">
            <w:pPr>
              <w:jc w:val="center"/>
              <w:rPr>
                <w:b/>
                <w:bCs/>
              </w:rPr>
            </w:pPr>
            <w:r w:rsidRPr="00B72232">
              <w:t>FE (Driscoll-Kraay SE)</w:t>
            </w:r>
          </w:p>
        </w:tc>
      </w:tr>
      <w:tr w:rsidR="0088398A" w14:paraId="7929B5BF" w14:textId="77777777" w:rsidTr="00FD2768">
        <w:tc>
          <w:tcPr>
            <w:tcW w:w="0" w:type="auto"/>
            <w:hideMark/>
          </w:tcPr>
          <w:p w14:paraId="56316826" w14:textId="0B14E640" w:rsidR="0088398A" w:rsidRPr="00992306" w:rsidRDefault="0088398A" w:rsidP="0088398A">
            <w:pPr>
              <w:rPr>
                <w:lang w:val="es-AR"/>
              </w:rPr>
            </w:pPr>
            <w:r w:rsidRPr="00B72232">
              <w:t>VIX</w:t>
            </w:r>
          </w:p>
        </w:tc>
        <w:tc>
          <w:tcPr>
            <w:tcW w:w="0" w:type="auto"/>
            <w:hideMark/>
          </w:tcPr>
          <w:p w14:paraId="40756554" w14:textId="7D9C3BEB" w:rsidR="0088398A" w:rsidRDefault="0088398A" w:rsidP="0088398A">
            <w:pPr>
              <w:jc w:val="center"/>
            </w:pPr>
            <w:r w:rsidRPr="00B72232">
              <w:t>-0.026***</w:t>
            </w:r>
          </w:p>
        </w:tc>
        <w:tc>
          <w:tcPr>
            <w:tcW w:w="0" w:type="auto"/>
            <w:hideMark/>
          </w:tcPr>
          <w:p w14:paraId="72BD1417" w14:textId="1F9A0C1F" w:rsidR="0088398A" w:rsidRDefault="0088398A" w:rsidP="0088398A">
            <w:pPr>
              <w:jc w:val="center"/>
            </w:pPr>
            <w:r w:rsidRPr="00B72232">
              <w:t>-0.0248*</w:t>
            </w:r>
          </w:p>
        </w:tc>
        <w:tc>
          <w:tcPr>
            <w:tcW w:w="0" w:type="auto"/>
            <w:hideMark/>
          </w:tcPr>
          <w:p w14:paraId="5AB8A89F" w14:textId="035DFC70" w:rsidR="0088398A" w:rsidRDefault="0088398A" w:rsidP="0088398A">
            <w:pPr>
              <w:jc w:val="center"/>
            </w:pPr>
            <w:r w:rsidRPr="00B72232">
              <w:t>-0.0262*</w:t>
            </w:r>
          </w:p>
        </w:tc>
      </w:tr>
      <w:tr w:rsidR="0088398A" w14:paraId="43CEB263" w14:textId="77777777" w:rsidTr="00FD2768">
        <w:tc>
          <w:tcPr>
            <w:tcW w:w="0" w:type="auto"/>
            <w:hideMark/>
          </w:tcPr>
          <w:p w14:paraId="502E665C" w14:textId="61A8FDB0" w:rsidR="0088398A" w:rsidRDefault="0088398A" w:rsidP="0088398A">
            <w:r w:rsidRPr="00B72232">
              <w:t>Fed 3M Forward</w:t>
            </w:r>
          </w:p>
        </w:tc>
        <w:tc>
          <w:tcPr>
            <w:tcW w:w="0" w:type="auto"/>
            <w:hideMark/>
          </w:tcPr>
          <w:p w14:paraId="1F19A892" w14:textId="7E2FBFC6" w:rsidR="0088398A" w:rsidRDefault="0088398A" w:rsidP="0088398A">
            <w:pPr>
              <w:jc w:val="center"/>
            </w:pPr>
            <w:r w:rsidRPr="00B72232">
              <w:t>0.1297***</w:t>
            </w:r>
          </w:p>
        </w:tc>
        <w:tc>
          <w:tcPr>
            <w:tcW w:w="0" w:type="auto"/>
            <w:hideMark/>
          </w:tcPr>
          <w:p w14:paraId="3664B804" w14:textId="20AEFEBA" w:rsidR="0088398A" w:rsidRDefault="0088398A" w:rsidP="0088398A">
            <w:pPr>
              <w:jc w:val="center"/>
            </w:pPr>
            <w:r w:rsidRPr="00B72232">
              <w:t>0.1369***</w:t>
            </w:r>
          </w:p>
        </w:tc>
        <w:tc>
          <w:tcPr>
            <w:tcW w:w="0" w:type="auto"/>
            <w:hideMark/>
          </w:tcPr>
          <w:p w14:paraId="50F43629" w14:textId="5C1C0C6F" w:rsidR="0088398A" w:rsidRDefault="0088398A" w:rsidP="0088398A">
            <w:pPr>
              <w:jc w:val="center"/>
            </w:pPr>
            <w:r w:rsidRPr="00B72232">
              <w:t>0.1297</w:t>
            </w:r>
          </w:p>
        </w:tc>
      </w:tr>
      <w:tr w:rsidR="0088398A" w14:paraId="3A837ACB" w14:textId="77777777" w:rsidTr="00FD2768">
        <w:tc>
          <w:tcPr>
            <w:tcW w:w="0" w:type="auto"/>
            <w:hideMark/>
          </w:tcPr>
          <w:p w14:paraId="6B9E6497" w14:textId="5303B30C" w:rsidR="0088398A" w:rsidRPr="00992306" w:rsidRDefault="0088398A" w:rsidP="0088398A">
            <w:pPr>
              <w:rPr>
                <w:lang w:val="es-AR"/>
              </w:rPr>
            </w:pPr>
            <w:r w:rsidRPr="00B72232">
              <w:t>USD/BRL</w:t>
            </w:r>
          </w:p>
        </w:tc>
        <w:tc>
          <w:tcPr>
            <w:tcW w:w="0" w:type="auto"/>
            <w:hideMark/>
          </w:tcPr>
          <w:p w14:paraId="3685F2E3" w14:textId="1133598C" w:rsidR="0088398A" w:rsidRDefault="0088398A" w:rsidP="0088398A">
            <w:pPr>
              <w:jc w:val="center"/>
            </w:pPr>
            <w:r w:rsidRPr="00B72232">
              <w:t>0.7029***</w:t>
            </w:r>
          </w:p>
        </w:tc>
        <w:tc>
          <w:tcPr>
            <w:tcW w:w="0" w:type="auto"/>
            <w:hideMark/>
          </w:tcPr>
          <w:p w14:paraId="4BC3B605" w14:textId="4A886560" w:rsidR="0088398A" w:rsidRDefault="0088398A" w:rsidP="0088398A">
            <w:pPr>
              <w:jc w:val="center"/>
            </w:pPr>
            <w:r w:rsidRPr="00B72232">
              <w:t>0.5067***</w:t>
            </w:r>
          </w:p>
        </w:tc>
        <w:tc>
          <w:tcPr>
            <w:tcW w:w="0" w:type="auto"/>
            <w:hideMark/>
          </w:tcPr>
          <w:p w14:paraId="2E2AC991" w14:textId="117AD8B5" w:rsidR="0088398A" w:rsidRDefault="0088398A" w:rsidP="0088398A">
            <w:pPr>
              <w:jc w:val="center"/>
            </w:pPr>
            <w:r w:rsidRPr="00B72232">
              <w:t>0.7029**</w:t>
            </w:r>
          </w:p>
        </w:tc>
      </w:tr>
      <w:tr w:rsidR="0088398A" w14:paraId="15E49C50" w14:textId="77777777" w:rsidTr="00FD2768">
        <w:tc>
          <w:tcPr>
            <w:tcW w:w="0" w:type="auto"/>
            <w:hideMark/>
          </w:tcPr>
          <w:p w14:paraId="610AA3A6" w14:textId="7668D57B" w:rsidR="0088398A" w:rsidRDefault="0088398A" w:rsidP="0088398A">
            <w:r w:rsidRPr="00B72232">
              <w:t xml:space="preserve">GDP </w:t>
            </w:r>
            <w:proofErr w:type="spellStart"/>
            <w:r w:rsidRPr="00B72232">
              <w:t>growth</w:t>
            </w:r>
            <w:proofErr w:type="spellEnd"/>
            <w:r w:rsidRPr="00B72232">
              <w:t xml:space="preserve"> (YoY)</w:t>
            </w:r>
          </w:p>
        </w:tc>
        <w:tc>
          <w:tcPr>
            <w:tcW w:w="0" w:type="auto"/>
            <w:hideMark/>
          </w:tcPr>
          <w:p w14:paraId="7034F257" w14:textId="65BAE906" w:rsidR="0088398A" w:rsidRDefault="0088398A" w:rsidP="0088398A">
            <w:pPr>
              <w:jc w:val="center"/>
            </w:pPr>
            <w:r w:rsidRPr="00B72232">
              <w:t>-0.0745***</w:t>
            </w:r>
          </w:p>
        </w:tc>
        <w:tc>
          <w:tcPr>
            <w:tcW w:w="0" w:type="auto"/>
            <w:hideMark/>
          </w:tcPr>
          <w:p w14:paraId="3A41E80B" w14:textId="31BEFB0C" w:rsidR="0088398A" w:rsidRDefault="0088398A" w:rsidP="0088398A">
            <w:pPr>
              <w:jc w:val="center"/>
            </w:pPr>
            <w:r w:rsidRPr="00B72232">
              <w:t>-0.0614*</w:t>
            </w:r>
          </w:p>
        </w:tc>
        <w:tc>
          <w:tcPr>
            <w:tcW w:w="0" w:type="auto"/>
            <w:hideMark/>
          </w:tcPr>
          <w:p w14:paraId="0D6FD254" w14:textId="6AD7AA8A" w:rsidR="0088398A" w:rsidRDefault="0088398A" w:rsidP="0088398A">
            <w:pPr>
              <w:jc w:val="center"/>
            </w:pPr>
            <w:r w:rsidRPr="00B72232">
              <w:t>-0.0745**</w:t>
            </w:r>
          </w:p>
        </w:tc>
      </w:tr>
      <w:tr w:rsidR="0088398A" w14:paraId="77A561A3" w14:textId="77777777" w:rsidTr="00FD2768">
        <w:tc>
          <w:tcPr>
            <w:tcW w:w="0" w:type="auto"/>
            <w:hideMark/>
          </w:tcPr>
          <w:p w14:paraId="7E4D5A96" w14:textId="65E6DD19" w:rsidR="0088398A" w:rsidRDefault="0088398A" w:rsidP="0088398A">
            <w:r w:rsidRPr="00B72232">
              <w:t xml:space="preserve">Public </w:t>
            </w:r>
            <w:proofErr w:type="spellStart"/>
            <w:r w:rsidRPr="00B72232">
              <w:t>debt</w:t>
            </w:r>
            <w:proofErr w:type="spellEnd"/>
            <w:r w:rsidRPr="00B72232">
              <w:t xml:space="preserve"> / GDP</w:t>
            </w:r>
          </w:p>
        </w:tc>
        <w:tc>
          <w:tcPr>
            <w:tcW w:w="0" w:type="auto"/>
            <w:hideMark/>
          </w:tcPr>
          <w:p w14:paraId="78992F2A" w14:textId="3DA6E73C" w:rsidR="0088398A" w:rsidRDefault="0088398A" w:rsidP="0088398A">
            <w:pPr>
              <w:jc w:val="center"/>
            </w:pPr>
            <w:r w:rsidRPr="00B72232">
              <w:t>0.1048*</w:t>
            </w:r>
          </w:p>
        </w:tc>
        <w:tc>
          <w:tcPr>
            <w:tcW w:w="0" w:type="auto"/>
            <w:hideMark/>
          </w:tcPr>
          <w:p w14:paraId="27B35612" w14:textId="27CE8D52" w:rsidR="0088398A" w:rsidRDefault="0088398A" w:rsidP="0088398A">
            <w:pPr>
              <w:jc w:val="center"/>
            </w:pPr>
            <w:r w:rsidRPr="00B72232">
              <w:t>0.1077***</w:t>
            </w:r>
          </w:p>
        </w:tc>
        <w:tc>
          <w:tcPr>
            <w:tcW w:w="0" w:type="auto"/>
            <w:hideMark/>
          </w:tcPr>
          <w:p w14:paraId="25F9B51A" w14:textId="2084E0C0" w:rsidR="0088398A" w:rsidRDefault="0088398A" w:rsidP="0088398A">
            <w:pPr>
              <w:jc w:val="center"/>
            </w:pPr>
            <w:r w:rsidRPr="00B72232">
              <w:t>0.1048**</w:t>
            </w:r>
          </w:p>
        </w:tc>
      </w:tr>
      <w:tr w:rsidR="0088398A" w14:paraId="3E52C00E" w14:textId="77777777" w:rsidTr="00FD2768">
        <w:tc>
          <w:tcPr>
            <w:tcW w:w="0" w:type="auto"/>
            <w:hideMark/>
          </w:tcPr>
          <w:p w14:paraId="1E9F9717" w14:textId="63998EB0" w:rsidR="0088398A" w:rsidRDefault="0088398A" w:rsidP="0088398A">
            <w:r w:rsidRPr="00B72232">
              <w:t xml:space="preserve">Cash </w:t>
            </w:r>
            <w:proofErr w:type="spellStart"/>
            <w:r w:rsidRPr="00B72232">
              <w:t>flow</w:t>
            </w:r>
            <w:proofErr w:type="spellEnd"/>
            <w:r w:rsidRPr="00B72232">
              <w:t xml:space="preserve"> / </w:t>
            </w:r>
            <w:proofErr w:type="spellStart"/>
            <w:r w:rsidRPr="00B72232">
              <w:t>assets</w:t>
            </w:r>
            <w:proofErr w:type="spellEnd"/>
          </w:p>
        </w:tc>
        <w:tc>
          <w:tcPr>
            <w:tcW w:w="0" w:type="auto"/>
            <w:hideMark/>
          </w:tcPr>
          <w:p w14:paraId="6B73FDFB" w14:textId="50F8B7ED" w:rsidR="0088398A" w:rsidRDefault="0088398A" w:rsidP="0088398A">
            <w:pPr>
              <w:jc w:val="center"/>
            </w:pPr>
            <w:r w:rsidRPr="00B72232">
              <w:t>0.0006</w:t>
            </w:r>
          </w:p>
        </w:tc>
        <w:tc>
          <w:tcPr>
            <w:tcW w:w="0" w:type="auto"/>
            <w:hideMark/>
          </w:tcPr>
          <w:p w14:paraId="5BE381F7" w14:textId="6623F326" w:rsidR="0088398A" w:rsidRDefault="0088398A" w:rsidP="0088398A">
            <w:pPr>
              <w:jc w:val="center"/>
            </w:pPr>
            <w:r w:rsidRPr="00B72232">
              <w:t>0.0091***</w:t>
            </w:r>
          </w:p>
        </w:tc>
        <w:tc>
          <w:tcPr>
            <w:tcW w:w="0" w:type="auto"/>
            <w:hideMark/>
          </w:tcPr>
          <w:p w14:paraId="41FDBD44" w14:textId="3E9A2DC8" w:rsidR="0088398A" w:rsidRDefault="0088398A" w:rsidP="0088398A">
            <w:pPr>
              <w:jc w:val="center"/>
            </w:pPr>
            <w:r w:rsidRPr="00B72232">
              <w:t>0.0006</w:t>
            </w:r>
          </w:p>
        </w:tc>
      </w:tr>
      <w:tr w:rsidR="0088398A" w14:paraId="59F8C5EF" w14:textId="77777777" w:rsidTr="00FD2768">
        <w:tc>
          <w:tcPr>
            <w:tcW w:w="0" w:type="auto"/>
            <w:hideMark/>
          </w:tcPr>
          <w:p w14:paraId="079EB793" w14:textId="6190BF46" w:rsidR="0088398A" w:rsidRPr="00992306" w:rsidRDefault="0088398A" w:rsidP="0088398A">
            <w:pPr>
              <w:rPr>
                <w:lang w:val="es-AR"/>
              </w:rPr>
            </w:pPr>
            <w:proofErr w:type="spellStart"/>
            <w:r w:rsidRPr="00B72232">
              <w:t>Amount</w:t>
            </w:r>
            <w:proofErr w:type="spellEnd"/>
            <w:r w:rsidRPr="00B72232">
              <w:t xml:space="preserve"> </w:t>
            </w:r>
            <w:proofErr w:type="spellStart"/>
            <w:r w:rsidRPr="00B72232">
              <w:t>issued</w:t>
            </w:r>
            <w:proofErr w:type="spellEnd"/>
            <w:r w:rsidRPr="00B72232">
              <w:t xml:space="preserve"> / </w:t>
            </w:r>
            <w:proofErr w:type="spellStart"/>
            <w:r w:rsidRPr="00B72232">
              <w:t>assets</w:t>
            </w:r>
            <w:proofErr w:type="spellEnd"/>
          </w:p>
        </w:tc>
        <w:tc>
          <w:tcPr>
            <w:tcW w:w="0" w:type="auto"/>
            <w:hideMark/>
          </w:tcPr>
          <w:p w14:paraId="6EF537C0" w14:textId="6435A2F1" w:rsidR="0088398A" w:rsidRDefault="0088398A" w:rsidP="0088398A">
            <w:pPr>
              <w:jc w:val="center"/>
            </w:pPr>
            <w:r w:rsidRPr="00B72232">
              <w:t>-0.1017**</w:t>
            </w:r>
          </w:p>
        </w:tc>
        <w:tc>
          <w:tcPr>
            <w:tcW w:w="0" w:type="auto"/>
            <w:hideMark/>
          </w:tcPr>
          <w:p w14:paraId="5068A72D" w14:textId="668D6C41" w:rsidR="0088398A" w:rsidRDefault="0088398A" w:rsidP="0088398A">
            <w:pPr>
              <w:jc w:val="center"/>
            </w:pPr>
            <w:r w:rsidRPr="00B72232">
              <w:t>0.0067***</w:t>
            </w:r>
          </w:p>
        </w:tc>
        <w:tc>
          <w:tcPr>
            <w:tcW w:w="0" w:type="auto"/>
            <w:hideMark/>
          </w:tcPr>
          <w:p w14:paraId="59E24EE0" w14:textId="52C729AB" w:rsidR="0088398A" w:rsidRDefault="0088398A" w:rsidP="0088398A">
            <w:pPr>
              <w:jc w:val="center"/>
            </w:pPr>
            <w:r w:rsidRPr="00B72232">
              <w:t>-0.1017***</w:t>
            </w:r>
          </w:p>
        </w:tc>
      </w:tr>
      <w:tr w:rsidR="0088398A" w14:paraId="721A8FE5" w14:textId="77777777" w:rsidTr="00FD2768">
        <w:tc>
          <w:tcPr>
            <w:tcW w:w="0" w:type="auto"/>
            <w:hideMark/>
          </w:tcPr>
          <w:p w14:paraId="37CE4481" w14:textId="4DBD09EB" w:rsidR="0088398A" w:rsidRDefault="0088398A" w:rsidP="0088398A">
            <w:proofErr w:type="spellStart"/>
            <w:r w:rsidRPr="00B72232">
              <w:t>Debt</w:t>
            </w:r>
            <w:proofErr w:type="spellEnd"/>
            <w:r w:rsidRPr="00B72232">
              <w:t xml:space="preserve"> / EBITDA</w:t>
            </w:r>
          </w:p>
        </w:tc>
        <w:tc>
          <w:tcPr>
            <w:tcW w:w="0" w:type="auto"/>
            <w:hideMark/>
          </w:tcPr>
          <w:p w14:paraId="7F26EB2A" w14:textId="6CB237D7" w:rsidR="0088398A" w:rsidRDefault="0088398A" w:rsidP="0088398A">
            <w:pPr>
              <w:jc w:val="center"/>
            </w:pPr>
            <w:r w:rsidRPr="00B72232">
              <w:t>0.0007</w:t>
            </w:r>
          </w:p>
        </w:tc>
        <w:tc>
          <w:tcPr>
            <w:tcW w:w="0" w:type="auto"/>
            <w:hideMark/>
          </w:tcPr>
          <w:p w14:paraId="1318B674" w14:textId="22DD00C7" w:rsidR="0088398A" w:rsidRDefault="0088398A" w:rsidP="0088398A">
            <w:pPr>
              <w:jc w:val="center"/>
            </w:pPr>
            <w:r w:rsidRPr="00B72232">
              <w:t>0.0001</w:t>
            </w:r>
          </w:p>
        </w:tc>
        <w:tc>
          <w:tcPr>
            <w:tcW w:w="0" w:type="auto"/>
            <w:hideMark/>
          </w:tcPr>
          <w:p w14:paraId="361C2DEC" w14:textId="551E62DD" w:rsidR="0088398A" w:rsidRDefault="0088398A" w:rsidP="0088398A">
            <w:pPr>
              <w:jc w:val="center"/>
            </w:pPr>
            <w:r w:rsidRPr="00B72232">
              <w:t>0.0007</w:t>
            </w:r>
          </w:p>
        </w:tc>
      </w:tr>
      <w:tr w:rsidR="0088398A" w14:paraId="12C8DF9B" w14:textId="77777777" w:rsidTr="00FD2768">
        <w:tc>
          <w:tcPr>
            <w:tcW w:w="0" w:type="auto"/>
            <w:hideMark/>
          </w:tcPr>
          <w:p w14:paraId="000F4A3E" w14:textId="2E764B0C" w:rsidR="0088398A" w:rsidRDefault="0088398A" w:rsidP="0088398A">
            <w:r w:rsidRPr="00B72232">
              <w:t xml:space="preserve">Residual </w:t>
            </w:r>
            <w:proofErr w:type="spellStart"/>
            <w:r w:rsidRPr="00B72232">
              <w:t>maturity</w:t>
            </w:r>
            <w:proofErr w:type="spellEnd"/>
          </w:p>
        </w:tc>
        <w:tc>
          <w:tcPr>
            <w:tcW w:w="0" w:type="auto"/>
            <w:hideMark/>
          </w:tcPr>
          <w:p w14:paraId="659FDE59" w14:textId="61E30058" w:rsidR="0088398A" w:rsidRDefault="0088398A" w:rsidP="0088398A">
            <w:pPr>
              <w:jc w:val="center"/>
            </w:pPr>
            <w:r w:rsidRPr="00B72232">
              <w:t>0.2023</w:t>
            </w:r>
          </w:p>
        </w:tc>
        <w:tc>
          <w:tcPr>
            <w:tcW w:w="0" w:type="auto"/>
            <w:hideMark/>
          </w:tcPr>
          <w:p w14:paraId="4121F485" w14:textId="44E42858" w:rsidR="0088398A" w:rsidRDefault="0088398A" w:rsidP="0088398A">
            <w:pPr>
              <w:jc w:val="center"/>
            </w:pPr>
            <w:r w:rsidRPr="00B72232">
              <w:t>0.0471***</w:t>
            </w:r>
          </w:p>
        </w:tc>
        <w:tc>
          <w:tcPr>
            <w:tcW w:w="0" w:type="auto"/>
            <w:hideMark/>
          </w:tcPr>
          <w:p w14:paraId="4EAE60EA" w14:textId="304C7343" w:rsidR="0088398A" w:rsidRDefault="0088398A" w:rsidP="0088398A">
            <w:pPr>
              <w:jc w:val="center"/>
            </w:pPr>
            <w:r w:rsidRPr="00B72232">
              <w:t>0.2023</w:t>
            </w:r>
          </w:p>
        </w:tc>
      </w:tr>
      <w:tr w:rsidR="0088398A" w14:paraId="055B80FD" w14:textId="77777777" w:rsidTr="00FD2768">
        <w:tc>
          <w:tcPr>
            <w:tcW w:w="0" w:type="auto"/>
            <w:hideMark/>
          </w:tcPr>
          <w:p w14:paraId="3F36F4AE" w14:textId="00DC6464" w:rsidR="0088398A" w:rsidRDefault="0088398A" w:rsidP="0088398A">
            <w:proofErr w:type="spellStart"/>
            <w:r w:rsidRPr="00B72232">
              <w:t>Synthetic</w:t>
            </w:r>
            <w:proofErr w:type="spellEnd"/>
            <w:r w:rsidRPr="00B72232">
              <w:t xml:space="preserve"> </w:t>
            </w:r>
            <w:proofErr w:type="spellStart"/>
            <w:r w:rsidRPr="00B72232">
              <w:t>sovereign</w:t>
            </w:r>
            <w:proofErr w:type="spellEnd"/>
            <w:r w:rsidRPr="00B72232">
              <w:t xml:space="preserve"> </w:t>
            </w:r>
            <w:proofErr w:type="spellStart"/>
            <w:r w:rsidRPr="00B72232">
              <w:t>risk</w:t>
            </w:r>
            <w:proofErr w:type="spellEnd"/>
            <w:r w:rsidRPr="00B72232">
              <w:t xml:space="preserve"> (BRL)</w:t>
            </w:r>
          </w:p>
        </w:tc>
        <w:tc>
          <w:tcPr>
            <w:tcW w:w="0" w:type="auto"/>
            <w:hideMark/>
          </w:tcPr>
          <w:p w14:paraId="3A5599F8" w14:textId="0BEDEBB9" w:rsidR="0088398A" w:rsidRDefault="0088398A" w:rsidP="0088398A">
            <w:pPr>
              <w:jc w:val="center"/>
            </w:pPr>
            <w:r w:rsidRPr="00B72232">
              <w:t>-0.1233**</w:t>
            </w:r>
          </w:p>
        </w:tc>
        <w:tc>
          <w:tcPr>
            <w:tcW w:w="0" w:type="auto"/>
            <w:hideMark/>
          </w:tcPr>
          <w:p w14:paraId="01008202" w14:textId="5445C1FF" w:rsidR="0088398A" w:rsidRDefault="0088398A" w:rsidP="0088398A">
            <w:pPr>
              <w:jc w:val="center"/>
            </w:pPr>
            <w:r w:rsidRPr="00B72232">
              <w:t>-0.0315**</w:t>
            </w:r>
          </w:p>
        </w:tc>
        <w:tc>
          <w:tcPr>
            <w:tcW w:w="0" w:type="auto"/>
            <w:hideMark/>
          </w:tcPr>
          <w:p w14:paraId="0B884213" w14:textId="3C4A3C1A" w:rsidR="0088398A" w:rsidRDefault="0088398A" w:rsidP="0088398A">
            <w:pPr>
              <w:jc w:val="center"/>
            </w:pPr>
            <w:r w:rsidRPr="00B72232">
              <w:t>-0.1233***</w:t>
            </w:r>
          </w:p>
        </w:tc>
      </w:tr>
      <w:tr w:rsidR="0088398A" w14:paraId="1D617AE6" w14:textId="77777777" w:rsidTr="00FD2768">
        <w:tc>
          <w:tcPr>
            <w:tcW w:w="0" w:type="auto"/>
            <w:hideMark/>
          </w:tcPr>
          <w:p w14:paraId="22701DBA" w14:textId="54F6E2DF" w:rsidR="0088398A" w:rsidRDefault="0088398A" w:rsidP="0088398A">
            <w:proofErr w:type="spellStart"/>
            <w:r w:rsidRPr="00B72232">
              <w:t>Within</w:t>
            </w:r>
            <w:proofErr w:type="spellEnd"/>
            <w:r w:rsidRPr="00B72232">
              <w:t xml:space="preserve"> R-</w:t>
            </w:r>
            <w:proofErr w:type="spellStart"/>
            <w:r w:rsidRPr="00B72232">
              <w:t>squared</w:t>
            </w:r>
            <w:proofErr w:type="spellEnd"/>
          </w:p>
        </w:tc>
        <w:tc>
          <w:tcPr>
            <w:tcW w:w="0" w:type="auto"/>
            <w:hideMark/>
          </w:tcPr>
          <w:p w14:paraId="4231200E" w14:textId="73FBE963" w:rsidR="0088398A" w:rsidRDefault="0088398A" w:rsidP="0088398A">
            <w:pPr>
              <w:jc w:val="center"/>
            </w:pPr>
            <w:r w:rsidRPr="00B72232">
              <w:t>0.1205</w:t>
            </w:r>
          </w:p>
        </w:tc>
        <w:tc>
          <w:tcPr>
            <w:tcW w:w="0" w:type="auto"/>
            <w:hideMark/>
          </w:tcPr>
          <w:p w14:paraId="71A7931C" w14:textId="77C31DF3" w:rsidR="0088398A" w:rsidRDefault="0088398A" w:rsidP="0088398A">
            <w:pPr>
              <w:jc w:val="center"/>
            </w:pPr>
            <w:r w:rsidRPr="00B72232">
              <w:t>0.2655</w:t>
            </w:r>
          </w:p>
        </w:tc>
        <w:tc>
          <w:tcPr>
            <w:tcW w:w="0" w:type="auto"/>
            <w:hideMark/>
          </w:tcPr>
          <w:p w14:paraId="44C38F69" w14:textId="08E82D54" w:rsidR="0088398A" w:rsidRDefault="0088398A" w:rsidP="0088398A">
            <w:pPr>
              <w:jc w:val="center"/>
            </w:pPr>
            <w:r w:rsidRPr="00B72232">
              <w:t>0.1205</w:t>
            </w:r>
          </w:p>
        </w:tc>
      </w:tr>
      <w:tr w:rsidR="0088398A" w14:paraId="1D6FB3E5" w14:textId="77777777" w:rsidTr="00FD2768">
        <w:tc>
          <w:tcPr>
            <w:tcW w:w="0" w:type="auto"/>
            <w:hideMark/>
          </w:tcPr>
          <w:p w14:paraId="3FB49588" w14:textId="2FCDCFA9" w:rsidR="0088398A" w:rsidRPr="00FD2768" w:rsidRDefault="0088398A" w:rsidP="0088398A">
            <w:r w:rsidRPr="00B72232">
              <w:t>rho</w:t>
            </w:r>
          </w:p>
        </w:tc>
        <w:tc>
          <w:tcPr>
            <w:tcW w:w="0" w:type="auto"/>
            <w:hideMark/>
          </w:tcPr>
          <w:p w14:paraId="0DD9634B" w14:textId="0CCD9DD4" w:rsidR="0088398A" w:rsidRDefault="0088398A" w:rsidP="0088398A">
            <w:pPr>
              <w:jc w:val="center"/>
            </w:pPr>
            <w:r w:rsidRPr="00B72232">
              <w:t>0.8188</w:t>
            </w:r>
          </w:p>
        </w:tc>
        <w:tc>
          <w:tcPr>
            <w:tcW w:w="0" w:type="auto"/>
            <w:hideMark/>
          </w:tcPr>
          <w:p w14:paraId="67C2E266" w14:textId="10EF3645" w:rsidR="0088398A" w:rsidRDefault="0088398A" w:rsidP="0088398A">
            <w:pPr>
              <w:jc w:val="center"/>
            </w:pPr>
            <w:r w:rsidRPr="00B72232">
              <w:t>-</w:t>
            </w:r>
          </w:p>
        </w:tc>
        <w:tc>
          <w:tcPr>
            <w:tcW w:w="0" w:type="auto"/>
            <w:hideMark/>
          </w:tcPr>
          <w:p w14:paraId="3A745F10" w14:textId="0DA619F1" w:rsidR="0088398A" w:rsidRDefault="0088398A" w:rsidP="0088398A">
            <w:pPr>
              <w:jc w:val="center"/>
            </w:pPr>
            <w:r w:rsidRPr="00B72232">
              <w:t>-</w:t>
            </w:r>
          </w:p>
        </w:tc>
      </w:tr>
    </w:tbl>
    <w:p w14:paraId="17DC960A" w14:textId="39C20B81" w:rsidR="00FD2768" w:rsidRDefault="00D65602" w:rsidP="00FD2768">
      <w:pPr>
        <w:jc w:val="both"/>
        <w:rPr>
          <w:i/>
          <w:iCs/>
          <w:color w:val="1F497D" w:themeColor="text2"/>
          <w:sz w:val="18"/>
          <w:szCs w:val="18"/>
          <w:lang w:val="en-US"/>
        </w:rPr>
      </w:pPr>
      <w:r w:rsidRPr="00D65602">
        <w:rPr>
          <w:i/>
          <w:iCs/>
          <w:color w:val="1F497D" w:themeColor="text2"/>
          <w:sz w:val="18"/>
          <w:szCs w:val="18"/>
          <w:lang w:val="en-US"/>
        </w:rPr>
        <w:t xml:space="preserve">Notes: </w:t>
      </w:r>
      <w:r w:rsidR="000327AF" w:rsidRPr="000327AF">
        <w:rPr>
          <w:i/>
          <w:iCs/>
          <w:color w:val="1F497D" w:themeColor="text2"/>
          <w:sz w:val="18"/>
          <w:szCs w:val="18"/>
          <w:lang w:val="en-US"/>
        </w:rPr>
        <w:t>Dependent variable is the real spread of each IPCA-linked corporate bond over a maturity-matched real benchmark. Column 1 is the preferred bond fixed-effects specification with issuer-clustered standard errors. Column 2 reports a PCSE specification that corrects for heteroskedasticity and contemporaneous correlation across panels. Column 3 reports fixed-effects coefficients with Driscoll-Kraay standard errors, which are robust to heteroskedasticity, serial correlation, and cross-sectional dependence. *, **, and *** denote significance at the 10, 5, and 1 percent levels, respectively.</w:t>
      </w:r>
    </w:p>
    <w:p w14:paraId="0949508E" w14:textId="77777777" w:rsidR="000327AF" w:rsidRPr="00D65602" w:rsidRDefault="000327AF" w:rsidP="00FD2768">
      <w:pPr>
        <w:jc w:val="both"/>
        <w:rPr>
          <w:lang w:val="en-US"/>
        </w:rPr>
      </w:pPr>
    </w:p>
    <w:p w14:paraId="0B106D8B" w14:textId="2D65F57F" w:rsidR="00FA6F3E" w:rsidRDefault="00FA6F3E" w:rsidP="00FA6F3E">
      <w:pPr>
        <w:ind w:firstLine="709"/>
        <w:jc w:val="both"/>
        <w:rPr>
          <w:bCs/>
          <w:lang w:val="en-US" w:eastAsia="es-ES"/>
        </w:rPr>
      </w:pPr>
      <w:r w:rsidRPr="00FA6F3E">
        <w:rPr>
          <w:bCs/>
          <w:lang w:val="en-US" w:eastAsia="es-ES"/>
        </w:rPr>
        <w:t xml:space="preserve">First, global financial conditions matter. </w:t>
      </w:r>
      <w:r w:rsidRPr="00C24802">
        <w:rPr>
          <w:bCs/>
          <w:lang w:val="en-US" w:eastAsia="es-ES"/>
        </w:rPr>
        <w:t>The coefficient on the three-month US monetary forward measure is positive and statistically significant in the baseline and in the PCSE model. This result is consistent with the hypothesis that expected US monetary tightening increases the cost of funding in emerging markets and is transmitted to Brazil's local-currency corporate bond market. Even though the bonds are denominated in reais and indexed to inflation, their pricing is not insulated from shifts in the international financial cycle. Changes in benchmark rates, global portfolio allocation, and risk appetite affect the compensation demanded by investors in domestic fixed income.</w:t>
      </w:r>
    </w:p>
    <w:p w14:paraId="63B469AD" w14:textId="77777777" w:rsidR="00C24802" w:rsidRPr="00C24802" w:rsidRDefault="00C24802" w:rsidP="00FA6F3E">
      <w:pPr>
        <w:ind w:firstLine="709"/>
        <w:jc w:val="both"/>
        <w:rPr>
          <w:bCs/>
          <w:lang w:val="en-US" w:eastAsia="es-ES"/>
        </w:rPr>
      </w:pPr>
    </w:p>
    <w:p w14:paraId="104718CF" w14:textId="77777777" w:rsidR="00FA6F3E" w:rsidRDefault="00FA6F3E" w:rsidP="00FA6F3E">
      <w:pPr>
        <w:ind w:firstLine="709"/>
        <w:jc w:val="both"/>
        <w:rPr>
          <w:bCs/>
          <w:lang w:val="en-US" w:eastAsia="es-ES"/>
        </w:rPr>
      </w:pPr>
      <w:r w:rsidRPr="00C24802">
        <w:rPr>
          <w:bCs/>
          <w:lang w:val="en-US" w:eastAsia="es-ES"/>
        </w:rPr>
        <w:t xml:space="preserve">The coefficient on the VIX is negative, which is not the standard prediction in the literature. In the baseline fixed-effects model the coefficient is statistically significant, and it remains negative under both alternative inference procedures, although significance becomes weaker. This result should not be read as evidence that global stress lowers financing costs in a general sense. A more plausible interpretation is relative: episodes of global tension may induce reallocation within the Brazilian fixed-income universe toward higher-quality corporate bonds, especially in a market dominated by domestic institutional investors with long-horizon liabilities. It is also possible that the VIX effect overlaps with other macro-financial variables in the specification and therefore captures residual portfolio </w:t>
      </w:r>
      <w:r w:rsidRPr="00C24802">
        <w:rPr>
          <w:bCs/>
          <w:lang w:val="en-US" w:eastAsia="es-ES"/>
        </w:rPr>
        <w:lastRenderedPageBreak/>
        <w:t>shifts rather than a pure risk-aversion channel. In any case, the sign indicates that the translation of global risk aversion into local corporate spreads is more complex than a simple one-directional risk-off story.</w:t>
      </w:r>
    </w:p>
    <w:p w14:paraId="0DE30D0C" w14:textId="77777777" w:rsidR="00C24802" w:rsidRPr="00C24802" w:rsidRDefault="00C24802" w:rsidP="00FA6F3E">
      <w:pPr>
        <w:ind w:firstLine="709"/>
        <w:jc w:val="both"/>
        <w:rPr>
          <w:bCs/>
          <w:lang w:val="en-US" w:eastAsia="es-ES"/>
        </w:rPr>
      </w:pPr>
    </w:p>
    <w:p w14:paraId="128F703A" w14:textId="77777777" w:rsidR="00FA6F3E" w:rsidRDefault="00FA6F3E" w:rsidP="00FA6F3E">
      <w:pPr>
        <w:ind w:firstLine="709"/>
        <w:jc w:val="both"/>
        <w:rPr>
          <w:bCs/>
          <w:lang w:val="en-US" w:eastAsia="es-ES"/>
        </w:rPr>
      </w:pPr>
      <w:r w:rsidRPr="00C24802">
        <w:rPr>
          <w:bCs/>
          <w:lang w:val="en-US" w:eastAsia="es-ES"/>
        </w:rPr>
        <w:t>Second, domestic macroeconomic variables are economically important and largely robust across specifications. The exchange-rate coefficient is positive and significant in all three columns. BRL depreciation is therefore associated with wider corporate spreads, even for inflation-linked debt issued in local currency. This result suggests that the exchange rate acts as a summary indicator of macro-financial stress, external vulnerability, and the tightening of domestic financial conditions. In an emerging market such as Brazil, exchange-rate movements influence inflation expectations, monetary policy, foreign portfolio flows, and perceptions of overall risk. Corporate bond spreads respond to those broader channels even when there is no mechanical currency mismatch in the instrument itself.</w:t>
      </w:r>
    </w:p>
    <w:p w14:paraId="53BB7DCC" w14:textId="77777777" w:rsidR="00C24802" w:rsidRPr="00C24802" w:rsidRDefault="00C24802" w:rsidP="00FA6F3E">
      <w:pPr>
        <w:ind w:firstLine="709"/>
        <w:jc w:val="both"/>
        <w:rPr>
          <w:bCs/>
          <w:lang w:val="en-US" w:eastAsia="es-ES"/>
        </w:rPr>
      </w:pPr>
    </w:p>
    <w:p w14:paraId="23D12F4C" w14:textId="77777777" w:rsidR="00FA6F3E" w:rsidRDefault="00FA6F3E" w:rsidP="00FA6F3E">
      <w:pPr>
        <w:ind w:firstLine="709"/>
        <w:jc w:val="both"/>
        <w:rPr>
          <w:bCs/>
          <w:lang w:val="en-US" w:eastAsia="es-ES"/>
        </w:rPr>
      </w:pPr>
      <w:r w:rsidRPr="00C24802">
        <w:rPr>
          <w:bCs/>
          <w:lang w:val="en-US" w:eastAsia="es-ES"/>
        </w:rPr>
        <w:t>Real GDP growth enters with a negative coefficient that is statistically significant in all specifications, although significance is somewhat weaker under PCSE. This finding is in line with the standard view that stronger economic activity improves expected debt-servicing capacity and reduces default risk. In the context of Brazil's corporate bond market, the result also suggests that investors price broad macroeconomic conditions rather than relying only on firm-specific balance-sheet indicators.</w:t>
      </w:r>
    </w:p>
    <w:p w14:paraId="5A934636" w14:textId="77777777" w:rsidR="00C24802" w:rsidRPr="00C24802" w:rsidRDefault="00C24802" w:rsidP="00FA6F3E">
      <w:pPr>
        <w:ind w:firstLine="709"/>
        <w:jc w:val="both"/>
        <w:rPr>
          <w:bCs/>
          <w:lang w:val="en-US" w:eastAsia="es-ES"/>
        </w:rPr>
      </w:pPr>
    </w:p>
    <w:p w14:paraId="2B10425D" w14:textId="77777777" w:rsidR="00FA6F3E" w:rsidRPr="00C24802" w:rsidRDefault="00FA6F3E" w:rsidP="00FA6F3E">
      <w:pPr>
        <w:ind w:firstLine="709"/>
        <w:jc w:val="both"/>
        <w:rPr>
          <w:bCs/>
          <w:lang w:val="en-US" w:eastAsia="es-ES"/>
        </w:rPr>
      </w:pPr>
      <w:r w:rsidRPr="00C24802">
        <w:rPr>
          <w:bCs/>
          <w:lang w:val="en-US" w:eastAsia="es-ES"/>
        </w:rPr>
        <w:t>The public-debt-to-GDP ratio is positive across specifications and significant in the baseline as well as in the two alternative estimators. This is consistent with a fiscal-macro channel linking sovereign conditions to private financing costs. A deterioration in the public-debt burden may increase uncertainty about future taxation, inflation, crowding-out pressures, and the broader macroeconomic environment. Even when the sovereign-risk proxy is included separately, the public-debt variable retains explanatory power, which suggests that market participants distinguish between structural fiscal vulnerability and the contemporaneous pricing of sovereign bonds.</w:t>
      </w:r>
    </w:p>
    <w:p w14:paraId="29CEB5C4" w14:textId="77777777" w:rsidR="00FA6F3E" w:rsidRDefault="00FA6F3E" w:rsidP="00FA6F3E">
      <w:pPr>
        <w:ind w:firstLine="709"/>
        <w:jc w:val="both"/>
        <w:rPr>
          <w:bCs/>
          <w:lang w:val="en-US" w:eastAsia="es-ES"/>
        </w:rPr>
      </w:pPr>
      <w:r w:rsidRPr="00C24802">
        <w:rPr>
          <w:bCs/>
          <w:lang w:val="en-US" w:eastAsia="es-ES"/>
        </w:rPr>
        <w:t>Third, the most striking result concerns the sovereign-risk variable. The synthetic BRL sovereign spread carries a negative and statistically significant coefficient in all specifications. This is the opposite of the standard sovereign-ceiling prediction, according to which higher sovereign risk should raise corporate spreads by worsening the credit environment for private issuers. The negative sign indicates that in Brazil's inflation-linked corporate bond market, sovereign and corporate spreads do not move one-for-one in the conventional direction. At a minimum, the result suggests that sovereign-corporate transmission in local currency is not mechanical.</w:t>
      </w:r>
    </w:p>
    <w:p w14:paraId="235394B3" w14:textId="77777777" w:rsidR="00C24802" w:rsidRPr="00C24802" w:rsidRDefault="00C24802" w:rsidP="00FA6F3E">
      <w:pPr>
        <w:ind w:firstLine="709"/>
        <w:jc w:val="both"/>
        <w:rPr>
          <w:bCs/>
          <w:lang w:val="en-US" w:eastAsia="es-ES"/>
        </w:rPr>
      </w:pPr>
    </w:p>
    <w:p w14:paraId="7A1FDAB8" w14:textId="77777777" w:rsidR="00FA6F3E" w:rsidRDefault="00FA6F3E" w:rsidP="00FA6F3E">
      <w:pPr>
        <w:ind w:firstLine="709"/>
        <w:jc w:val="both"/>
        <w:rPr>
          <w:bCs/>
          <w:lang w:val="en-US" w:eastAsia="es-ES"/>
        </w:rPr>
      </w:pPr>
      <w:r w:rsidRPr="00C24802">
        <w:rPr>
          <w:bCs/>
          <w:lang w:val="en-US" w:eastAsia="es-ES"/>
        </w:rPr>
        <w:t>Fourth, among the idiosyncratic variables, issue size is the most robust determinant. The ratio of amount issued to assets enters with a negative sign in the baseline fixed-effects model and in the Driscoll-Kraay specification, consistent with the view that larger issues trade at lower spreads because they are more liquid or more visible to investors. In the PCSE specification, however, the coefficient turns positive. This sign reversal indicates that the precise inference for liquidity-related microstructure variables is sensitive to the treatment of the error structure. Still, because both the baseline and Driscoll-Kraay estimates preserve the expected negative sign, the overall evidence remains supportive of an issue-size liquidity premium.</w:t>
      </w:r>
    </w:p>
    <w:p w14:paraId="355C905A" w14:textId="77777777" w:rsidR="00C24802" w:rsidRPr="00C24802" w:rsidRDefault="00C24802" w:rsidP="00FA6F3E">
      <w:pPr>
        <w:ind w:firstLine="709"/>
        <w:jc w:val="both"/>
        <w:rPr>
          <w:bCs/>
          <w:lang w:val="en-US" w:eastAsia="es-ES"/>
        </w:rPr>
      </w:pPr>
    </w:p>
    <w:p w14:paraId="0CB75267" w14:textId="71F5C6D7" w:rsidR="00FD2768" w:rsidRDefault="00FA6F3E" w:rsidP="00C24802">
      <w:pPr>
        <w:ind w:firstLine="709"/>
        <w:jc w:val="both"/>
        <w:rPr>
          <w:lang w:val="en-US"/>
        </w:rPr>
      </w:pPr>
      <w:r w:rsidRPr="00FA6F3E">
        <w:rPr>
          <w:bCs/>
          <w:lang w:val="en-US" w:eastAsia="es-ES"/>
        </w:rPr>
        <w:t xml:space="preserve">By contrast, the accounting variables are not robust. </w:t>
      </w:r>
      <w:r w:rsidRPr="00C24802">
        <w:rPr>
          <w:bCs/>
          <w:lang w:val="en-US" w:eastAsia="es-ES"/>
        </w:rPr>
        <w:t>Operating cash flow over assets is insignificant in the baseline and under Driscoll-Kraay, although it is positive and significant under PCSE. Debt to EBITDA is small and insignificant in all cases. Residual maturity is insignificant in the baseline and in the Driscoll-Kraay model, but positive and significant under PCSE. Taken together, these patterns suggest that once time-invariant issuer and bond characteristics are absorbed by fixed effects, short-run balance-sheet variation contributes less to pricing than do macro-financial shocks and issue-level liquidity. This is plausible in a sample dominated by large, seasoned, and relatively stable issuers.</w:t>
      </w:r>
    </w:p>
    <w:p w14:paraId="1B88DD37" w14:textId="77777777" w:rsidR="00C24802" w:rsidRPr="00C24802" w:rsidRDefault="00C24802" w:rsidP="00C24802">
      <w:pPr>
        <w:ind w:firstLine="709"/>
        <w:jc w:val="both"/>
        <w:rPr>
          <w:b/>
          <w:bCs/>
          <w:sz w:val="28"/>
          <w:szCs w:val="28"/>
          <w:lang w:val="en-US"/>
        </w:rPr>
      </w:pPr>
    </w:p>
    <w:p w14:paraId="55CA974A" w14:textId="77777777" w:rsidR="0002722C" w:rsidRPr="00AE2805" w:rsidRDefault="0002722C">
      <w:pPr>
        <w:jc w:val="both"/>
        <w:rPr>
          <w:b/>
          <w:bCs/>
          <w:sz w:val="28"/>
          <w:szCs w:val="28"/>
          <w:lang w:val="en-US"/>
        </w:rPr>
      </w:pPr>
    </w:p>
    <w:p w14:paraId="6478529C" w14:textId="48B381CE" w:rsidR="000C1DB3" w:rsidRPr="00CA38ED" w:rsidRDefault="00732D0D" w:rsidP="000C1DB3">
      <w:pPr>
        <w:pStyle w:val="Heading2"/>
      </w:pPr>
      <w:bookmarkStart w:id="15" w:name="_Toc232189548"/>
      <w:r w:rsidRPr="00732D0D">
        <w:t xml:space="preserve">Magnitudes and </w:t>
      </w:r>
      <w:proofErr w:type="spellStart"/>
      <w:r w:rsidRPr="00732D0D">
        <w:t>robustness</w:t>
      </w:r>
      <w:bookmarkEnd w:id="15"/>
      <w:proofErr w:type="spellEnd"/>
    </w:p>
    <w:p w14:paraId="77BAA688" w14:textId="77777777" w:rsidR="0063687B" w:rsidRPr="00CA38ED" w:rsidRDefault="0063687B" w:rsidP="0063687B"/>
    <w:p w14:paraId="2F834895" w14:textId="64B4676F" w:rsidR="008643BE" w:rsidRPr="008643BE" w:rsidRDefault="00EE0324" w:rsidP="008643BE">
      <w:pPr>
        <w:ind w:firstLine="709"/>
        <w:jc w:val="both"/>
        <w:rPr>
          <w:lang w:val="en-US"/>
        </w:rPr>
      </w:pPr>
      <w:r w:rsidRPr="00EE0324">
        <w:rPr>
          <w:lang w:val="en-US"/>
        </w:rPr>
        <w:t xml:space="preserve">The </w:t>
      </w:r>
      <w:r w:rsidR="008643BE" w:rsidRPr="008643BE">
        <w:rPr>
          <w:lang w:val="en-US"/>
        </w:rPr>
        <w:t>point estimates indicate that the exchange rate and the US monetary-policy proxy are among the most important robust macro-financial determinants in the data. Because the variables are measured in their original units and the panel is highly heterogeneous, the paper emphasizes sign, significance, and cross-specification stability rather than precise economic magnitudes. The key patterns are nonetheless clear. Variables tied to global financing conditions and domestic macroeconomic stress have more stable effects than accounting-based firm controls.</w:t>
      </w:r>
    </w:p>
    <w:p w14:paraId="5A843A78" w14:textId="77777777" w:rsidR="008643BE" w:rsidRPr="008643BE" w:rsidRDefault="008643BE" w:rsidP="008643BE">
      <w:pPr>
        <w:ind w:firstLine="709"/>
        <w:jc w:val="both"/>
        <w:rPr>
          <w:lang w:val="en-US"/>
        </w:rPr>
      </w:pPr>
    </w:p>
    <w:p w14:paraId="1DC3EC3B" w14:textId="77777777" w:rsidR="008643BE" w:rsidRPr="008643BE" w:rsidRDefault="008643BE" w:rsidP="008643BE">
      <w:pPr>
        <w:ind w:firstLine="709"/>
        <w:jc w:val="both"/>
        <w:rPr>
          <w:lang w:val="en-US"/>
        </w:rPr>
      </w:pPr>
      <w:r w:rsidRPr="008643BE">
        <w:rPr>
          <w:lang w:val="en-US"/>
        </w:rPr>
        <w:t>The within R-squared of the baseline model is about 0.12. This may appear modest, but it is not unusual in bond-level fixed-effects models, especially when the dependent variable is measured from OTC quotes and when a large share of cross-sectional variation is intentionally absorbed by fixed effects. The objective is not to explain all spread variation, but to isolate the time-varying determinants that systematically reprice the same bonds over time.</w:t>
      </w:r>
    </w:p>
    <w:p w14:paraId="004A56B9" w14:textId="77777777" w:rsidR="008643BE" w:rsidRPr="008643BE" w:rsidRDefault="008643BE" w:rsidP="008643BE">
      <w:pPr>
        <w:ind w:firstLine="709"/>
        <w:jc w:val="both"/>
        <w:rPr>
          <w:lang w:val="en-US"/>
        </w:rPr>
      </w:pPr>
    </w:p>
    <w:p w14:paraId="7364BF73" w14:textId="28D7BC9F" w:rsidR="008643BE" w:rsidRDefault="00476F50" w:rsidP="008643BE">
      <w:pPr>
        <w:ind w:firstLine="709"/>
        <w:jc w:val="both"/>
        <w:rPr>
          <w:lang w:val="en-US"/>
        </w:rPr>
      </w:pPr>
      <w:r w:rsidRPr="00476F50">
        <w:rPr>
          <w:lang w:val="en-US"/>
        </w:rPr>
        <w:t>Robustness across columns also matters. The main conclusions survive alternative treatments of the covariance matrix. Exchange-rate depreciation, weaker growth, higher public debt, and negative sovereign-risk transmission remain present. The VIX effect is less stable in significance but not in sign. The issue-size coefficient is somewhat more fragile, which is unsurprising because liquidity premia are often the first to be affected by how residual dependence is modeled. Overall, the qualitative results are not driven by a single inferential choice. The additional robustness checks below distinguish nominal and real macro-financial variables and test whether the sovereign-risk result is driven by overlapping fiscal, activity, or exchange-rate controls.</w:t>
      </w:r>
    </w:p>
    <w:p w14:paraId="6A697ED4" w14:textId="77777777" w:rsidR="008643BE" w:rsidRDefault="008643BE" w:rsidP="008643BE">
      <w:pPr>
        <w:ind w:firstLine="709"/>
        <w:jc w:val="both"/>
        <w:rPr>
          <w:lang w:val="en-US"/>
        </w:rPr>
      </w:pPr>
    </w:p>
    <w:p w14:paraId="010080E7" w14:textId="77777777" w:rsidR="00476F50" w:rsidRDefault="00476F50" w:rsidP="008643BE">
      <w:pPr>
        <w:ind w:firstLine="709"/>
        <w:jc w:val="both"/>
        <w:rPr>
          <w:lang w:val="en-US"/>
        </w:rPr>
      </w:pPr>
    </w:p>
    <w:p w14:paraId="4BB476F9" w14:textId="1197E528" w:rsidR="005144D6" w:rsidRPr="005144D6" w:rsidRDefault="005144D6" w:rsidP="005144D6">
      <w:pPr>
        <w:pStyle w:val="Heading2"/>
        <w:rPr>
          <w:lang w:val="en-US"/>
        </w:rPr>
      </w:pPr>
      <w:bookmarkStart w:id="16" w:name="_Toc232189549"/>
      <w:r w:rsidRPr="005144D6">
        <w:rPr>
          <w:lang w:val="en-US"/>
        </w:rPr>
        <w:t>Additional robustness checks</w:t>
      </w:r>
      <w:bookmarkEnd w:id="16"/>
    </w:p>
    <w:p w14:paraId="33C6DCA9" w14:textId="77777777" w:rsidR="00EB0036" w:rsidRPr="005144D6" w:rsidRDefault="00EB0036" w:rsidP="00EB0036">
      <w:pPr>
        <w:rPr>
          <w:lang w:val="en-US"/>
        </w:rPr>
      </w:pPr>
    </w:p>
    <w:p w14:paraId="0319CA90" w14:textId="77777777" w:rsidR="00476F50" w:rsidRDefault="00476F50" w:rsidP="00476F50">
      <w:pPr>
        <w:ind w:firstLine="709"/>
        <w:jc w:val="both"/>
        <w:rPr>
          <w:lang w:val="en-US"/>
        </w:rPr>
      </w:pPr>
      <w:r w:rsidRPr="00D95C85">
        <w:rPr>
          <w:lang w:val="en-US"/>
        </w:rPr>
        <w:t xml:space="preserve">I conduct two additional sets of robustness checks requested after the supervisor meeting. First, I replace the nominal exchange-rate variable with a bilateral real USD/BRL exchange-rate index constructed from the nominal USD/BRL rate, the US CPI index, and the Brazilian IPCA index. Second, I replace the nominal US monetary-policy proxy with a real US short-rate measure, defined as the three-month US forward rate minus year-on-year </w:t>
      </w:r>
      <w:r w:rsidRPr="00D95C85">
        <w:rPr>
          <w:lang w:val="en-US"/>
        </w:rPr>
        <w:lastRenderedPageBreak/>
        <w:t>US CPI inflation. Third, I assess whether the negative coefficient on the synthetic local-currency sovereign-risk proxy is driven by overlapping macro-sovereign controls by removing the public-debt-to-GDP ratio, GDP growth, and the exchange-rate variable separately and jointly.</w:t>
      </w:r>
    </w:p>
    <w:p w14:paraId="0F7C994F" w14:textId="77777777" w:rsidR="00476F50" w:rsidRPr="00460E9B" w:rsidRDefault="00476F50" w:rsidP="00476F50">
      <w:pPr>
        <w:ind w:firstLine="709"/>
        <w:jc w:val="both"/>
        <w:rPr>
          <w:lang w:val="en-US"/>
        </w:rPr>
      </w:pPr>
    </w:p>
    <w:p w14:paraId="3A121882" w14:textId="77777777" w:rsidR="00476F50" w:rsidRDefault="00476F50" w:rsidP="00476F50">
      <w:pPr>
        <w:ind w:firstLine="709"/>
        <w:jc w:val="both"/>
        <w:rPr>
          <w:lang w:val="en-US"/>
        </w:rPr>
      </w:pPr>
      <w:r w:rsidRPr="00D95C85">
        <w:rPr>
          <w:lang w:val="en-US"/>
        </w:rPr>
        <w:t>Table 6 reports the real-variable robustness checks. The exchange-rate result is robust: replacing nominal USD/BRL with the real USD/BRL index produces a positive and statistically significant coefficient of 0.0161. This indicates that the exchange-rate channel is not merely a nominal-price effect; real depreciation of the Brazilian real remains associated with wider corporate bond spreads. The real US monetary-policy variable enters with a positive coefficient, but it is not statistically significant when US CPI inflation is subtracted from the nominal three-month rate. This suggests that the baseline US monetary-policy result is more precisely captured by the market-based nominal three-month forward measure, while the sign of the real-rate proxy remains consistent with the expected tightening channel.</w:t>
      </w:r>
    </w:p>
    <w:p w14:paraId="63431588" w14:textId="77777777" w:rsidR="00476F50" w:rsidRPr="00860D79" w:rsidRDefault="00476F50" w:rsidP="00860D79">
      <w:pPr>
        <w:jc w:val="both"/>
        <w:rPr>
          <w:i/>
          <w:iCs/>
          <w:color w:val="1F497D" w:themeColor="text2"/>
          <w:sz w:val="18"/>
          <w:szCs w:val="18"/>
          <w:lang w:val="en-US"/>
        </w:rPr>
      </w:pPr>
      <w:r w:rsidRPr="00860D79">
        <w:rPr>
          <w:i/>
          <w:iCs/>
          <w:color w:val="1F497D" w:themeColor="text2"/>
          <w:sz w:val="18"/>
          <w:szCs w:val="18"/>
          <w:lang w:val="en-US"/>
        </w:rPr>
        <w:t>Table 6: Real-variable robustness checks</w:t>
      </w:r>
    </w:p>
    <w:tbl>
      <w:tblPr>
        <w:tblStyle w:val="TableGridLight"/>
        <w:tblW w:w="0" w:type="auto"/>
        <w:tblLook w:val="04A0" w:firstRow="1" w:lastRow="0" w:firstColumn="1" w:lastColumn="0" w:noHBand="0" w:noVBand="1"/>
      </w:tblPr>
      <w:tblGrid>
        <w:gridCol w:w="1759"/>
        <w:gridCol w:w="1757"/>
        <w:gridCol w:w="1757"/>
        <w:gridCol w:w="1757"/>
        <w:gridCol w:w="1757"/>
      </w:tblGrid>
      <w:tr w:rsidR="00476F50" w:rsidRPr="00860D79" w14:paraId="01FAF05D" w14:textId="77777777" w:rsidTr="00860D79">
        <w:tc>
          <w:tcPr>
            <w:tcW w:w="1759" w:type="dxa"/>
          </w:tcPr>
          <w:p w14:paraId="1F9DE83C" w14:textId="77777777" w:rsidR="00476F50" w:rsidRPr="00860D79" w:rsidRDefault="00476F50" w:rsidP="00860D79">
            <w:r w:rsidRPr="00860D79">
              <w:t>Variable</w:t>
            </w:r>
          </w:p>
        </w:tc>
        <w:tc>
          <w:tcPr>
            <w:tcW w:w="1759" w:type="dxa"/>
          </w:tcPr>
          <w:p w14:paraId="07E319DF" w14:textId="77777777" w:rsidR="00476F50" w:rsidRPr="00860D79" w:rsidRDefault="00476F50" w:rsidP="00860D79">
            <w:proofErr w:type="spellStart"/>
            <w:r w:rsidRPr="00860D79">
              <w:t>Baseline</w:t>
            </w:r>
            <w:proofErr w:type="spellEnd"/>
            <w:r w:rsidRPr="00860D79">
              <w:t xml:space="preserve"> nominal</w:t>
            </w:r>
          </w:p>
        </w:tc>
        <w:tc>
          <w:tcPr>
            <w:tcW w:w="1759" w:type="dxa"/>
          </w:tcPr>
          <w:p w14:paraId="2E642BD9" w14:textId="77777777" w:rsidR="00476F50" w:rsidRPr="00860D79" w:rsidRDefault="00476F50" w:rsidP="00860D79">
            <w:r w:rsidRPr="00860D79">
              <w:t>Real FX</w:t>
            </w:r>
          </w:p>
        </w:tc>
        <w:tc>
          <w:tcPr>
            <w:tcW w:w="1759" w:type="dxa"/>
          </w:tcPr>
          <w:p w14:paraId="53F2E146" w14:textId="77777777" w:rsidR="00476F50" w:rsidRPr="00860D79" w:rsidRDefault="00476F50" w:rsidP="00860D79">
            <w:r w:rsidRPr="00860D79">
              <w:t>Real Fed 3M</w:t>
            </w:r>
          </w:p>
        </w:tc>
        <w:tc>
          <w:tcPr>
            <w:tcW w:w="1759" w:type="dxa"/>
          </w:tcPr>
          <w:p w14:paraId="27B9122C" w14:textId="77777777" w:rsidR="00476F50" w:rsidRPr="00860D79" w:rsidRDefault="00476F50" w:rsidP="00860D79">
            <w:r w:rsidRPr="00860D79">
              <w:t>Real FX + Real Fed</w:t>
            </w:r>
          </w:p>
        </w:tc>
      </w:tr>
      <w:tr w:rsidR="00476F50" w:rsidRPr="00860D79" w14:paraId="27B0466A" w14:textId="77777777" w:rsidTr="00860D79">
        <w:tc>
          <w:tcPr>
            <w:tcW w:w="1759" w:type="dxa"/>
          </w:tcPr>
          <w:p w14:paraId="12E3D31D" w14:textId="77777777" w:rsidR="00476F50" w:rsidRPr="00860D79" w:rsidRDefault="00476F50" w:rsidP="0091029B">
            <w:r w:rsidRPr="00860D79">
              <w:t>VIX</w:t>
            </w:r>
          </w:p>
        </w:tc>
        <w:tc>
          <w:tcPr>
            <w:tcW w:w="1759" w:type="dxa"/>
          </w:tcPr>
          <w:p w14:paraId="4926C346" w14:textId="77777777" w:rsidR="00476F50" w:rsidRPr="00860D79" w:rsidRDefault="00476F50" w:rsidP="0091029B">
            <w:pPr>
              <w:jc w:val="center"/>
            </w:pPr>
            <w:r w:rsidRPr="00860D79">
              <w:t>-0.0262***</w:t>
            </w:r>
          </w:p>
        </w:tc>
        <w:tc>
          <w:tcPr>
            <w:tcW w:w="1759" w:type="dxa"/>
          </w:tcPr>
          <w:p w14:paraId="6F1E26B3" w14:textId="77777777" w:rsidR="00476F50" w:rsidRPr="00860D79" w:rsidRDefault="00476F50" w:rsidP="0091029B">
            <w:pPr>
              <w:jc w:val="center"/>
            </w:pPr>
            <w:r w:rsidRPr="00860D79">
              <w:t>-0.0265***</w:t>
            </w:r>
          </w:p>
        </w:tc>
        <w:tc>
          <w:tcPr>
            <w:tcW w:w="1759" w:type="dxa"/>
          </w:tcPr>
          <w:p w14:paraId="72BF8BCC" w14:textId="77777777" w:rsidR="00476F50" w:rsidRPr="00860D79" w:rsidRDefault="00476F50" w:rsidP="0091029B">
            <w:pPr>
              <w:jc w:val="center"/>
            </w:pPr>
            <w:r w:rsidRPr="00860D79">
              <w:t>-0.0411***</w:t>
            </w:r>
          </w:p>
        </w:tc>
        <w:tc>
          <w:tcPr>
            <w:tcW w:w="1759" w:type="dxa"/>
          </w:tcPr>
          <w:p w14:paraId="39630B2B" w14:textId="77777777" w:rsidR="00476F50" w:rsidRPr="00860D79" w:rsidRDefault="00476F50" w:rsidP="0091029B">
            <w:pPr>
              <w:jc w:val="center"/>
            </w:pPr>
            <w:r w:rsidRPr="00860D79">
              <w:t>-0.0415***</w:t>
            </w:r>
          </w:p>
        </w:tc>
      </w:tr>
      <w:tr w:rsidR="00476F50" w:rsidRPr="00860D79" w14:paraId="0977A56F" w14:textId="77777777" w:rsidTr="00860D79">
        <w:tc>
          <w:tcPr>
            <w:tcW w:w="1759" w:type="dxa"/>
          </w:tcPr>
          <w:p w14:paraId="308A2986" w14:textId="77777777" w:rsidR="00476F50" w:rsidRPr="00860D79" w:rsidRDefault="00476F50" w:rsidP="0091029B">
            <w:r w:rsidRPr="00860D79">
              <w:t>Fed 3M Forward</w:t>
            </w:r>
          </w:p>
        </w:tc>
        <w:tc>
          <w:tcPr>
            <w:tcW w:w="1759" w:type="dxa"/>
          </w:tcPr>
          <w:p w14:paraId="3F67CB6D" w14:textId="77777777" w:rsidR="00476F50" w:rsidRPr="00860D79" w:rsidRDefault="00476F50" w:rsidP="0091029B">
            <w:pPr>
              <w:jc w:val="center"/>
            </w:pPr>
            <w:r w:rsidRPr="00860D79">
              <w:t>0.1297***</w:t>
            </w:r>
          </w:p>
        </w:tc>
        <w:tc>
          <w:tcPr>
            <w:tcW w:w="1759" w:type="dxa"/>
          </w:tcPr>
          <w:p w14:paraId="0BF3F4F5" w14:textId="77777777" w:rsidR="00476F50" w:rsidRPr="00860D79" w:rsidRDefault="00476F50" w:rsidP="0091029B">
            <w:pPr>
              <w:jc w:val="center"/>
            </w:pPr>
            <w:r w:rsidRPr="00860D79">
              <w:t>0.1063**</w:t>
            </w:r>
          </w:p>
        </w:tc>
        <w:tc>
          <w:tcPr>
            <w:tcW w:w="1759" w:type="dxa"/>
          </w:tcPr>
          <w:p w14:paraId="2909251C" w14:textId="77777777" w:rsidR="00476F50" w:rsidRPr="00860D79" w:rsidRDefault="00476F50" w:rsidP="0091029B">
            <w:pPr>
              <w:jc w:val="center"/>
            </w:pPr>
            <w:r w:rsidRPr="00860D79">
              <w:t>-</w:t>
            </w:r>
          </w:p>
        </w:tc>
        <w:tc>
          <w:tcPr>
            <w:tcW w:w="1759" w:type="dxa"/>
          </w:tcPr>
          <w:p w14:paraId="5EE16F4C" w14:textId="77777777" w:rsidR="00476F50" w:rsidRPr="00860D79" w:rsidRDefault="00476F50" w:rsidP="0091029B">
            <w:pPr>
              <w:jc w:val="center"/>
            </w:pPr>
            <w:r w:rsidRPr="00860D79">
              <w:t>-</w:t>
            </w:r>
          </w:p>
        </w:tc>
      </w:tr>
      <w:tr w:rsidR="00476F50" w:rsidRPr="00860D79" w14:paraId="0C519E99" w14:textId="77777777" w:rsidTr="00860D79">
        <w:tc>
          <w:tcPr>
            <w:tcW w:w="1759" w:type="dxa"/>
          </w:tcPr>
          <w:p w14:paraId="4E12393D" w14:textId="77777777" w:rsidR="00476F50" w:rsidRPr="00860D79" w:rsidRDefault="00476F50" w:rsidP="0091029B">
            <w:r w:rsidRPr="00860D79">
              <w:t>Real Fed 3M</w:t>
            </w:r>
          </w:p>
        </w:tc>
        <w:tc>
          <w:tcPr>
            <w:tcW w:w="1759" w:type="dxa"/>
          </w:tcPr>
          <w:p w14:paraId="2C2AAF8E" w14:textId="77777777" w:rsidR="00476F50" w:rsidRPr="00860D79" w:rsidRDefault="00476F50" w:rsidP="0091029B">
            <w:pPr>
              <w:jc w:val="center"/>
            </w:pPr>
            <w:r w:rsidRPr="00860D79">
              <w:t>-</w:t>
            </w:r>
          </w:p>
        </w:tc>
        <w:tc>
          <w:tcPr>
            <w:tcW w:w="1759" w:type="dxa"/>
          </w:tcPr>
          <w:p w14:paraId="7C9D9E9E" w14:textId="77777777" w:rsidR="00476F50" w:rsidRPr="00860D79" w:rsidRDefault="00476F50" w:rsidP="0091029B">
            <w:pPr>
              <w:jc w:val="center"/>
            </w:pPr>
            <w:r w:rsidRPr="00860D79">
              <w:t>-</w:t>
            </w:r>
          </w:p>
        </w:tc>
        <w:tc>
          <w:tcPr>
            <w:tcW w:w="1759" w:type="dxa"/>
          </w:tcPr>
          <w:p w14:paraId="45DB10E7" w14:textId="77777777" w:rsidR="00476F50" w:rsidRPr="00860D79" w:rsidRDefault="00476F50" w:rsidP="0091029B">
            <w:pPr>
              <w:jc w:val="center"/>
            </w:pPr>
            <w:r w:rsidRPr="00860D79">
              <w:t>0.0507</w:t>
            </w:r>
          </w:p>
        </w:tc>
        <w:tc>
          <w:tcPr>
            <w:tcW w:w="1759" w:type="dxa"/>
          </w:tcPr>
          <w:p w14:paraId="0024515A" w14:textId="77777777" w:rsidR="00476F50" w:rsidRPr="00860D79" w:rsidRDefault="00476F50" w:rsidP="0091029B">
            <w:pPr>
              <w:jc w:val="center"/>
            </w:pPr>
            <w:r w:rsidRPr="00860D79">
              <w:t>0.0361</w:t>
            </w:r>
          </w:p>
        </w:tc>
      </w:tr>
      <w:tr w:rsidR="00476F50" w:rsidRPr="00860D79" w14:paraId="721C5A6D" w14:textId="77777777" w:rsidTr="00860D79">
        <w:tc>
          <w:tcPr>
            <w:tcW w:w="1759" w:type="dxa"/>
          </w:tcPr>
          <w:p w14:paraId="323E1034" w14:textId="77777777" w:rsidR="00476F50" w:rsidRPr="00860D79" w:rsidRDefault="00476F50" w:rsidP="0091029B">
            <w:r w:rsidRPr="00860D79">
              <w:t>USD/BRL</w:t>
            </w:r>
          </w:p>
        </w:tc>
        <w:tc>
          <w:tcPr>
            <w:tcW w:w="1759" w:type="dxa"/>
          </w:tcPr>
          <w:p w14:paraId="12005AB9" w14:textId="77777777" w:rsidR="00476F50" w:rsidRPr="00860D79" w:rsidRDefault="00476F50" w:rsidP="0091029B">
            <w:pPr>
              <w:jc w:val="center"/>
            </w:pPr>
            <w:r w:rsidRPr="00860D79">
              <w:t>0.7029***</w:t>
            </w:r>
          </w:p>
        </w:tc>
        <w:tc>
          <w:tcPr>
            <w:tcW w:w="1759" w:type="dxa"/>
          </w:tcPr>
          <w:p w14:paraId="32A52C82" w14:textId="77777777" w:rsidR="00476F50" w:rsidRPr="00860D79" w:rsidRDefault="00476F50" w:rsidP="0091029B">
            <w:pPr>
              <w:jc w:val="center"/>
            </w:pPr>
            <w:r w:rsidRPr="00860D79">
              <w:t>-</w:t>
            </w:r>
          </w:p>
        </w:tc>
        <w:tc>
          <w:tcPr>
            <w:tcW w:w="1759" w:type="dxa"/>
          </w:tcPr>
          <w:p w14:paraId="05A94964" w14:textId="77777777" w:rsidR="00476F50" w:rsidRPr="00860D79" w:rsidRDefault="00476F50" w:rsidP="0091029B">
            <w:pPr>
              <w:jc w:val="center"/>
            </w:pPr>
            <w:r w:rsidRPr="00860D79">
              <w:t>0.8122***</w:t>
            </w:r>
          </w:p>
        </w:tc>
        <w:tc>
          <w:tcPr>
            <w:tcW w:w="1759" w:type="dxa"/>
          </w:tcPr>
          <w:p w14:paraId="4A71281A" w14:textId="77777777" w:rsidR="00476F50" w:rsidRPr="00860D79" w:rsidRDefault="00476F50" w:rsidP="0091029B">
            <w:pPr>
              <w:jc w:val="center"/>
            </w:pPr>
            <w:r w:rsidRPr="00860D79">
              <w:t>-</w:t>
            </w:r>
          </w:p>
        </w:tc>
      </w:tr>
      <w:tr w:rsidR="00476F50" w:rsidRPr="00860D79" w14:paraId="57640B39" w14:textId="77777777" w:rsidTr="00860D79">
        <w:tc>
          <w:tcPr>
            <w:tcW w:w="1759" w:type="dxa"/>
          </w:tcPr>
          <w:p w14:paraId="44C5FC30" w14:textId="77777777" w:rsidR="00476F50" w:rsidRPr="00860D79" w:rsidRDefault="00476F50" w:rsidP="0091029B">
            <w:r w:rsidRPr="00860D79">
              <w:t xml:space="preserve">Real USD/BRL </w:t>
            </w:r>
            <w:proofErr w:type="spellStart"/>
            <w:r w:rsidRPr="00860D79">
              <w:t>index</w:t>
            </w:r>
            <w:proofErr w:type="spellEnd"/>
          </w:p>
        </w:tc>
        <w:tc>
          <w:tcPr>
            <w:tcW w:w="1759" w:type="dxa"/>
          </w:tcPr>
          <w:p w14:paraId="7A688930" w14:textId="77777777" w:rsidR="00476F50" w:rsidRPr="00860D79" w:rsidRDefault="00476F50" w:rsidP="0091029B">
            <w:pPr>
              <w:jc w:val="center"/>
            </w:pPr>
            <w:r w:rsidRPr="00860D79">
              <w:t>-</w:t>
            </w:r>
          </w:p>
        </w:tc>
        <w:tc>
          <w:tcPr>
            <w:tcW w:w="1759" w:type="dxa"/>
          </w:tcPr>
          <w:p w14:paraId="1763E8C8" w14:textId="77777777" w:rsidR="00476F50" w:rsidRPr="00860D79" w:rsidRDefault="00476F50" w:rsidP="0091029B">
            <w:pPr>
              <w:jc w:val="center"/>
            </w:pPr>
            <w:r w:rsidRPr="00860D79">
              <w:t>0.0161***</w:t>
            </w:r>
          </w:p>
        </w:tc>
        <w:tc>
          <w:tcPr>
            <w:tcW w:w="1759" w:type="dxa"/>
          </w:tcPr>
          <w:p w14:paraId="6EE5FB53" w14:textId="77777777" w:rsidR="00476F50" w:rsidRPr="00860D79" w:rsidRDefault="00476F50" w:rsidP="0091029B">
            <w:pPr>
              <w:jc w:val="center"/>
            </w:pPr>
            <w:r w:rsidRPr="00860D79">
              <w:t>-</w:t>
            </w:r>
          </w:p>
        </w:tc>
        <w:tc>
          <w:tcPr>
            <w:tcW w:w="1759" w:type="dxa"/>
          </w:tcPr>
          <w:p w14:paraId="07E7819D" w14:textId="77777777" w:rsidR="00476F50" w:rsidRPr="00860D79" w:rsidRDefault="00476F50" w:rsidP="0091029B">
            <w:pPr>
              <w:jc w:val="center"/>
            </w:pPr>
            <w:r w:rsidRPr="00860D79">
              <w:t>0.0189***</w:t>
            </w:r>
          </w:p>
        </w:tc>
      </w:tr>
      <w:tr w:rsidR="00476F50" w:rsidRPr="00860D79" w14:paraId="4977AADB" w14:textId="77777777" w:rsidTr="00860D79">
        <w:tc>
          <w:tcPr>
            <w:tcW w:w="1759" w:type="dxa"/>
          </w:tcPr>
          <w:p w14:paraId="340F6379" w14:textId="77777777" w:rsidR="00476F50" w:rsidRPr="00860D79" w:rsidRDefault="00476F50" w:rsidP="0091029B">
            <w:r w:rsidRPr="00860D79">
              <w:t xml:space="preserve">GDP </w:t>
            </w:r>
            <w:proofErr w:type="spellStart"/>
            <w:r w:rsidRPr="00860D79">
              <w:t>growth</w:t>
            </w:r>
            <w:proofErr w:type="spellEnd"/>
            <w:r w:rsidRPr="00860D79">
              <w:t xml:space="preserve"> (YoY)</w:t>
            </w:r>
          </w:p>
        </w:tc>
        <w:tc>
          <w:tcPr>
            <w:tcW w:w="1759" w:type="dxa"/>
          </w:tcPr>
          <w:p w14:paraId="4D67E3A9" w14:textId="77777777" w:rsidR="00476F50" w:rsidRPr="00860D79" w:rsidRDefault="00476F50" w:rsidP="0091029B">
            <w:pPr>
              <w:jc w:val="center"/>
            </w:pPr>
            <w:r w:rsidRPr="00860D79">
              <w:t>-0.0745***</w:t>
            </w:r>
          </w:p>
        </w:tc>
        <w:tc>
          <w:tcPr>
            <w:tcW w:w="1759" w:type="dxa"/>
          </w:tcPr>
          <w:p w14:paraId="2595A7E8" w14:textId="77777777" w:rsidR="00476F50" w:rsidRPr="00860D79" w:rsidRDefault="00476F50" w:rsidP="0091029B">
            <w:pPr>
              <w:jc w:val="center"/>
            </w:pPr>
            <w:r w:rsidRPr="00860D79">
              <w:t>-0.0754***</w:t>
            </w:r>
          </w:p>
        </w:tc>
        <w:tc>
          <w:tcPr>
            <w:tcW w:w="1759" w:type="dxa"/>
          </w:tcPr>
          <w:p w14:paraId="79573D21" w14:textId="77777777" w:rsidR="00476F50" w:rsidRPr="00860D79" w:rsidRDefault="00476F50" w:rsidP="0091029B">
            <w:pPr>
              <w:jc w:val="center"/>
            </w:pPr>
            <w:r w:rsidRPr="00860D79">
              <w:t>-0.1075***</w:t>
            </w:r>
          </w:p>
        </w:tc>
        <w:tc>
          <w:tcPr>
            <w:tcW w:w="1759" w:type="dxa"/>
          </w:tcPr>
          <w:p w14:paraId="22D110A1" w14:textId="77777777" w:rsidR="00476F50" w:rsidRPr="00860D79" w:rsidRDefault="00476F50" w:rsidP="0091029B">
            <w:pPr>
              <w:jc w:val="center"/>
            </w:pPr>
            <w:r w:rsidRPr="00860D79">
              <w:t>-0.1091***</w:t>
            </w:r>
          </w:p>
        </w:tc>
      </w:tr>
      <w:tr w:rsidR="00476F50" w:rsidRPr="00860D79" w14:paraId="4C82C994" w14:textId="77777777" w:rsidTr="00860D79">
        <w:tc>
          <w:tcPr>
            <w:tcW w:w="1759" w:type="dxa"/>
          </w:tcPr>
          <w:p w14:paraId="0EE28082" w14:textId="77777777" w:rsidR="00476F50" w:rsidRPr="00860D79" w:rsidRDefault="00476F50" w:rsidP="0091029B">
            <w:r w:rsidRPr="00860D79">
              <w:t xml:space="preserve">Public </w:t>
            </w:r>
            <w:proofErr w:type="spellStart"/>
            <w:r w:rsidRPr="00860D79">
              <w:t>debt</w:t>
            </w:r>
            <w:proofErr w:type="spellEnd"/>
            <w:r w:rsidRPr="00860D79">
              <w:t xml:space="preserve"> / GDP</w:t>
            </w:r>
          </w:p>
        </w:tc>
        <w:tc>
          <w:tcPr>
            <w:tcW w:w="1759" w:type="dxa"/>
          </w:tcPr>
          <w:p w14:paraId="2268B2C0" w14:textId="77777777" w:rsidR="00476F50" w:rsidRPr="00860D79" w:rsidRDefault="00476F50" w:rsidP="0091029B">
            <w:pPr>
              <w:jc w:val="center"/>
            </w:pPr>
            <w:r w:rsidRPr="00860D79">
              <w:t>0.1048*</w:t>
            </w:r>
          </w:p>
        </w:tc>
        <w:tc>
          <w:tcPr>
            <w:tcW w:w="1759" w:type="dxa"/>
          </w:tcPr>
          <w:p w14:paraId="259E3A15" w14:textId="77777777" w:rsidR="00476F50" w:rsidRPr="00860D79" w:rsidRDefault="00476F50" w:rsidP="0091029B">
            <w:pPr>
              <w:jc w:val="center"/>
            </w:pPr>
            <w:r w:rsidRPr="00860D79">
              <w:t>0.1022*</w:t>
            </w:r>
          </w:p>
        </w:tc>
        <w:tc>
          <w:tcPr>
            <w:tcW w:w="1759" w:type="dxa"/>
          </w:tcPr>
          <w:p w14:paraId="4226F24C" w14:textId="77777777" w:rsidR="00476F50" w:rsidRPr="00860D79" w:rsidRDefault="00476F50" w:rsidP="0091029B">
            <w:pPr>
              <w:jc w:val="center"/>
            </w:pPr>
            <w:r w:rsidRPr="00860D79">
              <w:t>0.1650***</w:t>
            </w:r>
          </w:p>
        </w:tc>
        <w:tc>
          <w:tcPr>
            <w:tcW w:w="1759" w:type="dxa"/>
          </w:tcPr>
          <w:p w14:paraId="6B2A3010" w14:textId="77777777" w:rsidR="00476F50" w:rsidRPr="00860D79" w:rsidRDefault="00476F50" w:rsidP="0091029B">
            <w:pPr>
              <w:jc w:val="center"/>
            </w:pPr>
            <w:r w:rsidRPr="00860D79">
              <w:t>0.1538***</w:t>
            </w:r>
          </w:p>
        </w:tc>
      </w:tr>
      <w:tr w:rsidR="00476F50" w:rsidRPr="00860D79" w14:paraId="4B8897A5" w14:textId="77777777" w:rsidTr="00860D79">
        <w:tc>
          <w:tcPr>
            <w:tcW w:w="1759" w:type="dxa"/>
          </w:tcPr>
          <w:p w14:paraId="507BFEAB" w14:textId="77777777" w:rsidR="00476F50" w:rsidRPr="00860D79" w:rsidRDefault="00476F50" w:rsidP="0091029B">
            <w:proofErr w:type="spellStart"/>
            <w:r w:rsidRPr="00860D79">
              <w:t>Amount</w:t>
            </w:r>
            <w:proofErr w:type="spellEnd"/>
            <w:r w:rsidRPr="00860D79">
              <w:t xml:space="preserve"> </w:t>
            </w:r>
            <w:proofErr w:type="spellStart"/>
            <w:r w:rsidRPr="00860D79">
              <w:t>issued</w:t>
            </w:r>
            <w:proofErr w:type="spellEnd"/>
            <w:r w:rsidRPr="00860D79">
              <w:t xml:space="preserve"> / </w:t>
            </w:r>
            <w:proofErr w:type="spellStart"/>
            <w:r w:rsidRPr="00860D79">
              <w:t>assets</w:t>
            </w:r>
            <w:proofErr w:type="spellEnd"/>
          </w:p>
        </w:tc>
        <w:tc>
          <w:tcPr>
            <w:tcW w:w="1759" w:type="dxa"/>
          </w:tcPr>
          <w:p w14:paraId="3FE5C009" w14:textId="77777777" w:rsidR="00476F50" w:rsidRPr="00860D79" w:rsidRDefault="00476F50" w:rsidP="0091029B">
            <w:pPr>
              <w:jc w:val="center"/>
            </w:pPr>
            <w:r w:rsidRPr="00860D79">
              <w:t>-0.1017**</w:t>
            </w:r>
          </w:p>
        </w:tc>
        <w:tc>
          <w:tcPr>
            <w:tcW w:w="1759" w:type="dxa"/>
          </w:tcPr>
          <w:p w14:paraId="6C04F1E8" w14:textId="77777777" w:rsidR="00476F50" w:rsidRPr="00860D79" w:rsidRDefault="00476F50" w:rsidP="0091029B">
            <w:pPr>
              <w:jc w:val="center"/>
            </w:pPr>
            <w:r w:rsidRPr="00860D79">
              <w:t>-0.1014**</w:t>
            </w:r>
          </w:p>
        </w:tc>
        <w:tc>
          <w:tcPr>
            <w:tcW w:w="1759" w:type="dxa"/>
          </w:tcPr>
          <w:p w14:paraId="14C14CEA" w14:textId="77777777" w:rsidR="00476F50" w:rsidRPr="00860D79" w:rsidRDefault="00476F50" w:rsidP="0091029B">
            <w:pPr>
              <w:jc w:val="center"/>
            </w:pPr>
            <w:r w:rsidRPr="00860D79">
              <w:t>-0.1185**</w:t>
            </w:r>
          </w:p>
        </w:tc>
        <w:tc>
          <w:tcPr>
            <w:tcW w:w="1759" w:type="dxa"/>
          </w:tcPr>
          <w:p w14:paraId="56B07BC2" w14:textId="77777777" w:rsidR="00476F50" w:rsidRPr="00860D79" w:rsidRDefault="00476F50" w:rsidP="0091029B">
            <w:pPr>
              <w:jc w:val="center"/>
            </w:pPr>
            <w:r w:rsidRPr="00860D79">
              <w:t>-0.1192**</w:t>
            </w:r>
          </w:p>
        </w:tc>
      </w:tr>
      <w:tr w:rsidR="00476F50" w:rsidRPr="00860D79" w14:paraId="38783B97" w14:textId="77777777" w:rsidTr="00860D79">
        <w:tc>
          <w:tcPr>
            <w:tcW w:w="1759" w:type="dxa"/>
          </w:tcPr>
          <w:p w14:paraId="522E6A6F" w14:textId="77777777" w:rsidR="00476F50" w:rsidRPr="00860D79" w:rsidRDefault="00476F50" w:rsidP="0091029B">
            <w:proofErr w:type="spellStart"/>
            <w:r w:rsidRPr="00860D79">
              <w:t>Synthetic</w:t>
            </w:r>
            <w:proofErr w:type="spellEnd"/>
            <w:r w:rsidRPr="00860D79">
              <w:t xml:space="preserve"> </w:t>
            </w:r>
            <w:proofErr w:type="spellStart"/>
            <w:r w:rsidRPr="00860D79">
              <w:t>sovereign</w:t>
            </w:r>
            <w:proofErr w:type="spellEnd"/>
            <w:r w:rsidRPr="00860D79">
              <w:t xml:space="preserve"> </w:t>
            </w:r>
            <w:proofErr w:type="spellStart"/>
            <w:r w:rsidRPr="00860D79">
              <w:t>risk</w:t>
            </w:r>
            <w:proofErr w:type="spellEnd"/>
            <w:r w:rsidRPr="00860D79">
              <w:t xml:space="preserve"> (BRL)</w:t>
            </w:r>
          </w:p>
        </w:tc>
        <w:tc>
          <w:tcPr>
            <w:tcW w:w="1759" w:type="dxa"/>
          </w:tcPr>
          <w:p w14:paraId="59B607D4" w14:textId="77777777" w:rsidR="00476F50" w:rsidRPr="00860D79" w:rsidRDefault="00476F50" w:rsidP="0091029B">
            <w:pPr>
              <w:jc w:val="center"/>
            </w:pPr>
            <w:r w:rsidRPr="00860D79">
              <w:t>-0.1233**</w:t>
            </w:r>
          </w:p>
        </w:tc>
        <w:tc>
          <w:tcPr>
            <w:tcW w:w="1759" w:type="dxa"/>
          </w:tcPr>
          <w:p w14:paraId="3757323F" w14:textId="77777777" w:rsidR="00476F50" w:rsidRPr="00860D79" w:rsidRDefault="00476F50" w:rsidP="0091029B">
            <w:pPr>
              <w:jc w:val="center"/>
            </w:pPr>
            <w:r w:rsidRPr="00860D79">
              <w:t>-0.1214**</w:t>
            </w:r>
          </w:p>
        </w:tc>
        <w:tc>
          <w:tcPr>
            <w:tcW w:w="1759" w:type="dxa"/>
          </w:tcPr>
          <w:p w14:paraId="272F79BF" w14:textId="77777777" w:rsidR="00476F50" w:rsidRPr="00860D79" w:rsidRDefault="00476F50" w:rsidP="0091029B">
            <w:pPr>
              <w:jc w:val="center"/>
            </w:pPr>
            <w:r w:rsidRPr="00860D79">
              <w:t>-0.1249**</w:t>
            </w:r>
          </w:p>
        </w:tc>
        <w:tc>
          <w:tcPr>
            <w:tcW w:w="1759" w:type="dxa"/>
          </w:tcPr>
          <w:p w14:paraId="635E6C93" w14:textId="77777777" w:rsidR="00476F50" w:rsidRPr="00860D79" w:rsidRDefault="00476F50" w:rsidP="0091029B">
            <w:pPr>
              <w:jc w:val="center"/>
            </w:pPr>
            <w:r w:rsidRPr="00860D79">
              <w:t>-0.1211*</w:t>
            </w:r>
          </w:p>
        </w:tc>
      </w:tr>
      <w:tr w:rsidR="00476F50" w:rsidRPr="00860D79" w14:paraId="1EF2EDC4" w14:textId="77777777" w:rsidTr="00860D79">
        <w:tc>
          <w:tcPr>
            <w:tcW w:w="1759" w:type="dxa"/>
          </w:tcPr>
          <w:p w14:paraId="7792D0D1" w14:textId="77777777" w:rsidR="00476F50" w:rsidRPr="00860D79" w:rsidRDefault="00476F50" w:rsidP="0091029B">
            <w:proofErr w:type="spellStart"/>
            <w:r w:rsidRPr="00860D79">
              <w:t>Observations</w:t>
            </w:r>
            <w:proofErr w:type="spellEnd"/>
          </w:p>
        </w:tc>
        <w:tc>
          <w:tcPr>
            <w:tcW w:w="1759" w:type="dxa"/>
          </w:tcPr>
          <w:p w14:paraId="5661CE45" w14:textId="77777777" w:rsidR="00476F50" w:rsidRPr="00860D79" w:rsidRDefault="00476F50" w:rsidP="0091029B">
            <w:pPr>
              <w:jc w:val="center"/>
            </w:pPr>
            <w:r w:rsidRPr="00860D79">
              <w:t>4,229</w:t>
            </w:r>
          </w:p>
        </w:tc>
        <w:tc>
          <w:tcPr>
            <w:tcW w:w="1759" w:type="dxa"/>
          </w:tcPr>
          <w:p w14:paraId="01332016" w14:textId="77777777" w:rsidR="00476F50" w:rsidRPr="00860D79" w:rsidRDefault="00476F50" w:rsidP="0091029B">
            <w:pPr>
              <w:jc w:val="center"/>
            </w:pPr>
            <w:r w:rsidRPr="00860D79">
              <w:t>4,229</w:t>
            </w:r>
          </w:p>
        </w:tc>
        <w:tc>
          <w:tcPr>
            <w:tcW w:w="1759" w:type="dxa"/>
          </w:tcPr>
          <w:p w14:paraId="21629880" w14:textId="77777777" w:rsidR="00476F50" w:rsidRPr="00860D79" w:rsidRDefault="00476F50" w:rsidP="0091029B">
            <w:pPr>
              <w:jc w:val="center"/>
            </w:pPr>
            <w:r w:rsidRPr="00860D79">
              <w:t>3,926</w:t>
            </w:r>
          </w:p>
        </w:tc>
        <w:tc>
          <w:tcPr>
            <w:tcW w:w="1759" w:type="dxa"/>
          </w:tcPr>
          <w:p w14:paraId="5E813C4B" w14:textId="77777777" w:rsidR="00476F50" w:rsidRPr="00860D79" w:rsidRDefault="00476F50" w:rsidP="0091029B">
            <w:pPr>
              <w:jc w:val="center"/>
            </w:pPr>
            <w:r w:rsidRPr="00860D79">
              <w:t>3,926</w:t>
            </w:r>
          </w:p>
        </w:tc>
      </w:tr>
      <w:tr w:rsidR="00476F50" w:rsidRPr="00860D79" w14:paraId="6B54E9F3" w14:textId="77777777" w:rsidTr="00860D79">
        <w:tc>
          <w:tcPr>
            <w:tcW w:w="1759" w:type="dxa"/>
          </w:tcPr>
          <w:p w14:paraId="68983232" w14:textId="77777777" w:rsidR="00476F50" w:rsidRPr="00860D79" w:rsidRDefault="00476F50" w:rsidP="0091029B">
            <w:proofErr w:type="spellStart"/>
            <w:r w:rsidRPr="00860D79">
              <w:t>Within</w:t>
            </w:r>
            <w:proofErr w:type="spellEnd"/>
            <w:r w:rsidRPr="00860D79">
              <w:t xml:space="preserve"> R-</w:t>
            </w:r>
            <w:proofErr w:type="spellStart"/>
            <w:r w:rsidRPr="00860D79">
              <w:t>squared</w:t>
            </w:r>
            <w:proofErr w:type="spellEnd"/>
          </w:p>
        </w:tc>
        <w:tc>
          <w:tcPr>
            <w:tcW w:w="1759" w:type="dxa"/>
          </w:tcPr>
          <w:p w14:paraId="31CA98A2" w14:textId="77777777" w:rsidR="00476F50" w:rsidRPr="00860D79" w:rsidRDefault="00476F50" w:rsidP="0091029B">
            <w:pPr>
              <w:jc w:val="center"/>
            </w:pPr>
            <w:r w:rsidRPr="00860D79">
              <w:t>0.1205</w:t>
            </w:r>
          </w:p>
        </w:tc>
        <w:tc>
          <w:tcPr>
            <w:tcW w:w="1759" w:type="dxa"/>
          </w:tcPr>
          <w:p w14:paraId="444E4AFB" w14:textId="77777777" w:rsidR="00476F50" w:rsidRPr="00860D79" w:rsidRDefault="00476F50" w:rsidP="0091029B">
            <w:pPr>
              <w:jc w:val="center"/>
            </w:pPr>
            <w:r w:rsidRPr="00860D79">
              <w:t>0.1212</w:t>
            </w:r>
          </w:p>
        </w:tc>
        <w:tc>
          <w:tcPr>
            <w:tcW w:w="1759" w:type="dxa"/>
          </w:tcPr>
          <w:p w14:paraId="0A9F47A5" w14:textId="77777777" w:rsidR="00476F50" w:rsidRPr="00860D79" w:rsidRDefault="00476F50" w:rsidP="0091029B">
            <w:pPr>
              <w:jc w:val="center"/>
            </w:pPr>
            <w:r w:rsidRPr="00860D79">
              <w:t>0.1337</w:t>
            </w:r>
          </w:p>
        </w:tc>
        <w:tc>
          <w:tcPr>
            <w:tcW w:w="1759" w:type="dxa"/>
          </w:tcPr>
          <w:p w14:paraId="1B8C2ADC" w14:textId="77777777" w:rsidR="00476F50" w:rsidRPr="00860D79" w:rsidRDefault="00476F50" w:rsidP="0091029B">
            <w:pPr>
              <w:jc w:val="center"/>
            </w:pPr>
            <w:r w:rsidRPr="00860D79">
              <w:t>0.1351</w:t>
            </w:r>
          </w:p>
        </w:tc>
      </w:tr>
    </w:tbl>
    <w:p w14:paraId="339FF9AD" w14:textId="77777777" w:rsidR="00476F50" w:rsidRPr="00860D79" w:rsidRDefault="00476F50" w:rsidP="00860D79">
      <w:pPr>
        <w:jc w:val="both"/>
        <w:rPr>
          <w:i/>
          <w:iCs/>
          <w:color w:val="1F497D" w:themeColor="text2"/>
          <w:sz w:val="18"/>
          <w:szCs w:val="18"/>
          <w:lang w:val="en-US"/>
        </w:rPr>
      </w:pPr>
      <w:r w:rsidRPr="00860D79">
        <w:rPr>
          <w:i/>
          <w:iCs/>
          <w:color w:val="1F497D" w:themeColor="text2"/>
          <w:sz w:val="18"/>
          <w:szCs w:val="18"/>
          <w:lang w:val="en-US"/>
        </w:rPr>
        <w:t>Notes: Dependent variable is the real spread of each IPCA-linked corporate bond over a maturity-matched real benchmark. All specifications include bond fixed effects and issuer-clustered standard errors. The real USD/BRL index is normalized so that an increase represents BRL real depreciation. Real Fed 3M is Fed 3M Forward minus US CPI YoY. *, **, and *** denote significance at the 10, 5, and 1 percent levels, respectively.</w:t>
      </w:r>
    </w:p>
    <w:p w14:paraId="3FAF5DCB" w14:textId="77777777" w:rsidR="00476F50" w:rsidRPr="00D95C85" w:rsidRDefault="00476F50" w:rsidP="00476F50">
      <w:pPr>
        <w:rPr>
          <w:lang w:val="en-US"/>
        </w:rPr>
      </w:pPr>
    </w:p>
    <w:p w14:paraId="1B3A38FE" w14:textId="77777777" w:rsidR="00476F50" w:rsidRPr="00D95C85" w:rsidRDefault="00476F50" w:rsidP="00860D79">
      <w:pPr>
        <w:ind w:firstLine="720"/>
        <w:rPr>
          <w:lang w:val="en-US"/>
        </w:rPr>
      </w:pPr>
      <w:r w:rsidRPr="00D95C85">
        <w:rPr>
          <w:lang w:val="en-US"/>
        </w:rPr>
        <w:t xml:space="preserve">Table 7 reports the sovereign-risk exclusion checks. The synthetic BRL sovereign-risk proxy remains negative and statistically significant when debt/GDP is excluded, when GDP growth is excluded, when the exchange-rate variable is excluded, and when all three variables are removed jointly. The coefficient ranges from -0.1284 to -0.1387 in the exclusion specifications, compared with -0.1233 in the baseline. This pattern strengthens the interpretation that the negative sovereign-risk coefficient is not simply a by-product of </w:t>
      </w:r>
      <w:r w:rsidRPr="00D95C85">
        <w:rPr>
          <w:lang w:val="en-US"/>
        </w:rPr>
        <w:lastRenderedPageBreak/>
        <w:t>multicollinearity with fiscal, activity, or exchange-rate controls. Instead, it is consistent with the paper's central interpretation that sovereign-corporate transmission in Brazil's IPCA-linked debenture market is segmented and differs from the standard hard-currency sovereign-ceiling mechanism.</w:t>
      </w:r>
    </w:p>
    <w:p w14:paraId="23A92544" w14:textId="77777777" w:rsidR="00476F50" w:rsidRPr="00860D79" w:rsidRDefault="00476F50" w:rsidP="00860D79">
      <w:pPr>
        <w:jc w:val="both"/>
        <w:rPr>
          <w:i/>
          <w:iCs/>
          <w:color w:val="1F497D" w:themeColor="text2"/>
          <w:sz w:val="18"/>
          <w:szCs w:val="18"/>
          <w:lang w:val="en-US"/>
        </w:rPr>
      </w:pPr>
      <w:r w:rsidRPr="00860D79">
        <w:rPr>
          <w:i/>
          <w:iCs/>
          <w:color w:val="1F497D" w:themeColor="text2"/>
          <w:sz w:val="18"/>
          <w:szCs w:val="18"/>
          <w:lang w:val="en-US"/>
        </w:rPr>
        <w:t>Table 7: Sovereign-risk exclusion robustness checks</w:t>
      </w:r>
    </w:p>
    <w:tbl>
      <w:tblPr>
        <w:tblStyle w:val="GridTable1Light"/>
        <w:tblW w:w="0" w:type="auto"/>
        <w:tblLook w:val="04A0" w:firstRow="1" w:lastRow="0" w:firstColumn="1" w:lastColumn="0" w:noHBand="0" w:noVBand="1"/>
      </w:tblPr>
      <w:tblGrid>
        <w:gridCol w:w="1578"/>
        <w:gridCol w:w="1436"/>
        <w:gridCol w:w="1447"/>
        <w:gridCol w:w="1437"/>
        <w:gridCol w:w="1437"/>
        <w:gridCol w:w="1452"/>
      </w:tblGrid>
      <w:tr w:rsidR="00476F50" w:rsidRPr="00860D79" w14:paraId="53267D64" w14:textId="77777777" w:rsidTr="00860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tcPr>
          <w:p w14:paraId="2B077600" w14:textId="77777777" w:rsidR="00476F50" w:rsidRPr="00860D79" w:rsidRDefault="00476F50" w:rsidP="0091029B">
            <w:pPr>
              <w:jc w:val="center"/>
            </w:pPr>
            <w:proofErr w:type="spellStart"/>
            <w:r w:rsidRPr="00860D79">
              <w:t>Specification</w:t>
            </w:r>
            <w:proofErr w:type="spellEnd"/>
          </w:p>
        </w:tc>
        <w:tc>
          <w:tcPr>
            <w:tcW w:w="1466" w:type="dxa"/>
          </w:tcPr>
          <w:p w14:paraId="58469EBD" w14:textId="77777777" w:rsidR="00476F50" w:rsidRPr="00860D79" w:rsidRDefault="00476F50" w:rsidP="0091029B">
            <w:pPr>
              <w:jc w:val="center"/>
              <w:cnfStyle w:val="100000000000" w:firstRow="1" w:lastRow="0" w:firstColumn="0" w:lastColumn="0" w:oddVBand="0" w:evenVBand="0" w:oddHBand="0" w:evenHBand="0" w:firstRowFirstColumn="0" w:firstRowLastColumn="0" w:lastRowFirstColumn="0" w:lastRowLastColumn="0"/>
            </w:pPr>
            <w:proofErr w:type="spellStart"/>
            <w:r w:rsidRPr="00860D79">
              <w:t>Baseline</w:t>
            </w:r>
            <w:proofErr w:type="spellEnd"/>
          </w:p>
        </w:tc>
        <w:tc>
          <w:tcPr>
            <w:tcW w:w="1466" w:type="dxa"/>
          </w:tcPr>
          <w:p w14:paraId="2844901A" w14:textId="77777777" w:rsidR="00476F50" w:rsidRPr="00860D79" w:rsidRDefault="00476F50" w:rsidP="0091029B">
            <w:pPr>
              <w:jc w:val="center"/>
              <w:cnfStyle w:val="100000000000" w:firstRow="1" w:lastRow="0" w:firstColumn="0" w:lastColumn="0" w:oddVBand="0" w:evenVBand="0" w:oddHBand="0" w:evenHBand="0" w:firstRowFirstColumn="0" w:firstRowLastColumn="0" w:lastRowFirstColumn="0" w:lastRowLastColumn="0"/>
            </w:pPr>
            <w:r w:rsidRPr="00860D79">
              <w:t xml:space="preserve">No </w:t>
            </w:r>
            <w:proofErr w:type="spellStart"/>
            <w:r w:rsidRPr="00860D79">
              <w:t>debt</w:t>
            </w:r>
            <w:proofErr w:type="spellEnd"/>
            <w:r w:rsidRPr="00860D79">
              <w:t>/GDP</w:t>
            </w:r>
          </w:p>
        </w:tc>
        <w:tc>
          <w:tcPr>
            <w:tcW w:w="1466" w:type="dxa"/>
          </w:tcPr>
          <w:p w14:paraId="69590E4F" w14:textId="77777777" w:rsidR="00476F50" w:rsidRPr="00860D79" w:rsidRDefault="00476F50" w:rsidP="0091029B">
            <w:pPr>
              <w:jc w:val="center"/>
              <w:cnfStyle w:val="100000000000" w:firstRow="1" w:lastRow="0" w:firstColumn="0" w:lastColumn="0" w:oddVBand="0" w:evenVBand="0" w:oddHBand="0" w:evenHBand="0" w:firstRowFirstColumn="0" w:firstRowLastColumn="0" w:lastRowFirstColumn="0" w:lastRowLastColumn="0"/>
            </w:pPr>
            <w:r w:rsidRPr="00860D79">
              <w:t xml:space="preserve">No GDP </w:t>
            </w:r>
            <w:proofErr w:type="spellStart"/>
            <w:r w:rsidRPr="00860D79">
              <w:t>growth</w:t>
            </w:r>
            <w:proofErr w:type="spellEnd"/>
          </w:p>
        </w:tc>
        <w:tc>
          <w:tcPr>
            <w:tcW w:w="1466" w:type="dxa"/>
          </w:tcPr>
          <w:p w14:paraId="1886D6E0" w14:textId="77777777" w:rsidR="00476F50" w:rsidRPr="00860D79" w:rsidRDefault="00476F50" w:rsidP="0091029B">
            <w:pPr>
              <w:jc w:val="center"/>
              <w:cnfStyle w:val="100000000000" w:firstRow="1" w:lastRow="0" w:firstColumn="0" w:lastColumn="0" w:oddVBand="0" w:evenVBand="0" w:oddHBand="0" w:evenHBand="0" w:firstRowFirstColumn="0" w:firstRowLastColumn="0" w:lastRowFirstColumn="0" w:lastRowLastColumn="0"/>
            </w:pPr>
            <w:r w:rsidRPr="00860D79">
              <w:t>No FX</w:t>
            </w:r>
          </w:p>
        </w:tc>
        <w:tc>
          <w:tcPr>
            <w:tcW w:w="1466" w:type="dxa"/>
          </w:tcPr>
          <w:p w14:paraId="07EE119E" w14:textId="77777777" w:rsidR="00476F50" w:rsidRPr="00860D79" w:rsidRDefault="00476F50" w:rsidP="0091029B">
            <w:pPr>
              <w:jc w:val="center"/>
              <w:cnfStyle w:val="100000000000" w:firstRow="1" w:lastRow="0" w:firstColumn="0" w:lastColumn="0" w:oddVBand="0" w:evenVBand="0" w:oddHBand="0" w:evenHBand="0" w:firstRowFirstColumn="0" w:firstRowLastColumn="0" w:lastRowFirstColumn="0" w:lastRowLastColumn="0"/>
              <w:rPr>
                <w:lang w:val="en-US"/>
              </w:rPr>
            </w:pPr>
            <w:r w:rsidRPr="00860D79">
              <w:rPr>
                <w:lang w:val="en-US"/>
              </w:rPr>
              <w:t>No debt/GDP, GDP, FX</w:t>
            </w:r>
          </w:p>
        </w:tc>
      </w:tr>
      <w:tr w:rsidR="00476F50" w:rsidRPr="00860D79" w14:paraId="606F1570" w14:textId="77777777" w:rsidTr="00860D79">
        <w:tc>
          <w:tcPr>
            <w:cnfStyle w:val="001000000000" w:firstRow="0" w:lastRow="0" w:firstColumn="1" w:lastColumn="0" w:oddVBand="0" w:evenVBand="0" w:oddHBand="0" w:evenHBand="0" w:firstRowFirstColumn="0" w:firstRowLastColumn="0" w:lastRowFirstColumn="0" w:lastRowLastColumn="0"/>
            <w:tcW w:w="1466" w:type="dxa"/>
          </w:tcPr>
          <w:p w14:paraId="06A53881" w14:textId="77777777" w:rsidR="00476F50" w:rsidRPr="00860D79" w:rsidRDefault="00476F50" w:rsidP="0091029B">
            <w:proofErr w:type="spellStart"/>
            <w:r w:rsidRPr="00860D79">
              <w:t>Synthetic</w:t>
            </w:r>
            <w:proofErr w:type="spellEnd"/>
            <w:r w:rsidRPr="00860D79">
              <w:t xml:space="preserve"> </w:t>
            </w:r>
            <w:proofErr w:type="spellStart"/>
            <w:r w:rsidRPr="00860D79">
              <w:t>sovereign</w:t>
            </w:r>
            <w:proofErr w:type="spellEnd"/>
            <w:r w:rsidRPr="00860D79">
              <w:t xml:space="preserve"> </w:t>
            </w:r>
            <w:proofErr w:type="spellStart"/>
            <w:r w:rsidRPr="00860D79">
              <w:t>risk</w:t>
            </w:r>
            <w:proofErr w:type="spellEnd"/>
            <w:r w:rsidRPr="00860D79">
              <w:t xml:space="preserve"> (BRL)</w:t>
            </w:r>
          </w:p>
        </w:tc>
        <w:tc>
          <w:tcPr>
            <w:tcW w:w="1466" w:type="dxa"/>
          </w:tcPr>
          <w:p w14:paraId="0B7551CE"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-0.1233**</w:t>
            </w:r>
          </w:p>
        </w:tc>
        <w:tc>
          <w:tcPr>
            <w:tcW w:w="1466" w:type="dxa"/>
          </w:tcPr>
          <w:p w14:paraId="2ED0145E"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-0.1340**</w:t>
            </w:r>
          </w:p>
        </w:tc>
        <w:tc>
          <w:tcPr>
            <w:tcW w:w="1466" w:type="dxa"/>
          </w:tcPr>
          <w:p w14:paraId="7FAA2D64"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-0.1284**</w:t>
            </w:r>
          </w:p>
        </w:tc>
        <w:tc>
          <w:tcPr>
            <w:tcW w:w="1466" w:type="dxa"/>
          </w:tcPr>
          <w:p w14:paraId="3E9C4DF7"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-0.1303**</w:t>
            </w:r>
          </w:p>
        </w:tc>
        <w:tc>
          <w:tcPr>
            <w:tcW w:w="1466" w:type="dxa"/>
          </w:tcPr>
          <w:p w14:paraId="0D67C14B"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-0.1387**</w:t>
            </w:r>
          </w:p>
        </w:tc>
      </w:tr>
      <w:tr w:rsidR="00476F50" w:rsidRPr="00860D79" w14:paraId="3916F7A9" w14:textId="77777777" w:rsidTr="00860D79">
        <w:tc>
          <w:tcPr>
            <w:cnfStyle w:val="001000000000" w:firstRow="0" w:lastRow="0" w:firstColumn="1" w:lastColumn="0" w:oddVBand="0" w:evenVBand="0" w:oddHBand="0" w:evenHBand="0" w:firstRowFirstColumn="0" w:firstRowLastColumn="0" w:lastRowFirstColumn="0" w:lastRowLastColumn="0"/>
            <w:tcW w:w="1466" w:type="dxa"/>
          </w:tcPr>
          <w:p w14:paraId="20965690" w14:textId="77777777" w:rsidR="00476F50" w:rsidRPr="00860D79" w:rsidRDefault="00476F50" w:rsidP="0091029B">
            <w:r w:rsidRPr="00860D79">
              <w:t xml:space="preserve">Public </w:t>
            </w:r>
            <w:proofErr w:type="spellStart"/>
            <w:r w:rsidRPr="00860D79">
              <w:t>debt</w:t>
            </w:r>
            <w:proofErr w:type="spellEnd"/>
            <w:r w:rsidRPr="00860D79">
              <w:t xml:space="preserve"> / GDP</w:t>
            </w:r>
          </w:p>
        </w:tc>
        <w:tc>
          <w:tcPr>
            <w:tcW w:w="1466" w:type="dxa"/>
          </w:tcPr>
          <w:p w14:paraId="428382DE"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4A404D19"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Excluded</w:t>
            </w:r>
            <w:proofErr w:type="spellEnd"/>
          </w:p>
        </w:tc>
        <w:tc>
          <w:tcPr>
            <w:tcW w:w="1466" w:type="dxa"/>
          </w:tcPr>
          <w:p w14:paraId="1FDA98BE"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202270A4"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6447FF38"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Excluded</w:t>
            </w:r>
            <w:proofErr w:type="spellEnd"/>
          </w:p>
        </w:tc>
      </w:tr>
      <w:tr w:rsidR="00476F50" w:rsidRPr="00860D79" w14:paraId="1B733616" w14:textId="77777777" w:rsidTr="00860D79">
        <w:tc>
          <w:tcPr>
            <w:cnfStyle w:val="001000000000" w:firstRow="0" w:lastRow="0" w:firstColumn="1" w:lastColumn="0" w:oddVBand="0" w:evenVBand="0" w:oddHBand="0" w:evenHBand="0" w:firstRowFirstColumn="0" w:firstRowLastColumn="0" w:lastRowFirstColumn="0" w:lastRowLastColumn="0"/>
            <w:tcW w:w="1466" w:type="dxa"/>
          </w:tcPr>
          <w:p w14:paraId="4127F2F3" w14:textId="77777777" w:rsidR="00476F50" w:rsidRPr="00860D79" w:rsidRDefault="00476F50" w:rsidP="0091029B">
            <w:r w:rsidRPr="00860D79">
              <w:t xml:space="preserve">GDP </w:t>
            </w:r>
            <w:proofErr w:type="spellStart"/>
            <w:r w:rsidRPr="00860D79">
              <w:t>growth</w:t>
            </w:r>
            <w:proofErr w:type="spellEnd"/>
            <w:r w:rsidRPr="00860D79">
              <w:t xml:space="preserve"> (YoY)</w:t>
            </w:r>
          </w:p>
        </w:tc>
        <w:tc>
          <w:tcPr>
            <w:tcW w:w="1466" w:type="dxa"/>
          </w:tcPr>
          <w:p w14:paraId="34A024FA"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7EB75658"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5A7871C4"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Excluded</w:t>
            </w:r>
            <w:proofErr w:type="spellEnd"/>
          </w:p>
        </w:tc>
        <w:tc>
          <w:tcPr>
            <w:tcW w:w="1466" w:type="dxa"/>
          </w:tcPr>
          <w:p w14:paraId="59B15986"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03C4440C"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Excluded</w:t>
            </w:r>
            <w:proofErr w:type="spellEnd"/>
          </w:p>
        </w:tc>
      </w:tr>
      <w:tr w:rsidR="00476F50" w:rsidRPr="00860D79" w14:paraId="2438BBBB" w14:textId="77777777" w:rsidTr="00860D79">
        <w:tc>
          <w:tcPr>
            <w:cnfStyle w:val="001000000000" w:firstRow="0" w:lastRow="0" w:firstColumn="1" w:lastColumn="0" w:oddVBand="0" w:evenVBand="0" w:oddHBand="0" w:evenHBand="0" w:firstRowFirstColumn="0" w:firstRowLastColumn="0" w:lastRowFirstColumn="0" w:lastRowLastColumn="0"/>
            <w:tcW w:w="1466" w:type="dxa"/>
          </w:tcPr>
          <w:p w14:paraId="2DEEA689" w14:textId="77777777" w:rsidR="00476F50" w:rsidRPr="00860D79" w:rsidRDefault="00476F50" w:rsidP="0091029B">
            <w:r w:rsidRPr="00860D79">
              <w:t>USD/BRL</w:t>
            </w:r>
          </w:p>
        </w:tc>
        <w:tc>
          <w:tcPr>
            <w:tcW w:w="1466" w:type="dxa"/>
          </w:tcPr>
          <w:p w14:paraId="3777A69E"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043FD4DE"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1FD5F77B"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Included</w:t>
            </w:r>
            <w:proofErr w:type="spellEnd"/>
          </w:p>
        </w:tc>
        <w:tc>
          <w:tcPr>
            <w:tcW w:w="1466" w:type="dxa"/>
          </w:tcPr>
          <w:p w14:paraId="6E83F150"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Excluded</w:t>
            </w:r>
            <w:proofErr w:type="spellEnd"/>
          </w:p>
        </w:tc>
        <w:tc>
          <w:tcPr>
            <w:tcW w:w="1466" w:type="dxa"/>
          </w:tcPr>
          <w:p w14:paraId="56CD7CC7"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proofErr w:type="spellStart"/>
            <w:r w:rsidRPr="00860D79">
              <w:t>Excluded</w:t>
            </w:r>
            <w:proofErr w:type="spellEnd"/>
          </w:p>
        </w:tc>
      </w:tr>
      <w:tr w:rsidR="00476F50" w:rsidRPr="00860D79" w14:paraId="695A3280" w14:textId="77777777" w:rsidTr="00860D79">
        <w:tc>
          <w:tcPr>
            <w:cnfStyle w:val="001000000000" w:firstRow="0" w:lastRow="0" w:firstColumn="1" w:lastColumn="0" w:oddVBand="0" w:evenVBand="0" w:oddHBand="0" w:evenHBand="0" w:firstRowFirstColumn="0" w:firstRowLastColumn="0" w:lastRowFirstColumn="0" w:lastRowLastColumn="0"/>
            <w:tcW w:w="1466" w:type="dxa"/>
          </w:tcPr>
          <w:p w14:paraId="2F86BBD1" w14:textId="77777777" w:rsidR="00476F50" w:rsidRPr="00860D79" w:rsidRDefault="00476F50" w:rsidP="0091029B">
            <w:proofErr w:type="spellStart"/>
            <w:r w:rsidRPr="00860D79">
              <w:t>Observations</w:t>
            </w:r>
            <w:proofErr w:type="spellEnd"/>
          </w:p>
        </w:tc>
        <w:tc>
          <w:tcPr>
            <w:tcW w:w="1466" w:type="dxa"/>
          </w:tcPr>
          <w:p w14:paraId="5EE01452"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4,229</w:t>
            </w:r>
          </w:p>
        </w:tc>
        <w:tc>
          <w:tcPr>
            <w:tcW w:w="1466" w:type="dxa"/>
          </w:tcPr>
          <w:p w14:paraId="55786DFF"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4,229</w:t>
            </w:r>
          </w:p>
        </w:tc>
        <w:tc>
          <w:tcPr>
            <w:tcW w:w="1466" w:type="dxa"/>
          </w:tcPr>
          <w:p w14:paraId="0820B22C"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4,229</w:t>
            </w:r>
          </w:p>
        </w:tc>
        <w:tc>
          <w:tcPr>
            <w:tcW w:w="1466" w:type="dxa"/>
          </w:tcPr>
          <w:p w14:paraId="695FEFFD"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4,229</w:t>
            </w:r>
          </w:p>
        </w:tc>
        <w:tc>
          <w:tcPr>
            <w:tcW w:w="1466" w:type="dxa"/>
          </w:tcPr>
          <w:p w14:paraId="2086AAFB"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4,229</w:t>
            </w:r>
          </w:p>
        </w:tc>
      </w:tr>
      <w:tr w:rsidR="00476F50" w:rsidRPr="00860D79" w14:paraId="4C9BF096" w14:textId="77777777" w:rsidTr="00860D79">
        <w:tc>
          <w:tcPr>
            <w:cnfStyle w:val="001000000000" w:firstRow="0" w:lastRow="0" w:firstColumn="1" w:lastColumn="0" w:oddVBand="0" w:evenVBand="0" w:oddHBand="0" w:evenHBand="0" w:firstRowFirstColumn="0" w:firstRowLastColumn="0" w:lastRowFirstColumn="0" w:lastRowLastColumn="0"/>
            <w:tcW w:w="1466" w:type="dxa"/>
          </w:tcPr>
          <w:p w14:paraId="4450581A" w14:textId="77777777" w:rsidR="00476F50" w:rsidRPr="00860D79" w:rsidRDefault="00476F50" w:rsidP="0091029B">
            <w:proofErr w:type="spellStart"/>
            <w:r w:rsidRPr="00860D79">
              <w:t>Within</w:t>
            </w:r>
            <w:proofErr w:type="spellEnd"/>
            <w:r w:rsidRPr="00860D79">
              <w:t xml:space="preserve"> R-</w:t>
            </w:r>
            <w:proofErr w:type="spellStart"/>
            <w:r w:rsidRPr="00860D79">
              <w:t>squared</w:t>
            </w:r>
            <w:proofErr w:type="spellEnd"/>
          </w:p>
        </w:tc>
        <w:tc>
          <w:tcPr>
            <w:tcW w:w="1466" w:type="dxa"/>
          </w:tcPr>
          <w:p w14:paraId="5950C419"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0.1205</w:t>
            </w:r>
          </w:p>
        </w:tc>
        <w:tc>
          <w:tcPr>
            <w:tcW w:w="1466" w:type="dxa"/>
          </w:tcPr>
          <w:p w14:paraId="0A7FC715"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0.1049</w:t>
            </w:r>
          </w:p>
        </w:tc>
        <w:tc>
          <w:tcPr>
            <w:tcW w:w="1466" w:type="dxa"/>
          </w:tcPr>
          <w:p w14:paraId="6305157E"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0.1093</w:t>
            </w:r>
          </w:p>
        </w:tc>
        <w:tc>
          <w:tcPr>
            <w:tcW w:w="1466" w:type="dxa"/>
          </w:tcPr>
          <w:p w14:paraId="55166AB3"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0.1039</w:t>
            </w:r>
          </w:p>
        </w:tc>
        <w:tc>
          <w:tcPr>
            <w:tcW w:w="1466" w:type="dxa"/>
          </w:tcPr>
          <w:p w14:paraId="58082C65" w14:textId="77777777" w:rsidR="00476F50" w:rsidRPr="00860D79" w:rsidRDefault="00476F50" w:rsidP="0091029B">
            <w:pPr>
              <w:jc w:val="center"/>
              <w:cnfStyle w:val="000000000000" w:firstRow="0" w:lastRow="0" w:firstColumn="0" w:lastColumn="0" w:oddVBand="0" w:evenVBand="0" w:oddHBand="0" w:evenHBand="0" w:firstRowFirstColumn="0" w:firstRowLastColumn="0" w:lastRowFirstColumn="0" w:lastRowLastColumn="0"/>
            </w:pPr>
            <w:r w:rsidRPr="00860D79">
              <w:t>0.0882</w:t>
            </w:r>
          </w:p>
        </w:tc>
      </w:tr>
    </w:tbl>
    <w:p w14:paraId="156998CA" w14:textId="77777777" w:rsidR="00476F50" w:rsidRDefault="00476F50" w:rsidP="00476F50">
      <w:r w:rsidRPr="00860D79">
        <w:rPr>
          <w:i/>
          <w:iCs/>
          <w:color w:val="1F497D" w:themeColor="text2"/>
          <w:sz w:val="18"/>
          <w:szCs w:val="18"/>
          <w:lang w:val="en-US"/>
        </w:rPr>
        <w:t>Notes: All specifications include bond fixed effects, issuer-clustered standard errors, global variables, bond and firm controls, and the synthetic BRL sovereign-risk proxy. The table removes selected macro-sovereign controls to test whether the sovereign-risk coefficient is sensitive to overlapping fiscal, activity, or exchange-rate variables. *, **, and *** denote significance at the 10, 5, and 1 percent levels, respectively</w:t>
      </w:r>
      <w:r>
        <w:rPr>
          <w:i/>
          <w:sz w:val="16"/>
        </w:rPr>
        <w:t>.</w:t>
      </w:r>
    </w:p>
    <w:p w14:paraId="0CB84DC8" w14:textId="3AB9C07A" w:rsidR="009B3645" w:rsidRDefault="009B3645" w:rsidP="00460E9B">
      <w:pPr>
        <w:ind w:firstLine="709"/>
        <w:jc w:val="both"/>
        <w:rPr>
          <w:lang w:val="en-US"/>
        </w:rPr>
      </w:pPr>
    </w:p>
    <w:p w14:paraId="76E5DE04" w14:textId="77777777" w:rsidR="00AD0B0C" w:rsidRPr="00AE2805" w:rsidRDefault="00AD0B0C">
      <w:pPr>
        <w:jc w:val="both"/>
        <w:rPr>
          <w:b/>
          <w:bCs/>
          <w:lang w:val="en-US"/>
        </w:rPr>
      </w:pPr>
    </w:p>
    <w:p w14:paraId="409FBFEE" w14:textId="468EF2D6" w:rsidR="0002722C" w:rsidRPr="00CA38ED" w:rsidRDefault="0023200F" w:rsidP="00BC3ED8">
      <w:pPr>
        <w:pStyle w:val="Heading1"/>
      </w:pPr>
      <w:bookmarkStart w:id="17" w:name="_Toc232189550"/>
      <w:proofErr w:type="spellStart"/>
      <w:r w:rsidRPr="0023200F">
        <w:t>Discussion</w:t>
      </w:r>
      <w:bookmarkEnd w:id="17"/>
      <w:proofErr w:type="spellEnd"/>
    </w:p>
    <w:p w14:paraId="5CCED182" w14:textId="77777777" w:rsidR="0002722C" w:rsidRPr="00CA38ED" w:rsidRDefault="0002722C" w:rsidP="00E310A5">
      <w:pPr>
        <w:pBdr>
          <w:top w:val="nil"/>
          <w:left w:val="nil"/>
          <w:bottom w:val="nil"/>
          <w:right w:val="nil"/>
          <w:between w:val="nil"/>
        </w:pBdr>
        <w:rPr>
          <w:b/>
          <w:bCs/>
          <w:sz w:val="28"/>
          <w:szCs w:val="28"/>
        </w:rPr>
      </w:pPr>
    </w:p>
    <w:p w14:paraId="05484285" w14:textId="3F4EA4B3" w:rsidR="0002722C" w:rsidRPr="007C6CC9" w:rsidRDefault="007C6CC9" w:rsidP="0097556E">
      <w:pPr>
        <w:pStyle w:val="Heading2"/>
        <w:rPr>
          <w:lang w:val="en-US"/>
        </w:rPr>
      </w:pPr>
      <w:bookmarkStart w:id="18" w:name="_Toc232189551"/>
      <w:r w:rsidRPr="007C6CC9">
        <w:rPr>
          <w:lang w:val="en-US"/>
        </w:rPr>
        <w:t>Global transmission to local-currency corporate debt</w:t>
      </w:r>
      <w:bookmarkEnd w:id="18"/>
    </w:p>
    <w:p w14:paraId="402C9712" w14:textId="77777777" w:rsidR="0002722C" w:rsidRPr="007C6CC9" w:rsidRDefault="0002722C">
      <w:pPr>
        <w:pBdr>
          <w:top w:val="nil"/>
          <w:left w:val="nil"/>
          <w:bottom w:val="nil"/>
          <w:right w:val="nil"/>
          <w:between w:val="nil"/>
        </w:pBdr>
        <w:jc w:val="both"/>
        <w:rPr>
          <w:b/>
          <w:bCs/>
          <w:sz w:val="28"/>
          <w:szCs w:val="28"/>
          <w:lang w:val="en-US"/>
        </w:rPr>
      </w:pPr>
    </w:p>
    <w:p w14:paraId="423C765C" w14:textId="01CAED4A" w:rsidR="00A52CDF" w:rsidRDefault="00A52CDF" w:rsidP="00A52CDF">
      <w:pPr>
        <w:ind w:firstLine="709"/>
        <w:jc w:val="both"/>
        <w:rPr>
          <w:bCs/>
          <w:lang w:val="en-US" w:eastAsia="es-ES"/>
        </w:rPr>
      </w:pPr>
      <w:r w:rsidRPr="00A52CDF">
        <w:rPr>
          <w:bCs/>
          <w:lang w:val="en-US" w:eastAsia="es-ES"/>
        </w:rPr>
        <w:t>The first broad lesson of the paper is that local-currency corporate spreads in Brazil remain exposed to global financial conditions. This is important because a common presumption in policy discussions is that the development of local-currency debt markets reduces vulnerability to external shocks. That presumption is only partly correct. Borrowing in domestic currency certainly reduces direct currency mismatch, but it does not sever the link between domestic asset prices and the global financial cycle. The positive response of spreads to expected US monetary tightening suggests that international liquidity conditions still shape the required return on Brazilian corporate debt.</w:t>
      </w:r>
    </w:p>
    <w:p w14:paraId="4E420313" w14:textId="77777777" w:rsidR="00A52CDF" w:rsidRPr="00A52CDF" w:rsidRDefault="00A52CDF" w:rsidP="00A52CDF">
      <w:pPr>
        <w:ind w:firstLine="709"/>
        <w:jc w:val="both"/>
        <w:rPr>
          <w:bCs/>
          <w:lang w:val="en-US" w:eastAsia="es-ES"/>
        </w:rPr>
      </w:pPr>
    </w:p>
    <w:p w14:paraId="24958875" w14:textId="77777777" w:rsidR="00A52CDF" w:rsidRDefault="00A52CDF" w:rsidP="00A52CDF">
      <w:pPr>
        <w:ind w:firstLine="709"/>
        <w:jc w:val="both"/>
        <w:rPr>
          <w:bCs/>
          <w:lang w:val="en-US" w:eastAsia="es-ES"/>
        </w:rPr>
      </w:pPr>
      <w:r w:rsidRPr="00A52CDF">
        <w:rPr>
          <w:bCs/>
          <w:lang w:val="en-US" w:eastAsia="es-ES"/>
        </w:rPr>
        <w:t xml:space="preserve">This result fits the broader literature on global push factors, but it is particularly relevant for inflation-linked bonds. These instruments might seem less exposed to foreign developments because their cash flows are tied to domestic inflation rather than to external funding. Yet the investor base, benchmark curves, and opportunity cost of capital all respond to international rates. A tightening in expected US policy may raise discount rates, alter portfolio allocations in domestic fixed income, and reduce the relative attractiveness of longer-duration emerging-market securities. The implication is that the resilience of local-currency markets should not be judged solely by their currency denomination; it also depends </w:t>
      </w:r>
      <w:r w:rsidRPr="00A52CDF">
        <w:rPr>
          <w:bCs/>
          <w:lang w:val="en-US" w:eastAsia="es-ES"/>
        </w:rPr>
        <w:lastRenderedPageBreak/>
        <w:t>on how global financial conditions are transmitted through domestic intermediaries and benchmark structures.</w:t>
      </w:r>
    </w:p>
    <w:p w14:paraId="2E547B35" w14:textId="77777777" w:rsidR="00A52CDF" w:rsidRPr="00A52CDF" w:rsidRDefault="00A52CDF" w:rsidP="00A52CDF">
      <w:pPr>
        <w:ind w:firstLine="709"/>
        <w:jc w:val="both"/>
        <w:rPr>
          <w:bCs/>
          <w:lang w:val="en-US" w:eastAsia="es-ES"/>
        </w:rPr>
      </w:pPr>
    </w:p>
    <w:p w14:paraId="17A0AC99" w14:textId="77777777" w:rsidR="00A52CDF" w:rsidRDefault="00A52CDF" w:rsidP="00A52CDF">
      <w:pPr>
        <w:ind w:firstLine="709"/>
        <w:jc w:val="both"/>
        <w:rPr>
          <w:bCs/>
          <w:lang w:val="en-US" w:eastAsia="es-ES"/>
        </w:rPr>
      </w:pPr>
      <w:r w:rsidRPr="00A52CDF">
        <w:rPr>
          <w:bCs/>
          <w:lang w:val="en-US" w:eastAsia="es-ES"/>
        </w:rPr>
        <w:t>The exchange-rate result points in the same direction. In principle, local-currency inflation-linked debt should be less sensitive to exchange-rate depreciation than foreign-currency debt, because the coupon is not directly tied to the exchange rate and the principal is protected in real terms. In practice, depreciation still signals a deterioration in the macro-financial environment. It may raise inflation uncertainty, affect domestic monetary policy, influence foreign participation in local fixed income, and change the relative pricing of sovereign and corporate instruments. In that sense, the exchange rate is not simply a currency variable; it is a broad state variable for external stress.</w:t>
      </w:r>
    </w:p>
    <w:p w14:paraId="094BBA45" w14:textId="77777777" w:rsidR="00A52CDF" w:rsidRPr="00A52CDF" w:rsidRDefault="00A52CDF" w:rsidP="00A52CDF">
      <w:pPr>
        <w:ind w:firstLine="709"/>
        <w:jc w:val="both"/>
        <w:rPr>
          <w:bCs/>
          <w:lang w:val="en-US" w:eastAsia="es-ES"/>
        </w:rPr>
      </w:pPr>
    </w:p>
    <w:p w14:paraId="6B421DFC" w14:textId="7E3878B8" w:rsidR="00A534CB" w:rsidRPr="00A52CDF" w:rsidRDefault="00A52CDF" w:rsidP="00A52CDF">
      <w:pPr>
        <w:ind w:firstLine="709"/>
        <w:jc w:val="both"/>
        <w:rPr>
          <w:bCs/>
          <w:lang w:val="en-US" w:eastAsia="es-ES"/>
        </w:rPr>
      </w:pPr>
      <w:r w:rsidRPr="00A52CDF">
        <w:rPr>
          <w:bCs/>
          <w:lang w:val="en-US" w:eastAsia="es-ES"/>
        </w:rPr>
        <w:t>The negative sign on the VIX complicates the standard narrative but does not overturn it. A plausible interpretation is that, in Brazil's local-currency market, global risk-off episodes can trigger selective demand for higher-quality domestic corporate bonds relative to other local risky assets or to sovereign securities that become more exposed to fiscal concerns. Another possibility is that the VIX is partly capturing shifts in the composition of portfolios held by domestic institutions rather than a pure external capital-flow shock. The result is therefore best seen as evidence of market segmentation and relative-value trading, not as a rejection of global-factor relevance.</w:t>
      </w:r>
    </w:p>
    <w:p w14:paraId="1393C051" w14:textId="77777777" w:rsidR="0040777B" w:rsidRPr="00A52CDF" w:rsidRDefault="0040777B" w:rsidP="0040777B">
      <w:pPr>
        <w:ind w:firstLine="709"/>
        <w:jc w:val="both"/>
        <w:rPr>
          <w:bCs/>
          <w:lang w:val="en-US" w:eastAsia="es-ES"/>
        </w:rPr>
      </w:pPr>
    </w:p>
    <w:p w14:paraId="511D5FE2" w14:textId="77777777" w:rsidR="006F73EC" w:rsidRPr="00A52CDF" w:rsidRDefault="006F73EC" w:rsidP="00E91955">
      <w:pPr>
        <w:jc w:val="both"/>
        <w:rPr>
          <w:bCs/>
          <w:lang w:val="en-US" w:eastAsia="es-ES"/>
        </w:rPr>
      </w:pPr>
    </w:p>
    <w:p w14:paraId="10E12E71" w14:textId="6760790F" w:rsidR="0002722C" w:rsidRPr="00707986" w:rsidRDefault="00707986" w:rsidP="0097556E">
      <w:pPr>
        <w:pStyle w:val="Heading2"/>
        <w:rPr>
          <w:lang w:val="en-US"/>
        </w:rPr>
      </w:pPr>
      <w:bookmarkStart w:id="19" w:name="_Toc232189552"/>
      <w:r w:rsidRPr="00707986">
        <w:rPr>
          <w:lang w:val="en-US"/>
        </w:rPr>
        <w:t>Rethinking the sovereign ceiling in local currency</w:t>
      </w:r>
      <w:bookmarkEnd w:id="19"/>
    </w:p>
    <w:p w14:paraId="375C7CA3" w14:textId="77777777" w:rsidR="008216CE" w:rsidRPr="00707986" w:rsidRDefault="008216CE" w:rsidP="00723543">
      <w:pPr>
        <w:rPr>
          <w:lang w:val="en-US"/>
        </w:rPr>
      </w:pPr>
    </w:p>
    <w:p w14:paraId="752315B7" w14:textId="65E010E6" w:rsidR="00B3516A" w:rsidRDefault="00B3516A" w:rsidP="00B3516A">
      <w:pPr>
        <w:pBdr>
          <w:top w:val="nil"/>
          <w:left w:val="nil"/>
          <w:bottom w:val="nil"/>
          <w:right w:val="nil"/>
          <w:between w:val="nil"/>
        </w:pBdr>
        <w:ind w:firstLine="720"/>
        <w:jc w:val="both"/>
        <w:rPr>
          <w:lang w:val="en-US"/>
        </w:rPr>
      </w:pPr>
      <w:r w:rsidRPr="00B3516A">
        <w:rPr>
          <w:lang w:val="en-US"/>
        </w:rPr>
        <w:t>The second major lesson is that sovereign-corporate transmission in Brazil's IPCA-linked market does not follow the standard sovereign-ceiling pattern. The negative coefficient on the synthetic BRL sovereign-risk variable is the most novel result in the paper. Several interpretations are possible, and they are not mutually exclusive.</w:t>
      </w:r>
    </w:p>
    <w:p w14:paraId="5D564B99" w14:textId="77777777" w:rsidR="00B3516A" w:rsidRPr="00B3516A" w:rsidRDefault="00B3516A" w:rsidP="00B3516A">
      <w:pPr>
        <w:pBdr>
          <w:top w:val="nil"/>
          <w:left w:val="nil"/>
          <w:bottom w:val="nil"/>
          <w:right w:val="nil"/>
          <w:between w:val="nil"/>
        </w:pBdr>
        <w:ind w:firstLine="720"/>
        <w:jc w:val="both"/>
        <w:rPr>
          <w:lang w:val="en-US"/>
        </w:rPr>
      </w:pPr>
    </w:p>
    <w:p w14:paraId="5E05122D" w14:textId="77777777" w:rsidR="00B3516A" w:rsidRDefault="00B3516A" w:rsidP="00B3516A">
      <w:pPr>
        <w:pBdr>
          <w:top w:val="nil"/>
          <w:left w:val="nil"/>
          <w:bottom w:val="nil"/>
          <w:right w:val="nil"/>
          <w:between w:val="nil"/>
        </w:pBdr>
        <w:ind w:firstLine="720"/>
        <w:jc w:val="both"/>
        <w:rPr>
          <w:lang w:val="en-US"/>
        </w:rPr>
      </w:pPr>
      <w:r w:rsidRPr="00B3516A">
        <w:rPr>
          <w:lang w:val="en-US"/>
        </w:rPr>
        <w:t>One explanation is relative substitution between sovereign and corporate bonds during periods of sovereign stress. If local institutional investors perceive some large corporate issuers, particularly those in regulated sectors with stable cash flows, as relatively attractive when sovereign bond spreads widen, capital may flow toward those corporates rather than away from them. In such a setting, sovereign stress can compress selected corporate spreads through portfolio rebalancing, even if the macroeconomic environment is deteriorating. This mechanism is more likely in a domestic market with a stable institutional investor base than in a hard-currency market dominated by external investors.</w:t>
      </w:r>
    </w:p>
    <w:p w14:paraId="3D5845C8" w14:textId="77777777" w:rsidR="00B3516A" w:rsidRPr="00B3516A" w:rsidRDefault="00B3516A" w:rsidP="00B3516A">
      <w:pPr>
        <w:pBdr>
          <w:top w:val="nil"/>
          <w:left w:val="nil"/>
          <w:bottom w:val="nil"/>
          <w:right w:val="nil"/>
          <w:between w:val="nil"/>
        </w:pBdr>
        <w:ind w:firstLine="720"/>
        <w:jc w:val="both"/>
        <w:rPr>
          <w:lang w:val="en-US"/>
        </w:rPr>
      </w:pPr>
    </w:p>
    <w:p w14:paraId="03973C91" w14:textId="77777777" w:rsidR="00B3516A" w:rsidRDefault="00B3516A" w:rsidP="00B3516A">
      <w:pPr>
        <w:pBdr>
          <w:top w:val="nil"/>
          <w:left w:val="nil"/>
          <w:bottom w:val="nil"/>
          <w:right w:val="nil"/>
          <w:between w:val="nil"/>
        </w:pBdr>
        <w:ind w:firstLine="720"/>
        <w:jc w:val="both"/>
        <w:rPr>
          <w:lang w:val="en-US"/>
        </w:rPr>
      </w:pPr>
      <w:r w:rsidRPr="00B3516A">
        <w:rPr>
          <w:lang w:val="en-US"/>
        </w:rPr>
        <w:t>A second explanation is that the sovereign-risk proxy in local currency measures something different from a standard external CDS. Because it is constructed from local sovereign yields relative to domestic benchmark curves, it may contain information about term-premium movements, relative value along the sovereign curve, or shifts in local demand for sovereign paper. If those movements are partly orthogonal to corporate default risk, the estimated coefficient need not match the sign predicted by the classic sovereign-ceiling theory. This does not make the proxy uninformative; rather, it means that the relevant notion of sovereign risk in domestic markets is more complex than a single external spread.</w:t>
      </w:r>
    </w:p>
    <w:p w14:paraId="241C5C31" w14:textId="77777777" w:rsidR="00B3516A" w:rsidRPr="00B3516A" w:rsidRDefault="00B3516A" w:rsidP="00B3516A">
      <w:pPr>
        <w:pBdr>
          <w:top w:val="nil"/>
          <w:left w:val="nil"/>
          <w:bottom w:val="nil"/>
          <w:right w:val="nil"/>
          <w:between w:val="nil"/>
        </w:pBdr>
        <w:ind w:firstLine="720"/>
        <w:jc w:val="both"/>
        <w:rPr>
          <w:lang w:val="en-US"/>
        </w:rPr>
      </w:pPr>
    </w:p>
    <w:p w14:paraId="5BFB2F96" w14:textId="77777777" w:rsidR="00B3516A" w:rsidRDefault="00B3516A" w:rsidP="00B3516A">
      <w:pPr>
        <w:pBdr>
          <w:top w:val="nil"/>
          <w:left w:val="nil"/>
          <w:bottom w:val="nil"/>
          <w:right w:val="nil"/>
          <w:between w:val="nil"/>
        </w:pBdr>
        <w:ind w:firstLine="720"/>
        <w:jc w:val="both"/>
        <w:rPr>
          <w:lang w:val="en-US"/>
        </w:rPr>
      </w:pPr>
      <w:r w:rsidRPr="00B3516A">
        <w:rPr>
          <w:lang w:val="en-US"/>
        </w:rPr>
        <w:lastRenderedPageBreak/>
        <w:t>A third explanation concerns sample composition. The bond panel is concentrated in large non-financial issuers, many of them in electricity, transport, and infrastructure. These firms are not representative of the entire corporate universe. Their cash flows may be relatively stable, their access to capital markets may be persistent, and their investor following may be strong. In a stressed sovereign environment, such issuers could be treated as safer alternatives within the domestic fixed-income space. The sovereign ceiling may therefore be weaker, or even reversed, in this segment of the market.</w:t>
      </w:r>
    </w:p>
    <w:p w14:paraId="5BC112FA" w14:textId="77777777" w:rsidR="00B3516A" w:rsidRPr="00B3516A" w:rsidRDefault="00B3516A" w:rsidP="00B3516A">
      <w:pPr>
        <w:pBdr>
          <w:top w:val="nil"/>
          <w:left w:val="nil"/>
          <w:bottom w:val="nil"/>
          <w:right w:val="nil"/>
          <w:between w:val="nil"/>
        </w:pBdr>
        <w:ind w:firstLine="720"/>
        <w:jc w:val="both"/>
        <w:rPr>
          <w:lang w:val="en-US"/>
        </w:rPr>
      </w:pPr>
    </w:p>
    <w:p w14:paraId="08CCC3AB" w14:textId="4E5D6E13" w:rsidR="002D581D" w:rsidRPr="00B3516A" w:rsidRDefault="00B3516A" w:rsidP="00B3516A">
      <w:pPr>
        <w:pBdr>
          <w:top w:val="nil"/>
          <w:left w:val="nil"/>
          <w:bottom w:val="nil"/>
          <w:right w:val="nil"/>
          <w:between w:val="nil"/>
        </w:pBdr>
        <w:ind w:firstLine="720"/>
        <w:jc w:val="both"/>
        <w:rPr>
          <w:lang w:val="en-US"/>
        </w:rPr>
      </w:pPr>
      <w:r w:rsidRPr="00B3516A">
        <w:rPr>
          <w:lang w:val="en-US"/>
        </w:rPr>
        <w:t>Taken together, these interpretations suggest that the sovereign ceiling should not be viewed as a universal linear law. It may hold more clearly in external debt markets, in lower-rated corporate segments, or when the investor base is predominantly international. In domestic inflation-linked markets with strong local institutions, the transmission of sovereign risk can be segmented, state-dependent, and shaped by relative-value considerations. This is an important qualification to an otherwise influential literature.</w:t>
      </w:r>
    </w:p>
    <w:p w14:paraId="60C4D0A8" w14:textId="77777777" w:rsidR="007C4EB7" w:rsidRPr="00AE2805" w:rsidRDefault="007C4EB7">
      <w:pPr>
        <w:pBdr>
          <w:top w:val="nil"/>
          <w:left w:val="nil"/>
          <w:bottom w:val="nil"/>
          <w:right w:val="nil"/>
          <w:between w:val="nil"/>
        </w:pBdr>
        <w:jc w:val="both"/>
        <w:rPr>
          <w:sz w:val="28"/>
          <w:szCs w:val="28"/>
          <w:lang w:val="en-US"/>
        </w:rPr>
      </w:pPr>
    </w:p>
    <w:p w14:paraId="79FD5BAF" w14:textId="77777777" w:rsidR="00DB1EE6" w:rsidRPr="00AE2805" w:rsidRDefault="00DB1EE6">
      <w:pPr>
        <w:pBdr>
          <w:top w:val="nil"/>
          <w:left w:val="nil"/>
          <w:bottom w:val="nil"/>
          <w:right w:val="nil"/>
          <w:between w:val="nil"/>
        </w:pBdr>
        <w:jc w:val="both"/>
        <w:rPr>
          <w:sz w:val="28"/>
          <w:szCs w:val="28"/>
          <w:lang w:val="en-US"/>
        </w:rPr>
      </w:pPr>
    </w:p>
    <w:p w14:paraId="6BBEDDA5" w14:textId="7C4BEB62" w:rsidR="0002722C" w:rsidRPr="005D4EE2" w:rsidRDefault="005D4EE2" w:rsidP="0097556E">
      <w:pPr>
        <w:pStyle w:val="Heading2"/>
        <w:rPr>
          <w:lang w:val="en-US"/>
        </w:rPr>
      </w:pPr>
      <w:bookmarkStart w:id="20" w:name="_Toc232189553"/>
      <w:r w:rsidRPr="005D4EE2">
        <w:rPr>
          <w:lang w:val="en-US"/>
        </w:rPr>
        <w:t>Liquidity, issue size, and the limited role of accounting variables</w:t>
      </w:r>
      <w:bookmarkEnd w:id="20"/>
    </w:p>
    <w:p w14:paraId="7187EC50" w14:textId="77777777" w:rsidR="0002722C" w:rsidRPr="005D4EE2" w:rsidRDefault="0002722C">
      <w:pPr>
        <w:pBdr>
          <w:top w:val="nil"/>
          <w:left w:val="nil"/>
          <w:bottom w:val="nil"/>
          <w:right w:val="nil"/>
          <w:between w:val="nil"/>
        </w:pBdr>
        <w:jc w:val="both"/>
        <w:rPr>
          <w:sz w:val="28"/>
          <w:szCs w:val="28"/>
          <w:lang w:val="en-US"/>
        </w:rPr>
      </w:pPr>
    </w:p>
    <w:p w14:paraId="2A9823E9" w14:textId="77777777" w:rsidR="00DB1EE6" w:rsidRDefault="00DB1EE6" w:rsidP="00DB1EE6">
      <w:pPr>
        <w:pBdr>
          <w:top w:val="nil"/>
          <w:left w:val="nil"/>
          <w:bottom w:val="nil"/>
          <w:right w:val="nil"/>
          <w:between w:val="nil"/>
        </w:pBdr>
        <w:ind w:firstLine="720"/>
        <w:jc w:val="both"/>
        <w:rPr>
          <w:lang w:val="en-US"/>
        </w:rPr>
      </w:pPr>
      <w:r w:rsidRPr="00DB1EE6">
        <w:rPr>
          <w:lang w:val="en-US"/>
        </w:rPr>
        <w:t>The micro-level findings highlight the importance of liquidity and the more limited role of short-run accounting variables in explaining spread changes within bonds. The negative coefficient on issue size is consistent with Carvalho and Marques (2020) and with the broader liquidity literature. In an OTC market, larger issues are easier to distribute and trade, are more likely to be followed by dealers and asset managers, and may therefore require a smaller illiquidity premium. This result also has direct practical implications for issuers: placement strategy and market visibility can matter for borrowing costs, not only balance-sheet metrics.</w:t>
      </w:r>
    </w:p>
    <w:p w14:paraId="042F89B7" w14:textId="77777777" w:rsidR="00DB1EE6" w:rsidRPr="00DB1EE6" w:rsidRDefault="00DB1EE6" w:rsidP="00DB1EE6">
      <w:pPr>
        <w:pBdr>
          <w:top w:val="nil"/>
          <w:left w:val="nil"/>
          <w:bottom w:val="nil"/>
          <w:right w:val="nil"/>
          <w:between w:val="nil"/>
        </w:pBdr>
        <w:ind w:firstLine="720"/>
        <w:jc w:val="both"/>
        <w:rPr>
          <w:lang w:val="en-US"/>
        </w:rPr>
      </w:pPr>
    </w:p>
    <w:p w14:paraId="6BB481BD" w14:textId="7846C0B2" w:rsidR="00753739" w:rsidRPr="00DB1EE6" w:rsidRDefault="00DB1EE6" w:rsidP="00DB1EE6">
      <w:pPr>
        <w:pBdr>
          <w:top w:val="nil"/>
          <w:left w:val="nil"/>
          <w:bottom w:val="nil"/>
          <w:right w:val="nil"/>
          <w:between w:val="nil"/>
        </w:pBdr>
        <w:ind w:firstLine="720"/>
        <w:jc w:val="both"/>
        <w:rPr>
          <w:lang w:val="en-US"/>
        </w:rPr>
      </w:pPr>
      <w:r w:rsidRPr="00DB1EE6">
        <w:rPr>
          <w:lang w:val="en-US"/>
        </w:rPr>
        <w:t>The weak role of leverage and operating cash flow does not imply that firm fundamentals are irrelevant. Rather, it suggests that the relevant components of firm risk are mostly persistent and are therefore absorbed by bond fixed effects. Large firms in regulated sectors do not radically change leverage or liquidity month to month, and the quality of accounting data may be uneven for some issuers. In that setting, within-bond spread variation is driven more by changing macro conditions than by slow-moving accounting ratios. This interpretation reconciles the present results with the structural-credit literature: fundamentals matter for cross-sectional pricing and for the long-run level of spreads, but they need not dominate short-run repricing within a fixed-effects panel.</w:t>
      </w:r>
    </w:p>
    <w:p w14:paraId="2C936F7B" w14:textId="77777777" w:rsidR="00280E94" w:rsidRPr="00DB1EE6" w:rsidRDefault="00280E94">
      <w:pPr>
        <w:pBdr>
          <w:top w:val="nil"/>
          <w:left w:val="nil"/>
          <w:bottom w:val="nil"/>
          <w:right w:val="nil"/>
          <w:between w:val="nil"/>
        </w:pBdr>
        <w:jc w:val="both"/>
        <w:rPr>
          <w:sz w:val="28"/>
          <w:szCs w:val="28"/>
          <w:lang w:val="en-US"/>
        </w:rPr>
      </w:pPr>
    </w:p>
    <w:p w14:paraId="0725DCB9" w14:textId="77777777" w:rsidR="0002722C" w:rsidRPr="00DB1EE6" w:rsidRDefault="0002722C">
      <w:pPr>
        <w:pBdr>
          <w:top w:val="nil"/>
          <w:left w:val="nil"/>
          <w:bottom w:val="nil"/>
          <w:right w:val="nil"/>
          <w:between w:val="nil"/>
        </w:pBdr>
        <w:jc w:val="both"/>
        <w:rPr>
          <w:sz w:val="28"/>
          <w:szCs w:val="28"/>
          <w:lang w:val="en-US"/>
        </w:rPr>
      </w:pPr>
    </w:p>
    <w:p w14:paraId="529160A0" w14:textId="35634265" w:rsidR="0002722C" w:rsidRPr="0031448C" w:rsidRDefault="0031448C" w:rsidP="0097556E">
      <w:pPr>
        <w:pStyle w:val="Heading2"/>
        <w:rPr>
          <w:lang w:val="en-US"/>
        </w:rPr>
      </w:pPr>
      <w:bookmarkStart w:id="21" w:name="_Toc232189554"/>
      <w:r w:rsidRPr="0031448C">
        <w:rPr>
          <w:lang w:val="en-US"/>
        </w:rPr>
        <w:t>Implications for policy and market practice</w:t>
      </w:r>
      <w:bookmarkEnd w:id="21"/>
    </w:p>
    <w:p w14:paraId="0724B38A" w14:textId="77777777" w:rsidR="00280E94" w:rsidRPr="0031448C" w:rsidRDefault="00280E94" w:rsidP="00F147A8">
      <w:pPr>
        <w:ind w:firstLine="709"/>
        <w:jc w:val="both"/>
        <w:rPr>
          <w:bCs/>
          <w:lang w:val="en-US" w:eastAsia="es-ES"/>
        </w:rPr>
      </w:pPr>
    </w:p>
    <w:p w14:paraId="671535BF" w14:textId="698813A3" w:rsidR="00EE67CA" w:rsidRPr="00EE67CA" w:rsidRDefault="002109B4" w:rsidP="00EE67CA">
      <w:pPr>
        <w:ind w:firstLine="709"/>
        <w:jc w:val="both"/>
        <w:rPr>
          <w:bCs/>
          <w:lang w:val="en-US" w:eastAsia="es-ES"/>
        </w:rPr>
      </w:pPr>
      <w:r w:rsidRPr="002109B4">
        <w:rPr>
          <w:bCs/>
          <w:lang w:val="en-US" w:eastAsia="es-ES"/>
        </w:rPr>
        <w:t xml:space="preserve">The </w:t>
      </w:r>
      <w:r w:rsidR="00EE67CA" w:rsidRPr="00EE67CA">
        <w:rPr>
          <w:bCs/>
          <w:lang w:val="en-US" w:eastAsia="es-ES"/>
        </w:rPr>
        <w:t xml:space="preserve">findings have three immediate implications. For investors and risk managers, they show that local-currency corporate spreads should be monitored with the same macro-financial lens typically applied to sovereign bonds. Exchange-rate dynamics, US monetary expectations, domestic growth, and fiscal conditions remain central. For corporate issuers, the results suggest that deeper and more liquid placements may reduce financing costs and that issuance windows should be evaluated against the broader macro cycle. For regulators </w:t>
      </w:r>
      <w:r w:rsidR="00EE67CA" w:rsidRPr="00EE67CA">
        <w:rPr>
          <w:bCs/>
          <w:lang w:val="en-US" w:eastAsia="es-ES"/>
        </w:rPr>
        <w:lastRenderedPageBreak/>
        <w:t>and macroprudential authorities, the evidence implies that the local corporate bond market is exposed to global conditions even without direct currency mismatch and that robustness checks should distinguish carefully between nominal and real variables.</w:t>
      </w:r>
    </w:p>
    <w:p w14:paraId="33BBC218" w14:textId="77777777" w:rsidR="00EE67CA" w:rsidRPr="00EE67CA" w:rsidRDefault="00EE67CA" w:rsidP="00EE67CA">
      <w:pPr>
        <w:ind w:firstLine="709"/>
        <w:jc w:val="both"/>
        <w:rPr>
          <w:bCs/>
          <w:lang w:val="en-US" w:eastAsia="es-ES"/>
        </w:rPr>
      </w:pPr>
    </w:p>
    <w:p w14:paraId="7B2979D7" w14:textId="4511E72A" w:rsidR="00DD3797" w:rsidRDefault="00EE67CA" w:rsidP="00EE67CA">
      <w:pPr>
        <w:ind w:firstLine="709"/>
        <w:jc w:val="both"/>
        <w:rPr>
          <w:lang w:val="en-US"/>
        </w:rPr>
      </w:pPr>
      <w:r w:rsidRPr="00EE67CA">
        <w:rPr>
          <w:bCs/>
          <w:lang w:val="en-US" w:eastAsia="es-ES"/>
        </w:rPr>
        <w:t>More broadly, the paper speaks to debates on capital-market development in emerging economies. Deep local-currency markets are often seen as a buffer against external volatility. The Brazilian case suggests a more nuanced conclusion. Domestic-currency financing is valuable, but the pricing of that financing remains highly sensitive to global and domestic macro-financial conditions. Resilience therefore depends not only on market depth, but also on the composition of the investor base, the liquidity of secondary trading, benchmark design, and sovereign credibility.</w:t>
      </w:r>
    </w:p>
    <w:p w14:paraId="0724D0CE" w14:textId="77777777" w:rsidR="00751A81" w:rsidRDefault="00751A81">
      <w:pPr>
        <w:shd w:val="clear" w:color="auto" w:fill="FFFFFF"/>
        <w:tabs>
          <w:tab w:val="left" w:pos="6840"/>
        </w:tabs>
        <w:ind w:firstLine="709"/>
        <w:jc w:val="both"/>
        <w:rPr>
          <w:lang w:val="en-US"/>
        </w:rPr>
      </w:pPr>
    </w:p>
    <w:p w14:paraId="24CDB6C5" w14:textId="77777777" w:rsidR="00EC0E05" w:rsidRDefault="00EC0E05" w:rsidP="00EE67CA">
      <w:pPr>
        <w:shd w:val="clear" w:color="auto" w:fill="FFFFFF"/>
        <w:tabs>
          <w:tab w:val="left" w:pos="6840"/>
        </w:tabs>
        <w:jc w:val="both"/>
        <w:rPr>
          <w:lang w:val="en-US"/>
        </w:rPr>
      </w:pPr>
    </w:p>
    <w:p w14:paraId="57362414" w14:textId="6FB4398F" w:rsidR="00EC0E05" w:rsidRPr="00CA38ED" w:rsidRDefault="00303EC0" w:rsidP="00EC0E05">
      <w:pPr>
        <w:pStyle w:val="Heading1"/>
      </w:pPr>
      <w:bookmarkStart w:id="22" w:name="_Toc232189555"/>
      <w:proofErr w:type="spellStart"/>
      <w:r w:rsidRPr="00303EC0">
        <w:t>Conclusion</w:t>
      </w:r>
      <w:bookmarkEnd w:id="22"/>
      <w:proofErr w:type="spellEnd"/>
    </w:p>
    <w:p w14:paraId="5312EB9B" w14:textId="77777777" w:rsidR="00EC0E05" w:rsidRPr="00CA38ED" w:rsidRDefault="00EC0E05" w:rsidP="00EC0E05">
      <w:pPr>
        <w:pBdr>
          <w:top w:val="nil"/>
          <w:left w:val="nil"/>
          <w:bottom w:val="nil"/>
          <w:right w:val="nil"/>
          <w:between w:val="nil"/>
        </w:pBdr>
        <w:rPr>
          <w:b/>
          <w:bCs/>
          <w:sz w:val="28"/>
          <w:szCs w:val="28"/>
        </w:rPr>
      </w:pPr>
    </w:p>
    <w:p w14:paraId="0B373935" w14:textId="1521150B" w:rsidR="004078E1" w:rsidRPr="004078E1" w:rsidRDefault="00751A81" w:rsidP="004078E1">
      <w:pPr>
        <w:ind w:firstLine="709"/>
        <w:jc w:val="both"/>
        <w:rPr>
          <w:bCs/>
          <w:lang w:val="en-US" w:eastAsia="es-ES"/>
        </w:rPr>
      </w:pPr>
      <w:r w:rsidRPr="00751A81">
        <w:rPr>
          <w:bCs/>
          <w:lang w:val="en-US" w:eastAsia="es-ES"/>
        </w:rPr>
        <w:t xml:space="preserve">This </w:t>
      </w:r>
      <w:r w:rsidR="004078E1" w:rsidRPr="004078E1">
        <w:rPr>
          <w:bCs/>
          <w:lang w:val="en-US" w:eastAsia="es-ES"/>
        </w:rPr>
        <w:t>This paper studies the determinants of Brazilian local-currency corporate bond spreads using a new monthly panel of 103 IPCA-linked debentures issued by 48 non-financial firms between 2010 and 2025. The paper is motivated by the post-2009 development of the Brazilian debenture market, especially the expansion associated with CVM Instruction 476 and the later modernization under CVM Resolution 160. The analysis combines global factors, domestic macroeconomic conditions, a synthetic sovereign-risk measure in Brazilian reais, and bond</w:t>
      </w:r>
      <w:r w:rsidR="001C3D06">
        <w:rPr>
          <w:bCs/>
          <w:lang w:val="en-US" w:eastAsia="es-ES"/>
        </w:rPr>
        <w:t xml:space="preserve"> (</w:t>
      </w:r>
      <w:r w:rsidR="004078E1" w:rsidRPr="004078E1">
        <w:rPr>
          <w:bCs/>
          <w:lang w:val="en-US" w:eastAsia="es-ES"/>
        </w:rPr>
        <w:t>and firm</w:t>
      </w:r>
      <w:r w:rsidR="001C3D06">
        <w:rPr>
          <w:bCs/>
          <w:lang w:val="en-US" w:eastAsia="es-ES"/>
        </w:rPr>
        <w:t xml:space="preserve">) </w:t>
      </w:r>
      <w:r w:rsidR="004078E1" w:rsidRPr="004078E1">
        <w:rPr>
          <w:bCs/>
          <w:lang w:val="en-US" w:eastAsia="es-ES"/>
        </w:rPr>
        <w:t>level characteristics within a bond fixed-effects framework. Model-selection tests reject pooled OLS and random effects, while PCSE and Driscoll-Kraay inference checks confirm the stability of the main qualitative findings.</w:t>
      </w:r>
    </w:p>
    <w:p w14:paraId="609A6B43" w14:textId="77777777" w:rsidR="004078E1" w:rsidRPr="004078E1" w:rsidRDefault="004078E1" w:rsidP="004078E1">
      <w:pPr>
        <w:ind w:firstLine="709"/>
        <w:jc w:val="both"/>
        <w:rPr>
          <w:bCs/>
          <w:lang w:val="en-US" w:eastAsia="es-ES"/>
        </w:rPr>
      </w:pPr>
    </w:p>
    <w:p w14:paraId="1F11E557" w14:textId="77777777" w:rsidR="004078E1" w:rsidRPr="004078E1" w:rsidRDefault="004078E1" w:rsidP="004078E1">
      <w:pPr>
        <w:ind w:firstLine="709"/>
        <w:jc w:val="both"/>
        <w:rPr>
          <w:bCs/>
          <w:lang w:val="en-US" w:eastAsia="es-ES"/>
        </w:rPr>
      </w:pPr>
      <w:r w:rsidRPr="004078E1">
        <w:rPr>
          <w:bCs/>
          <w:lang w:val="en-US" w:eastAsia="es-ES"/>
        </w:rPr>
        <w:t>Three conclusions stand out. First, global and domestic macro-financial conditions are central determinants of corporate spreads in Brazil's inflation-linked market. Tighter expected US monetary policy, BRL depreciation, and weaker domestic growth are associated with wider spreads, while a higher public-debt ratio also raises borrowing costs. The exchange-rate result is robust to replacing the nominal USD/BRL rate with a bilateral real exchange-rate index. The US monetary-policy effect is more sensitive to measurement: the real Fed 3M proxy remains positive but is not statistically significant once US CPI inflation is subtracted. Second, larger issues tend to trade at lower spreads, consistent with a liquidity premium in Brazil's OTC market. Third, the synthetic local-currency sovereign-risk measure is negatively related to corporate spreads across specifications and remains negative when debt/GDP, GDP growth, and the exchange-rate variable are removed separately and jointly. This challenges a simple linear sovereign-ceiling interpretation for this segment of the market.</w:t>
      </w:r>
    </w:p>
    <w:p w14:paraId="0C97F667" w14:textId="77777777" w:rsidR="004078E1" w:rsidRPr="004078E1" w:rsidRDefault="004078E1" w:rsidP="004078E1">
      <w:pPr>
        <w:ind w:firstLine="709"/>
        <w:jc w:val="both"/>
        <w:rPr>
          <w:bCs/>
          <w:lang w:val="en-US" w:eastAsia="es-ES"/>
        </w:rPr>
      </w:pPr>
    </w:p>
    <w:p w14:paraId="3CD47EF2" w14:textId="77777777" w:rsidR="004078E1" w:rsidRPr="004078E1" w:rsidRDefault="004078E1" w:rsidP="004078E1">
      <w:pPr>
        <w:ind w:firstLine="709"/>
        <w:jc w:val="both"/>
        <w:rPr>
          <w:bCs/>
          <w:lang w:val="en-US" w:eastAsia="es-ES"/>
        </w:rPr>
      </w:pPr>
      <w:r w:rsidRPr="004078E1">
        <w:rPr>
          <w:bCs/>
          <w:lang w:val="en-US" w:eastAsia="es-ES"/>
        </w:rPr>
        <w:t>These findings contribute to the literature in four ways. Empirically, they provide new evidence for a market that has grown rapidly but remains understudied in academic work. Institutionally, they link the empirical design to the development of Brazil's regulated debenture market after 2009. Conceptually, they show that the transmission of sovereign risk to corporate pricing depends on market structure, investor clientele, and the currency and indexation of the instruments under analysis. Methodologically, they show the value of a secondary-market bond-level panel for studying local-currency corporate debt rather than relying only on primary issuance, sovereign bonds, CDS, or foreign-currency instruments.</w:t>
      </w:r>
    </w:p>
    <w:p w14:paraId="3F16E63A" w14:textId="77777777" w:rsidR="004078E1" w:rsidRPr="004078E1" w:rsidRDefault="004078E1" w:rsidP="004078E1">
      <w:pPr>
        <w:ind w:firstLine="709"/>
        <w:jc w:val="both"/>
        <w:rPr>
          <w:bCs/>
          <w:lang w:val="en-US" w:eastAsia="es-ES"/>
        </w:rPr>
      </w:pPr>
    </w:p>
    <w:p w14:paraId="6C8B1084" w14:textId="77777777" w:rsidR="004078E1" w:rsidRPr="004078E1" w:rsidRDefault="004078E1" w:rsidP="004078E1">
      <w:pPr>
        <w:ind w:firstLine="709"/>
        <w:jc w:val="both"/>
        <w:rPr>
          <w:bCs/>
          <w:lang w:val="en-US" w:eastAsia="es-ES"/>
        </w:rPr>
      </w:pPr>
      <w:r w:rsidRPr="004078E1">
        <w:rPr>
          <w:bCs/>
          <w:lang w:val="en-US" w:eastAsia="es-ES"/>
        </w:rPr>
        <w:t>The paper also has practical implications. Investors can use the results to improve macro-financial monitoring of local corporate portfolios. Issuers can view issue size and market timing as relevant determinants of funding costs. Policymakers should recognize that local-currency market development reduces some vulnerabilities but does not eliminate sensitivity to the global financial cycle.</w:t>
      </w:r>
    </w:p>
    <w:p w14:paraId="2E0582CD" w14:textId="77777777" w:rsidR="004078E1" w:rsidRPr="004078E1" w:rsidRDefault="004078E1" w:rsidP="004078E1">
      <w:pPr>
        <w:ind w:firstLine="709"/>
        <w:jc w:val="both"/>
        <w:rPr>
          <w:bCs/>
          <w:lang w:val="en-US" w:eastAsia="es-ES"/>
        </w:rPr>
      </w:pPr>
    </w:p>
    <w:p w14:paraId="19AFC914" w14:textId="2477CD36" w:rsidR="00DD3797" w:rsidRDefault="004078E1" w:rsidP="004078E1">
      <w:pPr>
        <w:ind w:firstLine="709"/>
        <w:jc w:val="both"/>
        <w:rPr>
          <w:bCs/>
          <w:lang w:val="en-US" w:eastAsia="es-ES"/>
        </w:rPr>
      </w:pPr>
      <w:r w:rsidRPr="004078E1">
        <w:rPr>
          <w:bCs/>
          <w:lang w:val="en-US" w:eastAsia="es-ES"/>
        </w:rPr>
        <w:t>The analysis has limitations. The dataset comes from an OTC market with heterogeneous price quality, and Bloomberg-based price discovery does not eliminate stale quotes, dealer dispersion, or liquidity premia. The risk-free benchmark is synthetic: the Nelson-Siegel curve is useful for interpolation, but it can be sensitive at the long end, especially for extrapolations around ten to fifteen years. The sovereign-risk measure in BRL is also synthetic rather than directly observed. The robustness checks using real macro-financial variables and sovereign-risk exclusion specifications mitigate some measurement concerns, but they do not eliminate all endogeneity and identification limitations. Finally, the focus on IPCA-linked bonds improves comparability but narrows external validity to one segment of the market, and the paper does not yet model non-linearities, regime changes, ratings, or state-owned issuer effects explicitly. Future research should compare inflation-linked, nominal, and CDI-linked corporate bonds; incorporate ratings and observed CDS data where available; test for state dependence across stress episodes; and extend the comparison to other Latin American local-currency markets.</w:t>
      </w:r>
    </w:p>
    <w:p w14:paraId="14B7FE61" w14:textId="77777777" w:rsidR="004078E1" w:rsidRPr="002109B4" w:rsidRDefault="004078E1" w:rsidP="004078E1">
      <w:pPr>
        <w:ind w:firstLine="709"/>
        <w:jc w:val="both"/>
        <w:rPr>
          <w:lang w:val="en-US"/>
        </w:rPr>
      </w:pPr>
    </w:p>
    <w:p w14:paraId="5B6AC4D9" w14:textId="77777777" w:rsidR="0002722C" w:rsidRPr="002109B4" w:rsidRDefault="0002722C" w:rsidP="00EC2F2D">
      <w:pPr>
        <w:shd w:val="clear" w:color="auto" w:fill="FFFFFF"/>
        <w:tabs>
          <w:tab w:val="left" w:pos="6840"/>
        </w:tabs>
        <w:jc w:val="both"/>
        <w:rPr>
          <w:lang w:val="en-US"/>
        </w:rPr>
      </w:pPr>
    </w:p>
    <w:p w14:paraId="2A0E93CC" w14:textId="0D6F849B" w:rsidR="0002722C" w:rsidRPr="00CA38ED" w:rsidRDefault="00021130" w:rsidP="00BC3ED8">
      <w:pPr>
        <w:pStyle w:val="Heading1"/>
      </w:pPr>
      <w:bookmarkStart w:id="23" w:name="_Toc232189556"/>
      <w:r w:rsidRPr="00CA38ED">
        <w:t>Referenc</w:t>
      </w:r>
      <w:r w:rsidR="00C263AF">
        <w:t>es</w:t>
      </w:r>
      <w:bookmarkEnd w:id="23"/>
    </w:p>
    <w:p w14:paraId="0C48C038" w14:textId="77777777" w:rsidR="0002722C" w:rsidRPr="00CA38ED" w:rsidRDefault="0002722C">
      <w:pPr>
        <w:ind w:firstLine="709"/>
        <w:jc w:val="both"/>
      </w:pPr>
    </w:p>
    <w:p w14:paraId="5E02E647" w14:textId="77777777" w:rsidR="0002722C" w:rsidRPr="00CA38ED" w:rsidRDefault="0002722C">
      <w:pPr>
        <w:ind w:firstLine="708"/>
        <w:jc w:val="both"/>
      </w:pPr>
    </w:p>
    <w:p w14:paraId="76DCA9D2" w14:textId="77777777" w:rsidR="00265909" w:rsidRPr="00265909" w:rsidRDefault="00265909" w:rsidP="00265909">
      <w:pPr>
        <w:numPr>
          <w:ilvl w:val="0"/>
          <w:numId w:val="6"/>
        </w:numPr>
        <w:jc w:val="both"/>
        <w:rPr>
          <w:lang w:val="pt-BR"/>
        </w:rPr>
      </w:pPr>
      <w:r w:rsidRPr="00265909">
        <w:rPr>
          <w:lang w:val="en-US"/>
        </w:rPr>
        <w:t xml:space="preserve">ANBIMA. (n.d.). ANBIMA Data: Debentures and secondary-market pricing. </w:t>
      </w:r>
      <w:r w:rsidRPr="00265909">
        <w:rPr>
          <w:lang w:val="pt-BR"/>
        </w:rPr>
        <w:t>Associacao Brasileira das Entidades dos Mercados Financeiro e de Capitais.</w:t>
      </w:r>
    </w:p>
    <w:p w14:paraId="0A6BD780" w14:textId="77777777" w:rsidR="00265909" w:rsidRPr="00265909" w:rsidRDefault="00265909" w:rsidP="00265909">
      <w:pPr>
        <w:numPr>
          <w:ilvl w:val="0"/>
          <w:numId w:val="6"/>
        </w:numPr>
        <w:jc w:val="both"/>
        <w:rPr>
          <w:lang w:val="en-US"/>
        </w:rPr>
      </w:pPr>
      <w:r w:rsidRPr="00265909">
        <w:rPr>
          <w:lang w:val="en-US"/>
        </w:rPr>
        <w:t>Arora, N., Gandhi, P., and Longstaff, F. A. (2012). Counterparty credit risk and the credit default swap market. Journal of Financial and Quantitative Analysis, 47(1), 119-138.</w:t>
      </w:r>
    </w:p>
    <w:p w14:paraId="663706DD" w14:textId="77777777" w:rsidR="00265909" w:rsidRPr="00265909" w:rsidRDefault="00265909" w:rsidP="00265909">
      <w:pPr>
        <w:numPr>
          <w:ilvl w:val="0"/>
          <w:numId w:val="6"/>
        </w:numPr>
        <w:jc w:val="both"/>
        <w:rPr>
          <w:lang w:val="en-US"/>
        </w:rPr>
      </w:pPr>
      <w:r w:rsidRPr="00265909">
        <w:rPr>
          <w:lang w:val="en-US"/>
        </w:rPr>
        <w:t>Avendano, R., and Nieto-Parra, S. (2015). What factors impact the cost of corporate bond issuance? A study of emerging primary markets. In Corporate governance in Brazil, Chile, Colombia, Mexico and Peru: The determinants of risk in corporate debt issuance. ECLAC, LC/W.654, 85-105.</w:t>
      </w:r>
    </w:p>
    <w:p w14:paraId="680F436B" w14:textId="77777777" w:rsidR="00265909" w:rsidRPr="00265909" w:rsidRDefault="00265909" w:rsidP="00265909">
      <w:pPr>
        <w:numPr>
          <w:ilvl w:val="0"/>
          <w:numId w:val="6"/>
        </w:numPr>
        <w:jc w:val="both"/>
        <w:rPr>
          <w:lang w:val="pt-BR"/>
        </w:rPr>
      </w:pPr>
      <w:r w:rsidRPr="00265909">
        <w:rPr>
          <w:lang w:val="en-US"/>
        </w:rPr>
        <w:t xml:space="preserve">B3. (n.d.). Non-resident investor. </w:t>
      </w:r>
      <w:r w:rsidRPr="00265909">
        <w:rPr>
          <w:lang w:val="pt-BR"/>
        </w:rPr>
        <w:t>B3 S.A. - Brasil, Bolsa, Balcao.</w:t>
      </w:r>
    </w:p>
    <w:p w14:paraId="2C9A58BB" w14:textId="77777777" w:rsidR="00265909" w:rsidRPr="00265909" w:rsidRDefault="00265909" w:rsidP="00265909">
      <w:pPr>
        <w:numPr>
          <w:ilvl w:val="0"/>
          <w:numId w:val="6"/>
        </w:numPr>
        <w:jc w:val="both"/>
        <w:rPr>
          <w:lang w:val="en-US"/>
        </w:rPr>
      </w:pPr>
      <w:r w:rsidRPr="00265909">
        <w:rPr>
          <w:lang w:val="pt-BR"/>
        </w:rPr>
        <w:t xml:space="preserve">Banco Central do Brasil and Comissao de Valores Mobiliarios. </w:t>
      </w:r>
      <w:r w:rsidRPr="00265909">
        <w:rPr>
          <w:lang w:val="en-US"/>
        </w:rPr>
        <w:t>(2024). Joint Resolution BCB/CVM No. 13, of December 3, 2024.</w:t>
      </w:r>
    </w:p>
    <w:p w14:paraId="384AD740" w14:textId="77777777" w:rsidR="00265909" w:rsidRPr="00265909" w:rsidRDefault="00265909" w:rsidP="00265909">
      <w:pPr>
        <w:numPr>
          <w:ilvl w:val="0"/>
          <w:numId w:val="6"/>
        </w:numPr>
        <w:jc w:val="both"/>
        <w:rPr>
          <w:lang w:val="en-US"/>
        </w:rPr>
      </w:pPr>
      <w:r w:rsidRPr="00265909">
        <w:rPr>
          <w:lang w:val="en-US"/>
        </w:rPr>
        <w:t>Bank for International Settlements. (2007). Financial stability and local currency bond markets. CGFS Papers No. 28.</w:t>
      </w:r>
    </w:p>
    <w:p w14:paraId="2A307982" w14:textId="77777777" w:rsidR="00265909" w:rsidRPr="00265909" w:rsidRDefault="00265909" w:rsidP="00265909">
      <w:pPr>
        <w:numPr>
          <w:ilvl w:val="0"/>
          <w:numId w:val="6"/>
        </w:numPr>
        <w:jc w:val="both"/>
        <w:rPr>
          <w:lang w:val="en-US"/>
        </w:rPr>
      </w:pPr>
      <w:r w:rsidRPr="00265909">
        <w:rPr>
          <w:lang w:val="en-US"/>
        </w:rPr>
        <w:t>Beirne, J., Renzhi, N., and Volz, U. (2021). Local currency bond markets, foreign investor participation, and capital flow volatility in emerging Asia. ADBI Working Paper No. 1252.</w:t>
      </w:r>
    </w:p>
    <w:p w14:paraId="20B2401A" w14:textId="77777777" w:rsidR="00265909" w:rsidRPr="00265909" w:rsidRDefault="00265909" w:rsidP="00265909">
      <w:pPr>
        <w:numPr>
          <w:ilvl w:val="0"/>
          <w:numId w:val="6"/>
        </w:numPr>
        <w:jc w:val="both"/>
        <w:rPr>
          <w:lang w:val="en-US"/>
        </w:rPr>
      </w:pPr>
      <w:r w:rsidRPr="00265909">
        <w:rPr>
          <w:lang w:val="en-US"/>
        </w:rPr>
        <w:t>Burger, J. D., Warnock, F. E., and Warnock, V. C. (2012). Emerging local currency bond markets. Financial Analysts Journal, 68(4), 73-93.</w:t>
      </w:r>
    </w:p>
    <w:p w14:paraId="7151F10C" w14:textId="77777777" w:rsidR="00265909" w:rsidRPr="00265909" w:rsidRDefault="00265909" w:rsidP="00265909">
      <w:pPr>
        <w:numPr>
          <w:ilvl w:val="0"/>
          <w:numId w:val="6"/>
        </w:numPr>
        <w:jc w:val="both"/>
        <w:rPr>
          <w:lang w:val="en-US"/>
        </w:rPr>
      </w:pPr>
      <w:r w:rsidRPr="00265909">
        <w:rPr>
          <w:lang w:val="en-US"/>
        </w:rPr>
        <w:lastRenderedPageBreak/>
        <w:t>Caballero, J., and Fernandez, A. (2018). On corporate borrowing, credit spreads and economic activity in emerging economies: An empirical investigation. Journal of International Money and Finance, 83, 160-178.</w:t>
      </w:r>
    </w:p>
    <w:p w14:paraId="6F993DC3" w14:textId="77777777" w:rsidR="00265909" w:rsidRPr="00265909" w:rsidRDefault="00265909" w:rsidP="00265909">
      <w:pPr>
        <w:numPr>
          <w:ilvl w:val="0"/>
          <w:numId w:val="6"/>
        </w:numPr>
        <w:jc w:val="both"/>
        <w:rPr>
          <w:lang w:val="en-US"/>
        </w:rPr>
      </w:pPr>
      <w:r w:rsidRPr="00265909">
        <w:rPr>
          <w:lang w:val="pt-BR"/>
        </w:rPr>
        <w:t xml:space="preserve">Carvalho, A. G. de, and Marques, F. T. (2020). </w:t>
      </w:r>
      <w:r w:rsidRPr="00265909">
        <w:rPr>
          <w:lang w:val="en-US"/>
        </w:rPr>
        <w:t xml:space="preserve">The microstructure of the Brazilian market for corporate bonds. Revista Brasileira de </w:t>
      </w:r>
      <w:proofErr w:type="spellStart"/>
      <w:r w:rsidRPr="00265909">
        <w:rPr>
          <w:lang w:val="en-US"/>
        </w:rPr>
        <w:t>Gestao</w:t>
      </w:r>
      <w:proofErr w:type="spellEnd"/>
      <w:r w:rsidRPr="00265909">
        <w:rPr>
          <w:lang w:val="en-US"/>
        </w:rPr>
        <w:t xml:space="preserve"> de Negocios, 22(Special Issue), 482-500.</w:t>
      </w:r>
    </w:p>
    <w:p w14:paraId="64E34AF6" w14:textId="77777777" w:rsidR="00265909" w:rsidRPr="00265909" w:rsidRDefault="00265909" w:rsidP="00265909">
      <w:pPr>
        <w:numPr>
          <w:ilvl w:val="0"/>
          <w:numId w:val="6"/>
        </w:numPr>
        <w:jc w:val="both"/>
        <w:rPr>
          <w:lang w:val="en-US"/>
        </w:rPr>
      </w:pPr>
      <w:r w:rsidRPr="00265909">
        <w:rPr>
          <w:lang w:val="en-US"/>
        </w:rPr>
        <w:t>Collin-Dufresne, P., Goldstein, R. S., and Martin, J. S. (2001). The determinants of credit spread changes. Journal of Finance, 56(6), 2177-2207.</w:t>
      </w:r>
    </w:p>
    <w:p w14:paraId="7EBFB992" w14:textId="77777777" w:rsidR="00265909" w:rsidRPr="00265909" w:rsidRDefault="00265909" w:rsidP="00265909">
      <w:pPr>
        <w:numPr>
          <w:ilvl w:val="0"/>
          <w:numId w:val="6"/>
        </w:numPr>
        <w:jc w:val="both"/>
        <w:rPr>
          <w:lang w:val="pt-BR"/>
        </w:rPr>
      </w:pPr>
      <w:r w:rsidRPr="00265909">
        <w:rPr>
          <w:lang w:val="pt-BR"/>
        </w:rPr>
        <w:t>Comissao de Valores Mobiliarios. (2003). Instrucao CVM No. 400, of December 29, 2003.</w:t>
      </w:r>
    </w:p>
    <w:p w14:paraId="1C3F200F" w14:textId="77777777" w:rsidR="00265909" w:rsidRPr="00265909" w:rsidRDefault="00265909" w:rsidP="00265909">
      <w:pPr>
        <w:numPr>
          <w:ilvl w:val="0"/>
          <w:numId w:val="6"/>
        </w:numPr>
        <w:jc w:val="both"/>
        <w:rPr>
          <w:lang w:val="pt-BR"/>
        </w:rPr>
      </w:pPr>
      <w:r w:rsidRPr="00265909">
        <w:rPr>
          <w:lang w:val="pt-BR"/>
        </w:rPr>
        <w:t>Comissao de Valores Mobiliarios. (2009). Instrucao CVM No. 476, of January 16, 2009.</w:t>
      </w:r>
    </w:p>
    <w:p w14:paraId="3CBDA967" w14:textId="77777777" w:rsidR="00265909" w:rsidRPr="00265909" w:rsidRDefault="00265909" w:rsidP="00265909">
      <w:pPr>
        <w:numPr>
          <w:ilvl w:val="0"/>
          <w:numId w:val="6"/>
        </w:numPr>
        <w:jc w:val="both"/>
        <w:rPr>
          <w:lang w:val="pt-BR"/>
        </w:rPr>
      </w:pPr>
      <w:r w:rsidRPr="00265909">
        <w:rPr>
          <w:lang w:val="pt-BR"/>
        </w:rPr>
        <w:t>Comissao de Valores Mobiliarios. (2022). Resolucao CVM No. 160, of July 13, 2022.</w:t>
      </w:r>
    </w:p>
    <w:p w14:paraId="5318B8F9" w14:textId="77777777" w:rsidR="00265909" w:rsidRPr="00265909" w:rsidRDefault="00265909" w:rsidP="00265909">
      <w:pPr>
        <w:numPr>
          <w:ilvl w:val="0"/>
          <w:numId w:val="6"/>
        </w:numPr>
        <w:jc w:val="both"/>
        <w:rPr>
          <w:lang w:val="en-US"/>
        </w:rPr>
      </w:pPr>
      <w:r w:rsidRPr="00265909">
        <w:rPr>
          <w:lang w:val="en-US"/>
        </w:rPr>
        <w:t>Cortazar, G., Ortega, H., and Romero, R. (2022). How valuable is market- and firm-specific information for calculating bond spreads in an emerging market? Emerging Markets Finance and Trade, 58(1), 164-179.</w:t>
      </w:r>
    </w:p>
    <w:p w14:paraId="767CF927" w14:textId="77777777" w:rsidR="00265909" w:rsidRPr="00265909" w:rsidRDefault="00265909" w:rsidP="00265909">
      <w:pPr>
        <w:numPr>
          <w:ilvl w:val="0"/>
          <w:numId w:val="6"/>
        </w:numPr>
        <w:jc w:val="both"/>
        <w:rPr>
          <w:lang w:val="en-US"/>
        </w:rPr>
      </w:pPr>
      <w:r w:rsidRPr="00265909">
        <w:rPr>
          <w:lang w:val="en-US"/>
        </w:rPr>
        <w:t>Duffie, D. (1999). Credit swap valuation. Financial Analysts Journal, 55(1), 73-87.</w:t>
      </w:r>
    </w:p>
    <w:p w14:paraId="336F3F0F" w14:textId="77777777" w:rsidR="00265909" w:rsidRPr="00265909" w:rsidRDefault="00265909" w:rsidP="00265909">
      <w:pPr>
        <w:numPr>
          <w:ilvl w:val="0"/>
          <w:numId w:val="6"/>
        </w:numPr>
        <w:jc w:val="both"/>
        <w:rPr>
          <w:lang w:val="en-US"/>
        </w:rPr>
      </w:pPr>
      <w:r w:rsidRPr="00265909">
        <w:rPr>
          <w:lang w:val="en-US"/>
        </w:rPr>
        <w:t>Durbin, E., and Ng, D. (2001). The sovereign ceiling and emerging market corporate bond spreads: A new dataset and methodology. World Bank Policy Research Working Paper No. 2561.</w:t>
      </w:r>
    </w:p>
    <w:p w14:paraId="4DD2FFE2" w14:textId="77777777" w:rsidR="00265909" w:rsidRPr="00265909" w:rsidRDefault="00265909" w:rsidP="00265909">
      <w:pPr>
        <w:numPr>
          <w:ilvl w:val="0"/>
          <w:numId w:val="6"/>
        </w:numPr>
        <w:jc w:val="both"/>
        <w:rPr>
          <w:lang w:val="en-US"/>
        </w:rPr>
      </w:pPr>
      <w:r w:rsidRPr="00265909">
        <w:rPr>
          <w:lang w:val="en-US"/>
        </w:rPr>
        <w:t>Espinoza, R. A., and Prasad, A. (2012). Sovereign credit ratings and spreads in emerging markets: Does investment grade matter? IMF Working Paper No. 12/140.</w:t>
      </w:r>
    </w:p>
    <w:p w14:paraId="32AF6E59" w14:textId="77777777" w:rsidR="00265909" w:rsidRPr="00265909" w:rsidRDefault="00265909" w:rsidP="00265909">
      <w:pPr>
        <w:numPr>
          <w:ilvl w:val="0"/>
          <w:numId w:val="6"/>
        </w:numPr>
        <w:jc w:val="both"/>
        <w:rPr>
          <w:lang w:val="en-US"/>
        </w:rPr>
      </w:pPr>
      <w:r w:rsidRPr="00265909">
        <w:rPr>
          <w:lang w:val="en-US"/>
        </w:rPr>
        <w:t xml:space="preserve">Giacomoni, B. H., and Sheng, H. H. (2013). The impact of liquidity on expected returns from Brazilian corporate bonds. Revista de </w:t>
      </w:r>
      <w:proofErr w:type="spellStart"/>
      <w:r w:rsidRPr="00265909">
        <w:rPr>
          <w:lang w:val="en-US"/>
        </w:rPr>
        <w:t>Administracao</w:t>
      </w:r>
      <w:proofErr w:type="spellEnd"/>
      <w:r w:rsidRPr="00265909">
        <w:rPr>
          <w:lang w:val="en-US"/>
        </w:rPr>
        <w:t>, 48(1), 80-97.</w:t>
      </w:r>
    </w:p>
    <w:p w14:paraId="0F291FBB" w14:textId="77777777" w:rsidR="00265909" w:rsidRPr="00265909" w:rsidRDefault="00265909" w:rsidP="00265909">
      <w:pPr>
        <w:numPr>
          <w:ilvl w:val="0"/>
          <w:numId w:val="6"/>
        </w:numPr>
        <w:jc w:val="both"/>
        <w:rPr>
          <w:lang w:val="en-US"/>
        </w:rPr>
      </w:pPr>
      <w:proofErr w:type="spellStart"/>
      <w:r w:rsidRPr="00265909">
        <w:rPr>
          <w:lang w:val="es-AR"/>
        </w:rPr>
        <w:t>Gomez</w:t>
      </w:r>
      <w:proofErr w:type="spellEnd"/>
      <w:r w:rsidRPr="00265909">
        <w:rPr>
          <w:lang w:val="es-AR"/>
        </w:rPr>
        <w:t xml:space="preserve">-Gonzalez, J. E., Uribe, J. M., and Valencia, O. M. (2022). </w:t>
      </w:r>
      <w:r w:rsidRPr="00265909">
        <w:rPr>
          <w:lang w:val="en-US"/>
        </w:rPr>
        <w:t>Risk spillovers between global corporations and Latin American sovereigns: Global factors matter. Applied Economics, 55(13), 1477-1496.</w:t>
      </w:r>
    </w:p>
    <w:p w14:paraId="37B302C7" w14:textId="77777777" w:rsidR="00265909" w:rsidRPr="00265909" w:rsidRDefault="00265909" w:rsidP="00265909">
      <w:pPr>
        <w:numPr>
          <w:ilvl w:val="0"/>
          <w:numId w:val="6"/>
        </w:numPr>
        <w:jc w:val="both"/>
        <w:rPr>
          <w:lang w:val="en-US"/>
        </w:rPr>
      </w:pPr>
      <w:r w:rsidRPr="00265909">
        <w:rPr>
          <w:lang w:val="en-US"/>
        </w:rPr>
        <w:t>Gonzalez-</w:t>
      </w:r>
      <w:proofErr w:type="spellStart"/>
      <w:r w:rsidRPr="00265909">
        <w:rPr>
          <w:lang w:val="en-US"/>
        </w:rPr>
        <w:t>Rozada</w:t>
      </w:r>
      <w:proofErr w:type="spellEnd"/>
      <w:r w:rsidRPr="00265909">
        <w:rPr>
          <w:lang w:val="en-US"/>
        </w:rPr>
        <w:t>, M., and Levy Yeyati, E. (2008). Global factors and emerging market spreads. Economic Journal, 118(533), 1917-1936.</w:t>
      </w:r>
    </w:p>
    <w:p w14:paraId="697E6ED2" w14:textId="77777777" w:rsidR="00265909" w:rsidRPr="00265909" w:rsidRDefault="00265909" w:rsidP="00265909">
      <w:pPr>
        <w:numPr>
          <w:ilvl w:val="0"/>
          <w:numId w:val="6"/>
        </w:numPr>
        <w:jc w:val="both"/>
        <w:rPr>
          <w:lang w:val="en-US"/>
        </w:rPr>
      </w:pPr>
      <w:r w:rsidRPr="00265909">
        <w:rPr>
          <w:lang w:val="en-US"/>
        </w:rPr>
        <w:t>Grandes, M., and Peter, M. (2005). How important is sovereign risk in determining corporate default premia? The case of South Africa. IMF Working Paper No. 05/217.</w:t>
      </w:r>
    </w:p>
    <w:p w14:paraId="326E6906" w14:textId="77777777" w:rsidR="00265909" w:rsidRPr="00265909" w:rsidRDefault="00265909" w:rsidP="00265909">
      <w:pPr>
        <w:numPr>
          <w:ilvl w:val="0"/>
          <w:numId w:val="6"/>
        </w:numPr>
        <w:jc w:val="both"/>
        <w:rPr>
          <w:lang w:val="en-US"/>
        </w:rPr>
      </w:pPr>
      <w:r w:rsidRPr="00265909">
        <w:rPr>
          <w:lang w:val="en-US"/>
        </w:rPr>
        <w:t xml:space="preserve">Grandes, M., </w:t>
      </w:r>
      <w:proofErr w:type="spellStart"/>
      <w:r w:rsidRPr="00265909">
        <w:rPr>
          <w:lang w:val="en-US"/>
        </w:rPr>
        <w:t>Panigo</w:t>
      </w:r>
      <w:proofErr w:type="spellEnd"/>
      <w:r w:rsidRPr="00265909">
        <w:rPr>
          <w:lang w:val="en-US"/>
        </w:rPr>
        <w:t>, D. T., and Pasquini, R. A. (2017). Corporate credit spreads and the sovereign ceiling in Latin America. Emerging Markets Finance and Trade, 53(5), 1217-1240.</w:t>
      </w:r>
    </w:p>
    <w:p w14:paraId="50BFD2E3" w14:textId="77777777" w:rsidR="00265909" w:rsidRPr="00265909" w:rsidRDefault="00265909" w:rsidP="00265909">
      <w:pPr>
        <w:numPr>
          <w:ilvl w:val="0"/>
          <w:numId w:val="6"/>
        </w:numPr>
        <w:jc w:val="both"/>
        <w:rPr>
          <w:lang w:val="en-US"/>
        </w:rPr>
      </w:pPr>
      <w:r w:rsidRPr="00265909">
        <w:rPr>
          <w:lang w:val="en-US"/>
        </w:rPr>
        <w:t xml:space="preserve">Horrocks, P., Marshall, C., Thomas, C., </w:t>
      </w:r>
      <w:proofErr w:type="spellStart"/>
      <w:r w:rsidRPr="00265909">
        <w:rPr>
          <w:lang w:val="en-US"/>
        </w:rPr>
        <w:t>Venon</w:t>
      </w:r>
      <w:proofErr w:type="spellEnd"/>
      <w:r w:rsidRPr="00265909">
        <w:rPr>
          <w:lang w:val="en-US"/>
        </w:rPr>
        <w:t xml:space="preserve">, T., Portmann, D., and </w:t>
      </w:r>
      <w:proofErr w:type="spellStart"/>
      <w:r w:rsidRPr="00265909">
        <w:rPr>
          <w:lang w:val="en-US"/>
        </w:rPr>
        <w:t>Okuwobi</w:t>
      </w:r>
      <w:proofErr w:type="spellEnd"/>
      <w:r w:rsidRPr="00265909">
        <w:rPr>
          <w:lang w:val="en-US"/>
        </w:rPr>
        <w:t>, W. (2025). Unlocking local currency financing in emerging markets and developing economies. OECD Development Co-operation Working Papers No. 117.</w:t>
      </w:r>
    </w:p>
    <w:p w14:paraId="6A0A21C8" w14:textId="77777777" w:rsidR="00265909" w:rsidRPr="00265909" w:rsidRDefault="00265909" w:rsidP="00265909">
      <w:pPr>
        <w:numPr>
          <w:ilvl w:val="0"/>
          <w:numId w:val="6"/>
        </w:numPr>
        <w:jc w:val="both"/>
        <w:rPr>
          <w:lang w:val="en-US"/>
        </w:rPr>
      </w:pPr>
      <w:r w:rsidRPr="00265909">
        <w:rPr>
          <w:lang w:val="en-US"/>
        </w:rPr>
        <w:t>Liu, Z., and Spencer, P. (2013). Modelling sovereign credit spreads with international macro-factors: The case of Brazil 1998-2009. Journal of Banking and Finance, 37(2), 241-256.</w:t>
      </w:r>
    </w:p>
    <w:p w14:paraId="21BEF543" w14:textId="77777777" w:rsidR="00265909" w:rsidRPr="00265909" w:rsidRDefault="00265909" w:rsidP="00265909">
      <w:pPr>
        <w:numPr>
          <w:ilvl w:val="0"/>
          <w:numId w:val="6"/>
        </w:numPr>
        <w:jc w:val="both"/>
        <w:rPr>
          <w:lang w:val="en-US"/>
        </w:rPr>
      </w:pPr>
      <w:r w:rsidRPr="00265909">
        <w:rPr>
          <w:lang w:val="en-US"/>
        </w:rPr>
        <w:t>Longstaff, F. A., Mithal, S., and Neis, E. (2005). Corporate yield spreads: Default risk or liquidity? New evidence from the credit default swap market. Journal of Finance, 60(5), 2213-2253.</w:t>
      </w:r>
    </w:p>
    <w:p w14:paraId="35D3CBA1" w14:textId="77777777" w:rsidR="00265909" w:rsidRPr="00265909" w:rsidRDefault="00265909" w:rsidP="00265909">
      <w:pPr>
        <w:numPr>
          <w:ilvl w:val="0"/>
          <w:numId w:val="6"/>
        </w:numPr>
        <w:jc w:val="both"/>
        <w:rPr>
          <w:lang w:val="en-US"/>
        </w:rPr>
      </w:pPr>
      <w:r w:rsidRPr="00265909">
        <w:rPr>
          <w:lang w:val="en-US"/>
        </w:rPr>
        <w:t>Merton, R. C. (1974). On the pricing of corporate debt: The risk structure of interest rates. Journal of Finance, 29(2), 449-470.</w:t>
      </w:r>
    </w:p>
    <w:p w14:paraId="1937B37C" w14:textId="77777777" w:rsidR="00265909" w:rsidRPr="00265909" w:rsidRDefault="00265909" w:rsidP="00265909">
      <w:pPr>
        <w:numPr>
          <w:ilvl w:val="0"/>
          <w:numId w:val="6"/>
        </w:numPr>
        <w:jc w:val="both"/>
        <w:rPr>
          <w:lang w:val="en-US"/>
        </w:rPr>
      </w:pPr>
      <w:r w:rsidRPr="00265909">
        <w:rPr>
          <w:lang w:val="en-US"/>
        </w:rPr>
        <w:lastRenderedPageBreak/>
        <w:t xml:space="preserve">Robles, A., Sutton, B., and </w:t>
      </w:r>
      <w:proofErr w:type="spellStart"/>
      <w:r w:rsidRPr="00265909">
        <w:rPr>
          <w:lang w:val="en-US"/>
        </w:rPr>
        <w:t>Vtyurina</w:t>
      </w:r>
      <w:proofErr w:type="spellEnd"/>
      <w:r w:rsidRPr="00265909">
        <w:rPr>
          <w:lang w:val="en-US"/>
        </w:rPr>
        <w:t>, S. (2017). A license to issue (anywhere): Patterns and drivers of corporate bonds in Latin America. IMF Working Paper No. 17/157.</w:t>
      </w:r>
    </w:p>
    <w:p w14:paraId="08ED6747" w14:textId="77777777" w:rsidR="00265909" w:rsidRPr="00265909" w:rsidRDefault="00265909" w:rsidP="00265909">
      <w:pPr>
        <w:numPr>
          <w:ilvl w:val="0"/>
          <w:numId w:val="6"/>
        </w:numPr>
        <w:jc w:val="both"/>
        <w:rPr>
          <w:lang w:val="en-US"/>
        </w:rPr>
      </w:pPr>
      <w:r w:rsidRPr="00265909">
        <w:rPr>
          <w:lang w:val="en-US"/>
        </w:rPr>
        <w:t xml:space="preserve">Sheng, H. H., and Saito, R. (2005). </w:t>
      </w:r>
      <w:r w:rsidRPr="00265909">
        <w:rPr>
          <w:lang w:val="pt-BR"/>
        </w:rPr>
        <w:t xml:space="preserve">Determinantes de spread das debentures no mercado brasileiro. </w:t>
      </w:r>
      <w:r w:rsidRPr="00265909">
        <w:rPr>
          <w:lang w:val="en-US"/>
        </w:rPr>
        <w:t xml:space="preserve">Revista de </w:t>
      </w:r>
      <w:proofErr w:type="spellStart"/>
      <w:r w:rsidRPr="00265909">
        <w:rPr>
          <w:lang w:val="en-US"/>
        </w:rPr>
        <w:t>Administracao</w:t>
      </w:r>
      <w:proofErr w:type="spellEnd"/>
      <w:r w:rsidRPr="00265909">
        <w:rPr>
          <w:lang w:val="en-US"/>
        </w:rPr>
        <w:t>, 40(2), 193-205.</w:t>
      </w:r>
    </w:p>
    <w:p w14:paraId="169FD05C" w14:textId="77777777" w:rsidR="00265909" w:rsidRPr="00265909" w:rsidRDefault="00265909" w:rsidP="00265909">
      <w:pPr>
        <w:numPr>
          <w:ilvl w:val="0"/>
          <w:numId w:val="6"/>
        </w:numPr>
        <w:jc w:val="both"/>
        <w:rPr>
          <w:lang w:val="en-US"/>
        </w:rPr>
      </w:pPr>
      <w:r w:rsidRPr="00265909">
        <w:rPr>
          <w:lang w:val="en-US"/>
        </w:rPr>
        <w:t xml:space="preserve">Sheng, H. H., and Saito, R. (2008). </w:t>
      </w:r>
      <w:r w:rsidRPr="00265909">
        <w:rPr>
          <w:lang w:val="pt-BR"/>
        </w:rPr>
        <w:t xml:space="preserve">Liquidez das debentures no mercado brasileiro. </w:t>
      </w:r>
      <w:r w:rsidRPr="00265909">
        <w:rPr>
          <w:lang w:val="en-US"/>
        </w:rPr>
        <w:t xml:space="preserve">Revista de </w:t>
      </w:r>
      <w:proofErr w:type="spellStart"/>
      <w:r w:rsidRPr="00265909">
        <w:rPr>
          <w:lang w:val="en-US"/>
        </w:rPr>
        <w:t>Administracao</w:t>
      </w:r>
      <w:proofErr w:type="spellEnd"/>
      <w:r w:rsidRPr="00265909">
        <w:rPr>
          <w:lang w:val="en-US"/>
        </w:rPr>
        <w:t>, 43(2), 176-185.</w:t>
      </w:r>
    </w:p>
    <w:p w14:paraId="0C090A6E" w14:textId="77777777" w:rsidR="00265909" w:rsidRPr="00265909" w:rsidRDefault="00265909" w:rsidP="00265909">
      <w:pPr>
        <w:numPr>
          <w:ilvl w:val="0"/>
          <w:numId w:val="6"/>
        </w:numPr>
        <w:jc w:val="both"/>
        <w:rPr>
          <w:lang w:val="en-US"/>
        </w:rPr>
      </w:pPr>
      <w:r w:rsidRPr="00265909">
        <w:rPr>
          <w:lang w:val="pt-BR"/>
        </w:rPr>
        <w:t xml:space="preserve">Silva, E. O., and Paulo, W. L. (2015). </w:t>
      </w:r>
      <w:r w:rsidRPr="00265909">
        <w:rPr>
          <w:lang w:val="en-US"/>
        </w:rPr>
        <w:t>Determinants of sovereign CDS spreads: Evidence from Brazil. International Business Research, 8(7), 102-112.</w:t>
      </w:r>
    </w:p>
    <w:p w14:paraId="416C0E7C" w14:textId="51E1C97E" w:rsidR="00CC6C09" w:rsidRDefault="00265909" w:rsidP="00C04809">
      <w:pPr>
        <w:numPr>
          <w:ilvl w:val="0"/>
          <w:numId w:val="6"/>
        </w:numPr>
        <w:jc w:val="both"/>
      </w:pPr>
      <w:r w:rsidRPr="001C3D06">
        <w:rPr>
          <w:lang w:val="en-US"/>
        </w:rPr>
        <w:t>World Bank and International Monetary Fund. (2016). Development of local currency bond markets: Overview of recent developments and key themes. Report prepared for the G20.</w:t>
      </w:r>
    </w:p>
    <w:sectPr w:rsidR="00CC6C09" w:rsidSect="00F37B42">
      <w:headerReference w:type="default" r:id="rId8"/>
      <w:footerReference w:type="default" r:id="rId9"/>
      <w:pgSz w:w="11907" w:h="16839"/>
      <w:pgMar w:top="1411" w:right="1411" w:bottom="1411" w:left="1699" w:header="70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899B" w14:textId="77777777" w:rsidR="00F224C9" w:rsidRDefault="00F224C9">
      <w:r>
        <w:separator/>
      </w:r>
    </w:p>
  </w:endnote>
  <w:endnote w:type="continuationSeparator" w:id="0">
    <w:p w14:paraId="4B7567FF" w14:textId="77777777" w:rsidR="00F224C9" w:rsidRDefault="00F22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B607CDBA-29BC-45E3-AB92-F79C3F5E58A8}"/>
  </w:font>
  <w:font w:name="Georgia">
    <w:panose1 w:val="02040502050405020303"/>
    <w:charset w:val="00"/>
    <w:family w:val="roman"/>
    <w:pitch w:val="variable"/>
    <w:sig w:usb0="00000287" w:usb1="00000000" w:usb2="00000000" w:usb3="00000000" w:csb0="0000009F" w:csb1="00000000"/>
    <w:embedItalic r:id="rId2" w:fontKey="{787760D3-9263-4826-AF3E-93BC79CC6BC0}"/>
  </w:font>
  <w:font w:name="Calibri">
    <w:panose1 w:val="020F0502020204030204"/>
    <w:charset w:val="00"/>
    <w:family w:val="swiss"/>
    <w:pitch w:val="variable"/>
    <w:sig w:usb0="E4002EFF" w:usb1="C200247B" w:usb2="00000009" w:usb3="00000000" w:csb0="000001FF" w:csb1="00000000"/>
    <w:embedRegular r:id="rId3" w:fontKey="{5461ECFB-0BA8-4324-9F17-54CAE7FAC2BA}"/>
    <w:embedBold r:id="rId4" w:fontKey="{45208087-3180-44AB-9D68-ED59F7B15F70}"/>
  </w:font>
  <w:font w:name="Cambria">
    <w:panose1 w:val="02040503050406030204"/>
    <w:charset w:val="00"/>
    <w:family w:val="roman"/>
    <w:pitch w:val="variable"/>
    <w:sig w:usb0="E00006FF" w:usb1="420024FF" w:usb2="02000000" w:usb3="00000000" w:csb0="0000019F" w:csb1="00000000"/>
    <w:embedRegular r:id="rId5" w:fontKey="{7CDD22B7-70E7-429F-A5D7-3C74147661E1}"/>
    <w:embedBold r:id="rId6" w:fontKey="{DF10C4E5-8D84-4163-8FF2-921FD3F6912B}"/>
    <w:embedItalic r:id="rId7" w:fontKey="{8D3882C7-2F8B-4B05-B0B0-9C27C1B6C367}"/>
  </w:font>
  <w:font w:name="Cambria Math">
    <w:panose1 w:val="02040503050406030204"/>
    <w:charset w:val="00"/>
    <w:family w:val="roman"/>
    <w:pitch w:val="variable"/>
    <w:sig w:usb0="E00006FF" w:usb1="420024FF" w:usb2="02000000" w:usb3="00000000" w:csb0="0000019F" w:csb1="00000000"/>
    <w:embedRegular r:id="rId8" w:fontKey="{F1E0E5C3-7C02-4F38-8A83-8A8AF58E598D}"/>
    <w:embedItalic r:id="rId9" w:fontKey="{8F32AB8A-6F88-45C5-B7EE-813FAA7BAA3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6EC2" w14:textId="77777777" w:rsidR="0002722C" w:rsidRDefault="0002722C">
    <w:pPr>
      <w:pBdr>
        <w:top w:val="nil"/>
        <w:left w:val="nil"/>
        <w:bottom w:val="nil"/>
        <w:right w:val="nil"/>
        <w:between w:val="nil"/>
      </w:pBdr>
      <w:tabs>
        <w:tab w:val="center" w:pos="4419"/>
        <w:tab w:val="right" w:pos="8838"/>
      </w:tabs>
      <w:jc w:val="center"/>
      <w:rPr>
        <w:rFonts w:ascii="Arial" w:eastAsia="Arial" w:hAnsi="Arial" w:cs="Arial"/>
        <w:color w:val="000000"/>
      </w:rPr>
    </w:pPr>
  </w:p>
  <w:p w14:paraId="133CFF3E" w14:textId="77777777" w:rsidR="0002722C" w:rsidRDefault="0002722C">
    <w:pPr>
      <w:pBdr>
        <w:top w:val="nil"/>
        <w:left w:val="nil"/>
        <w:bottom w:val="nil"/>
        <w:right w:val="nil"/>
        <w:between w:val="nil"/>
      </w:pBdr>
      <w:tabs>
        <w:tab w:val="center" w:pos="4419"/>
        <w:tab w:val="right" w:pos="8838"/>
      </w:tabs>
      <w:jc w:val="both"/>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32790" w14:textId="77777777" w:rsidR="00F224C9" w:rsidRDefault="00F224C9">
      <w:r>
        <w:separator/>
      </w:r>
    </w:p>
  </w:footnote>
  <w:footnote w:type="continuationSeparator" w:id="0">
    <w:p w14:paraId="433214A1" w14:textId="77777777" w:rsidR="00F224C9" w:rsidRDefault="00F22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813A" w14:textId="77777777" w:rsidR="0002722C" w:rsidRDefault="00021130">
    <w:pPr>
      <w:pBdr>
        <w:top w:val="nil"/>
        <w:left w:val="nil"/>
        <w:bottom w:val="nil"/>
        <w:right w:val="nil"/>
        <w:between w:val="nil"/>
      </w:pBdr>
      <w:tabs>
        <w:tab w:val="center" w:pos="4419"/>
        <w:tab w:val="right" w:pos="8838"/>
      </w:tabs>
      <w:rPr>
        <w:color w:val="000000"/>
      </w:rPr>
    </w:pPr>
    <w:r>
      <w:rPr>
        <w:color w:val="000000"/>
      </w:rPr>
      <w:tab/>
    </w:r>
    <w:r>
      <w:rPr>
        <w:rFonts w:ascii="Calibri" w:eastAsia="Calibri" w:hAnsi="Calibri" w:cs="Calibri"/>
        <w:b/>
        <w:bCs/>
        <w:noProof/>
        <w:color w:val="000000"/>
        <w:sz w:val="40"/>
        <w:szCs w:val="40"/>
      </w:rPr>
      <w:drawing>
        <wp:inline distT="0" distB="0" distL="0" distR="0" wp14:anchorId="77CCAF3F" wp14:editId="026C07B1">
          <wp:extent cx="5086745" cy="1018477"/>
          <wp:effectExtent l="0" t="0" r="0" b="0"/>
          <wp:docPr id="749213291" name="image1.jpg" descr="S:\ÁREA COMUNICACIÓN\Diseño\1. Encabezado - Pies - Logos\logo-ENAP.jpg"/>
          <wp:cNvGraphicFramePr/>
          <a:graphic xmlns:a="http://schemas.openxmlformats.org/drawingml/2006/main">
            <a:graphicData uri="http://schemas.openxmlformats.org/drawingml/2006/picture">
              <pic:pic xmlns:pic="http://schemas.openxmlformats.org/drawingml/2006/picture">
                <pic:nvPicPr>
                  <pic:cNvPr id="0" name="image1.jpg" descr="S:\ÁREA COMUNICACIÓN\Diseño\1. Encabezado - Pies - Logos\logo-ENAP.jpg"/>
                  <pic:cNvPicPr preferRelativeResize="0"/>
                </pic:nvPicPr>
                <pic:blipFill>
                  <a:blip r:embed="rId1"/>
                  <a:srcRect/>
                  <a:stretch>
                    <a:fillRect/>
                  </a:stretch>
                </pic:blipFill>
                <pic:spPr>
                  <a:xfrm>
                    <a:off x="0" y="0"/>
                    <a:ext cx="5086745" cy="1018477"/>
                  </a:xfrm>
                  <a:prstGeom prst="rect">
                    <a:avLst/>
                  </a:prstGeom>
                  <a:ln/>
                </pic:spPr>
              </pic:pic>
            </a:graphicData>
          </a:graphic>
        </wp:inline>
      </w:drawing>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330"/>
    <w:multiLevelType w:val="hybridMultilevel"/>
    <w:tmpl w:val="74CC1F2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6645CF"/>
    <w:multiLevelType w:val="hybridMultilevel"/>
    <w:tmpl w:val="B8CE51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46FCE"/>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E3DC6"/>
    <w:multiLevelType w:val="hybridMultilevel"/>
    <w:tmpl w:val="4B08C0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C2AA2"/>
    <w:multiLevelType w:val="hybridMultilevel"/>
    <w:tmpl w:val="A20C4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634C0"/>
    <w:multiLevelType w:val="multilevel"/>
    <w:tmpl w:val="252EE02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F42652"/>
    <w:multiLevelType w:val="multilevel"/>
    <w:tmpl w:val="409050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903EE9"/>
    <w:multiLevelType w:val="hybridMultilevel"/>
    <w:tmpl w:val="54DC15D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FF245AF"/>
    <w:multiLevelType w:val="hybridMultilevel"/>
    <w:tmpl w:val="F6D4E7B4"/>
    <w:lvl w:ilvl="0" w:tplc="0EFA0D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65BB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337C41"/>
    <w:multiLevelType w:val="hybridMultilevel"/>
    <w:tmpl w:val="411E7948"/>
    <w:lvl w:ilvl="0" w:tplc="AEE0692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34F8A"/>
    <w:multiLevelType w:val="hybridMultilevel"/>
    <w:tmpl w:val="3CEED1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E2C7E"/>
    <w:multiLevelType w:val="hybridMultilevel"/>
    <w:tmpl w:val="BA640C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4A4F3C"/>
    <w:multiLevelType w:val="multilevel"/>
    <w:tmpl w:val="15A6E31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1F3340"/>
    <w:multiLevelType w:val="multilevel"/>
    <w:tmpl w:val="9A0890B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D9360F"/>
    <w:multiLevelType w:val="multilevel"/>
    <w:tmpl w:val="4DBA29B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0D70FA"/>
    <w:multiLevelType w:val="multilevel"/>
    <w:tmpl w:val="25C6888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B856F3"/>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C36F42"/>
    <w:multiLevelType w:val="hybridMultilevel"/>
    <w:tmpl w:val="1AFA2D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900C92"/>
    <w:multiLevelType w:val="multilevel"/>
    <w:tmpl w:val="5CAEE2E2"/>
    <w:lvl w:ilvl="0">
      <w:start w:val="1"/>
      <w:numFmt w:val="decimal"/>
      <w:pStyle w:val="Heading1"/>
      <w:lvlText w:val="%1."/>
      <w:lvlJc w:val="right"/>
      <w:pPr>
        <w:ind w:left="360" w:hanging="360"/>
      </w:pPr>
      <w:rPr>
        <w:b/>
        <w:bCs/>
        <w:sz w:val="28"/>
        <w:szCs w:val="28"/>
      </w:rPr>
    </w:lvl>
    <w:lvl w:ilvl="1">
      <w:start w:val="1"/>
      <w:numFmt w:val="decimal"/>
      <w:pStyle w:val="Heading2"/>
      <w:lvlText w:val="%1.%2."/>
      <w:lvlJc w:val="right"/>
      <w:pPr>
        <w:ind w:left="574" w:hanging="432"/>
      </w:pPr>
    </w:lvl>
    <w:lvl w:ilvl="2">
      <w:start w:val="1"/>
      <w:numFmt w:val="decimal"/>
      <w:pStyle w:val="Heading3"/>
      <w:lvlText w:val="%1.%2.%3."/>
      <w:lvlJc w:val="right"/>
      <w:pPr>
        <w:ind w:left="1224" w:hanging="504"/>
      </w:pPr>
    </w:lvl>
    <w:lvl w:ilvl="3">
      <w:start w:val="1"/>
      <w:numFmt w:val="decimal"/>
      <w:lvlText w:val="%1.%2.%3.%4."/>
      <w:lvlJc w:val="right"/>
      <w:pPr>
        <w:ind w:left="1728" w:hanging="647"/>
      </w:pPr>
    </w:lvl>
    <w:lvl w:ilvl="4">
      <w:start w:val="1"/>
      <w:numFmt w:val="bullet"/>
      <w:lvlText w:val="○"/>
      <w:lvlJc w:val="left"/>
      <w:pPr>
        <w:ind w:left="2232" w:hanging="792"/>
      </w:pPr>
    </w:lvl>
    <w:lvl w:ilvl="5">
      <w:start w:val="1"/>
      <w:numFmt w:val="decimal"/>
      <w:lvlText w:val="%1.%2.%3.%4.○.%6."/>
      <w:lvlJc w:val="right"/>
      <w:pPr>
        <w:ind w:left="2736" w:hanging="935"/>
      </w:pPr>
    </w:lvl>
    <w:lvl w:ilvl="6">
      <w:start w:val="1"/>
      <w:numFmt w:val="decimal"/>
      <w:lvlText w:val="%1.%2.%3.%4.○.%6.%7."/>
      <w:lvlJc w:val="right"/>
      <w:pPr>
        <w:ind w:left="3240" w:hanging="1080"/>
      </w:pPr>
    </w:lvl>
    <w:lvl w:ilvl="7">
      <w:start w:val="1"/>
      <w:numFmt w:val="decimal"/>
      <w:lvlText w:val="%1.%2.%3.%4.○.%6.%7.%8."/>
      <w:lvlJc w:val="right"/>
      <w:pPr>
        <w:ind w:left="3744" w:hanging="1224"/>
      </w:pPr>
    </w:lvl>
    <w:lvl w:ilvl="8">
      <w:start w:val="1"/>
      <w:numFmt w:val="decimal"/>
      <w:lvlText w:val="%1.%2.%3.%4.○.%6.%7.%8.%9."/>
      <w:lvlJc w:val="right"/>
      <w:pPr>
        <w:ind w:left="4320" w:hanging="1440"/>
      </w:pPr>
    </w:lvl>
  </w:abstractNum>
  <w:abstractNum w:abstractNumId="20" w15:restartNumberingAfterBreak="0">
    <w:nsid w:val="34FB3ED1"/>
    <w:multiLevelType w:val="multilevel"/>
    <w:tmpl w:val="4970ACF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E358A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0A173B"/>
    <w:multiLevelType w:val="hybridMultilevel"/>
    <w:tmpl w:val="B6BCD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8149C"/>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6A1598"/>
    <w:multiLevelType w:val="multilevel"/>
    <w:tmpl w:val="879867B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98770B"/>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C97B48"/>
    <w:multiLevelType w:val="multilevel"/>
    <w:tmpl w:val="52C6CD1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2D7125"/>
    <w:multiLevelType w:val="hybridMultilevel"/>
    <w:tmpl w:val="EBA4B2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64866"/>
    <w:multiLevelType w:val="hybridMultilevel"/>
    <w:tmpl w:val="80862694"/>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4A2945B4"/>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750AEB"/>
    <w:multiLevelType w:val="hybridMultilevel"/>
    <w:tmpl w:val="354ABC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47DC0"/>
    <w:multiLevelType w:val="hybridMultilevel"/>
    <w:tmpl w:val="09C2C9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D8117E6"/>
    <w:multiLevelType w:val="multilevel"/>
    <w:tmpl w:val="7BCCA3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006AEA"/>
    <w:multiLevelType w:val="multilevel"/>
    <w:tmpl w:val="447A64C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FC2028"/>
    <w:multiLevelType w:val="multilevel"/>
    <w:tmpl w:val="D74E5C2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700EFC"/>
    <w:multiLevelType w:val="hybridMultilevel"/>
    <w:tmpl w:val="EF8A24FC"/>
    <w:lvl w:ilvl="0" w:tplc="0409000F">
      <w:start w:val="1"/>
      <w:numFmt w:val="decimal"/>
      <w:lvlText w:val="%1."/>
      <w:lvlJc w:val="left"/>
      <w:pPr>
        <w:ind w:left="720" w:hanging="360"/>
      </w:pPr>
    </w:lvl>
    <w:lvl w:ilvl="1" w:tplc="22766DF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100329"/>
    <w:multiLevelType w:val="multilevel"/>
    <w:tmpl w:val="A1A60E2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C27A51"/>
    <w:multiLevelType w:val="multilevel"/>
    <w:tmpl w:val="34261B2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BA0EB1"/>
    <w:multiLevelType w:val="hybridMultilevel"/>
    <w:tmpl w:val="86366AE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EC91046"/>
    <w:multiLevelType w:val="multilevel"/>
    <w:tmpl w:val="E6C01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1E13F58"/>
    <w:multiLevelType w:val="multilevel"/>
    <w:tmpl w:val="E4E49C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24837A1"/>
    <w:multiLevelType w:val="multilevel"/>
    <w:tmpl w:val="2C122F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3463C51"/>
    <w:multiLevelType w:val="multilevel"/>
    <w:tmpl w:val="DF3EC80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D12582"/>
    <w:multiLevelType w:val="hybridMultilevel"/>
    <w:tmpl w:val="A47A8C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FD0A8A"/>
    <w:multiLevelType w:val="hybridMultilevel"/>
    <w:tmpl w:val="E926F4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8463B4"/>
    <w:multiLevelType w:val="multilevel"/>
    <w:tmpl w:val="9308409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6867E0"/>
    <w:multiLevelType w:val="hybridMultilevel"/>
    <w:tmpl w:val="01820F00"/>
    <w:lvl w:ilvl="0" w:tplc="3370A4E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949A1"/>
    <w:multiLevelType w:val="hybridMultilevel"/>
    <w:tmpl w:val="DFC2CB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6D67CC"/>
    <w:multiLevelType w:val="multilevel"/>
    <w:tmpl w:val="3C0E530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D7D79BC"/>
    <w:multiLevelType w:val="hybridMultilevel"/>
    <w:tmpl w:val="08ECC6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08771231">
    <w:abstractNumId w:val="14"/>
  </w:num>
  <w:num w:numId="2" w16cid:durableId="577398891">
    <w:abstractNumId w:val="20"/>
  </w:num>
  <w:num w:numId="3" w16cid:durableId="518276742">
    <w:abstractNumId w:val="19"/>
  </w:num>
  <w:num w:numId="4" w16cid:durableId="1254779387">
    <w:abstractNumId w:val="39"/>
  </w:num>
  <w:num w:numId="5" w16cid:durableId="1497107749">
    <w:abstractNumId w:val="43"/>
  </w:num>
  <w:num w:numId="6" w16cid:durableId="515000125">
    <w:abstractNumId w:val="24"/>
  </w:num>
  <w:num w:numId="7" w16cid:durableId="60715062">
    <w:abstractNumId w:val="16"/>
  </w:num>
  <w:num w:numId="8" w16cid:durableId="760417606">
    <w:abstractNumId w:val="42"/>
  </w:num>
  <w:num w:numId="9" w16cid:durableId="1433011759">
    <w:abstractNumId w:val="34"/>
  </w:num>
  <w:num w:numId="10" w16cid:durableId="1671174752">
    <w:abstractNumId w:val="5"/>
  </w:num>
  <w:num w:numId="11" w16cid:durableId="1689795524">
    <w:abstractNumId w:val="41"/>
  </w:num>
  <w:num w:numId="12" w16cid:durableId="1532380181">
    <w:abstractNumId w:val="26"/>
  </w:num>
  <w:num w:numId="13" w16cid:durableId="25524822">
    <w:abstractNumId w:val="1"/>
  </w:num>
  <w:num w:numId="14" w16cid:durableId="1472208711">
    <w:abstractNumId w:val="37"/>
  </w:num>
  <w:num w:numId="15" w16cid:durableId="302538294">
    <w:abstractNumId w:val="3"/>
  </w:num>
  <w:num w:numId="16" w16cid:durableId="231814363">
    <w:abstractNumId w:val="45"/>
  </w:num>
  <w:num w:numId="17" w16cid:durableId="1918325549">
    <w:abstractNumId w:val="33"/>
  </w:num>
  <w:num w:numId="18" w16cid:durableId="2120492230">
    <w:abstractNumId w:val="13"/>
  </w:num>
  <w:num w:numId="19" w16cid:durableId="1246376303">
    <w:abstractNumId w:val="23"/>
  </w:num>
  <w:num w:numId="20" w16cid:durableId="891386633">
    <w:abstractNumId w:val="32"/>
  </w:num>
  <w:num w:numId="21" w16cid:durableId="756483516">
    <w:abstractNumId w:val="15"/>
  </w:num>
  <w:num w:numId="22" w16cid:durableId="1149201572">
    <w:abstractNumId w:val="6"/>
  </w:num>
  <w:num w:numId="23" w16cid:durableId="772751672">
    <w:abstractNumId w:val="31"/>
  </w:num>
  <w:num w:numId="24" w16cid:durableId="1104769444">
    <w:abstractNumId w:val="25"/>
  </w:num>
  <w:num w:numId="25" w16cid:durableId="1105658888">
    <w:abstractNumId w:val="40"/>
  </w:num>
  <w:num w:numId="26" w16cid:durableId="1783381905">
    <w:abstractNumId w:val="17"/>
  </w:num>
  <w:num w:numId="27" w16cid:durableId="375980103">
    <w:abstractNumId w:val="36"/>
  </w:num>
  <w:num w:numId="28" w16cid:durableId="796527286">
    <w:abstractNumId w:val="2"/>
  </w:num>
  <w:num w:numId="29" w16cid:durableId="2124953925">
    <w:abstractNumId w:val="29"/>
  </w:num>
  <w:num w:numId="30" w16cid:durableId="1958876612">
    <w:abstractNumId w:val="21"/>
  </w:num>
  <w:num w:numId="31" w16cid:durableId="1578829671">
    <w:abstractNumId w:val="9"/>
  </w:num>
  <w:num w:numId="32" w16cid:durableId="278342040">
    <w:abstractNumId w:val="12"/>
  </w:num>
  <w:num w:numId="33" w16cid:durableId="103043288">
    <w:abstractNumId w:val="27"/>
  </w:num>
  <w:num w:numId="34" w16cid:durableId="910699986">
    <w:abstractNumId w:val="4"/>
  </w:num>
  <w:num w:numId="35" w16cid:durableId="1279414317">
    <w:abstractNumId w:val="48"/>
  </w:num>
  <w:num w:numId="36" w16cid:durableId="922420112">
    <w:abstractNumId w:val="44"/>
  </w:num>
  <w:num w:numId="37" w16cid:durableId="2705373">
    <w:abstractNumId w:val="7"/>
  </w:num>
  <w:num w:numId="38" w16cid:durableId="315183194">
    <w:abstractNumId w:val="28"/>
  </w:num>
  <w:num w:numId="39" w16cid:durableId="1557667044">
    <w:abstractNumId w:val="0"/>
  </w:num>
  <w:num w:numId="40" w16cid:durableId="427850441">
    <w:abstractNumId w:val="35"/>
  </w:num>
  <w:num w:numId="41" w16cid:durableId="116683760">
    <w:abstractNumId w:val="49"/>
  </w:num>
  <w:num w:numId="42" w16cid:durableId="920214402">
    <w:abstractNumId w:val="38"/>
  </w:num>
  <w:num w:numId="43" w16cid:durableId="1373580181">
    <w:abstractNumId w:val="18"/>
  </w:num>
  <w:num w:numId="44" w16cid:durableId="161701668">
    <w:abstractNumId w:val="22"/>
  </w:num>
  <w:num w:numId="45" w16cid:durableId="805976658">
    <w:abstractNumId w:val="46"/>
  </w:num>
  <w:num w:numId="46" w16cid:durableId="900595946">
    <w:abstractNumId w:val="30"/>
  </w:num>
  <w:num w:numId="47" w16cid:durableId="1921404919">
    <w:abstractNumId w:val="8"/>
  </w:num>
  <w:num w:numId="48" w16cid:durableId="345375443">
    <w:abstractNumId w:val="47"/>
  </w:num>
  <w:num w:numId="49" w16cid:durableId="571961990">
    <w:abstractNumId w:val="10"/>
  </w:num>
  <w:num w:numId="50" w16cid:durableId="470826442">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22C"/>
    <w:rsid w:val="000001A5"/>
    <w:rsid w:val="00000D78"/>
    <w:rsid w:val="00001366"/>
    <w:rsid w:val="000014D0"/>
    <w:rsid w:val="00002CDF"/>
    <w:rsid w:val="0000327D"/>
    <w:rsid w:val="0000473D"/>
    <w:rsid w:val="00004F3C"/>
    <w:rsid w:val="000055CF"/>
    <w:rsid w:val="000060BE"/>
    <w:rsid w:val="00006A3C"/>
    <w:rsid w:val="00007520"/>
    <w:rsid w:val="00007BCF"/>
    <w:rsid w:val="00007CDB"/>
    <w:rsid w:val="00007CEB"/>
    <w:rsid w:val="000106AF"/>
    <w:rsid w:val="000125BB"/>
    <w:rsid w:val="000129F7"/>
    <w:rsid w:val="00012BFC"/>
    <w:rsid w:val="00012EEA"/>
    <w:rsid w:val="00013DEE"/>
    <w:rsid w:val="00013EE6"/>
    <w:rsid w:val="000140AE"/>
    <w:rsid w:val="000160D0"/>
    <w:rsid w:val="000205EB"/>
    <w:rsid w:val="0002098E"/>
    <w:rsid w:val="00021130"/>
    <w:rsid w:val="00021332"/>
    <w:rsid w:val="000213AE"/>
    <w:rsid w:val="000229DE"/>
    <w:rsid w:val="00023C66"/>
    <w:rsid w:val="0002527A"/>
    <w:rsid w:val="000255A1"/>
    <w:rsid w:val="000255FA"/>
    <w:rsid w:val="0002722C"/>
    <w:rsid w:val="00027C96"/>
    <w:rsid w:val="0003226B"/>
    <w:rsid w:val="000327AF"/>
    <w:rsid w:val="00032C9C"/>
    <w:rsid w:val="00034A95"/>
    <w:rsid w:val="00034BC6"/>
    <w:rsid w:val="0003598C"/>
    <w:rsid w:val="00036D5D"/>
    <w:rsid w:val="00036D89"/>
    <w:rsid w:val="00037EE9"/>
    <w:rsid w:val="0004023D"/>
    <w:rsid w:val="00042576"/>
    <w:rsid w:val="00042F91"/>
    <w:rsid w:val="0004315F"/>
    <w:rsid w:val="00045782"/>
    <w:rsid w:val="0004662B"/>
    <w:rsid w:val="0004700B"/>
    <w:rsid w:val="0004735D"/>
    <w:rsid w:val="000527B4"/>
    <w:rsid w:val="000530FC"/>
    <w:rsid w:val="0005442E"/>
    <w:rsid w:val="0005443C"/>
    <w:rsid w:val="000549B1"/>
    <w:rsid w:val="00056480"/>
    <w:rsid w:val="00060826"/>
    <w:rsid w:val="0006119A"/>
    <w:rsid w:val="000612C7"/>
    <w:rsid w:val="00061BAC"/>
    <w:rsid w:val="000628C7"/>
    <w:rsid w:val="00062D5D"/>
    <w:rsid w:val="00064008"/>
    <w:rsid w:val="00066089"/>
    <w:rsid w:val="0006627F"/>
    <w:rsid w:val="00066D42"/>
    <w:rsid w:val="00066FD7"/>
    <w:rsid w:val="000718CD"/>
    <w:rsid w:val="00073BAD"/>
    <w:rsid w:val="00073D56"/>
    <w:rsid w:val="00074CCC"/>
    <w:rsid w:val="000757BE"/>
    <w:rsid w:val="00075A7F"/>
    <w:rsid w:val="00077253"/>
    <w:rsid w:val="00081095"/>
    <w:rsid w:val="00081456"/>
    <w:rsid w:val="000821D0"/>
    <w:rsid w:val="00083CF2"/>
    <w:rsid w:val="000841CA"/>
    <w:rsid w:val="000843AB"/>
    <w:rsid w:val="000843C1"/>
    <w:rsid w:val="000862F1"/>
    <w:rsid w:val="000927F6"/>
    <w:rsid w:val="00092ABD"/>
    <w:rsid w:val="00093F95"/>
    <w:rsid w:val="00094368"/>
    <w:rsid w:val="00094F7D"/>
    <w:rsid w:val="0009548A"/>
    <w:rsid w:val="000958E3"/>
    <w:rsid w:val="0009641D"/>
    <w:rsid w:val="0009766D"/>
    <w:rsid w:val="00097BE0"/>
    <w:rsid w:val="00097EBC"/>
    <w:rsid w:val="000A034A"/>
    <w:rsid w:val="000A0BCF"/>
    <w:rsid w:val="000A1646"/>
    <w:rsid w:val="000A2266"/>
    <w:rsid w:val="000A2629"/>
    <w:rsid w:val="000A2A94"/>
    <w:rsid w:val="000A4096"/>
    <w:rsid w:val="000A4232"/>
    <w:rsid w:val="000A43C7"/>
    <w:rsid w:val="000A4702"/>
    <w:rsid w:val="000A4F88"/>
    <w:rsid w:val="000A532D"/>
    <w:rsid w:val="000A5770"/>
    <w:rsid w:val="000A5AD5"/>
    <w:rsid w:val="000A6156"/>
    <w:rsid w:val="000A704D"/>
    <w:rsid w:val="000B15DC"/>
    <w:rsid w:val="000B3265"/>
    <w:rsid w:val="000B3C59"/>
    <w:rsid w:val="000B4D30"/>
    <w:rsid w:val="000B5914"/>
    <w:rsid w:val="000B6DC9"/>
    <w:rsid w:val="000C00F0"/>
    <w:rsid w:val="000C0C23"/>
    <w:rsid w:val="000C17B0"/>
    <w:rsid w:val="000C1D41"/>
    <w:rsid w:val="000C1DB3"/>
    <w:rsid w:val="000C3797"/>
    <w:rsid w:val="000C41D8"/>
    <w:rsid w:val="000C4743"/>
    <w:rsid w:val="000C671E"/>
    <w:rsid w:val="000C6A93"/>
    <w:rsid w:val="000C6B33"/>
    <w:rsid w:val="000C77EB"/>
    <w:rsid w:val="000D0772"/>
    <w:rsid w:val="000D3904"/>
    <w:rsid w:val="000D40BB"/>
    <w:rsid w:val="000D4306"/>
    <w:rsid w:val="000D4B74"/>
    <w:rsid w:val="000D717D"/>
    <w:rsid w:val="000D7403"/>
    <w:rsid w:val="000D770F"/>
    <w:rsid w:val="000D77E2"/>
    <w:rsid w:val="000E1919"/>
    <w:rsid w:val="000E1AF3"/>
    <w:rsid w:val="000E2BA1"/>
    <w:rsid w:val="000E30B3"/>
    <w:rsid w:val="000E357F"/>
    <w:rsid w:val="000E3CFC"/>
    <w:rsid w:val="000E43CF"/>
    <w:rsid w:val="000E611F"/>
    <w:rsid w:val="000E625E"/>
    <w:rsid w:val="000F04B9"/>
    <w:rsid w:val="000F1B06"/>
    <w:rsid w:val="000F2603"/>
    <w:rsid w:val="000F2FBF"/>
    <w:rsid w:val="000F3B7C"/>
    <w:rsid w:val="000F474B"/>
    <w:rsid w:val="000F6247"/>
    <w:rsid w:val="000F77AE"/>
    <w:rsid w:val="000F7A69"/>
    <w:rsid w:val="001002B9"/>
    <w:rsid w:val="0010041F"/>
    <w:rsid w:val="00100B24"/>
    <w:rsid w:val="00103AFD"/>
    <w:rsid w:val="001051AA"/>
    <w:rsid w:val="0010619E"/>
    <w:rsid w:val="001106DE"/>
    <w:rsid w:val="001108DD"/>
    <w:rsid w:val="00110E78"/>
    <w:rsid w:val="00110EB5"/>
    <w:rsid w:val="00111E4E"/>
    <w:rsid w:val="00112212"/>
    <w:rsid w:val="00112ADA"/>
    <w:rsid w:val="00112C90"/>
    <w:rsid w:val="00112FB8"/>
    <w:rsid w:val="00114AE6"/>
    <w:rsid w:val="00114B35"/>
    <w:rsid w:val="00116816"/>
    <w:rsid w:val="00116FC2"/>
    <w:rsid w:val="00117D4F"/>
    <w:rsid w:val="00120BE7"/>
    <w:rsid w:val="00121256"/>
    <w:rsid w:val="00121E82"/>
    <w:rsid w:val="001221E2"/>
    <w:rsid w:val="001235CD"/>
    <w:rsid w:val="001237ED"/>
    <w:rsid w:val="00124019"/>
    <w:rsid w:val="00125ACD"/>
    <w:rsid w:val="00125CC0"/>
    <w:rsid w:val="00125EBC"/>
    <w:rsid w:val="001263AC"/>
    <w:rsid w:val="0012650D"/>
    <w:rsid w:val="001269E8"/>
    <w:rsid w:val="00127D92"/>
    <w:rsid w:val="00131B15"/>
    <w:rsid w:val="001325B9"/>
    <w:rsid w:val="00132D06"/>
    <w:rsid w:val="00132EA5"/>
    <w:rsid w:val="001333FC"/>
    <w:rsid w:val="00135147"/>
    <w:rsid w:val="001369AB"/>
    <w:rsid w:val="00137B91"/>
    <w:rsid w:val="0014186A"/>
    <w:rsid w:val="001421D7"/>
    <w:rsid w:val="001439B5"/>
    <w:rsid w:val="00144AA5"/>
    <w:rsid w:val="0014550A"/>
    <w:rsid w:val="00145763"/>
    <w:rsid w:val="00145971"/>
    <w:rsid w:val="001459BF"/>
    <w:rsid w:val="001507CB"/>
    <w:rsid w:val="00150B2E"/>
    <w:rsid w:val="00150DB0"/>
    <w:rsid w:val="00152077"/>
    <w:rsid w:val="00153172"/>
    <w:rsid w:val="00153E13"/>
    <w:rsid w:val="001546A8"/>
    <w:rsid w:val="00155DE2"/>
    <w:rsid w:val="00155E3F"/>
    <w:rsid w:val="00157444"/>
    <w:rsid w:val="00160366"/>
    <w:rsid w:val="00160CCB"/>
    <w:rsid w:val="001619EE"/>
    <w:rsid w:val="00162C0F"/>
    <w:rsid w:val="001648AE"/>
    <w:rsid w:val="0016548A"/>
    <w:rsid w:val="00166BF5"/>
    <w:rsid w:val="00167F34"/>
    <w:rsid w:val="001701A0"/>
    <w:rsid w:val="001715D0"/>
    <w:rsid w:val="001718DD"/>
    <w:rsid w:val="00172B9D"/>
    <w:rsid w:val="001739F9"/>
    <w:rsid w:val="00173E94"/>
    <w:rsid w:val="00176C17"/>
    <w:rsid w:val="00180254"/>
    <w:rsid w:val="001802CD"/>
    <w:rsid w:val="00180522"/>
    <w:rsid w:val="00180CF8"/>
    <w:rsid w:val="00181F35"/>
    <w:rsid w:val="001822E1"/>
    <w:rsid w:val="00182473"/>
    <w:rsid w:val="001831E2"/>
    <w:rsid w:val="0018558D"/>
    <w:rsid w:val="0018617F"/>
    <w:rsid w:val="001865D7"/>
    <w:rsid w:val="00187EF7"/>
    <w:rsid w:val="0019046E"/>
    <w:rsid w:val="001906E2"/>
    <w:rsid w:val="001908D2"/>
    <w:rsid w:val="0019112B"/>
    <w:rsid w:val="00191665"/>
    <w:rsid w:val="00191748"/>
    <w:rsid w:val="00191931"/>
    <w:rsid w:val="00192D60"/>
    <w:rsid w:val="00193DC5"/>
    <w:rsid w:val="00195956"/>
    <w:rsid w:val="001A043A"/>
    <w:rsid w:val="001A0482"/>
    <w:rsid w:val="001A0484"/>
    <w:rsid w:val="001A468B"/>
    <w:rsid w:val="001A5782"/>
    <w:rsid w:val="001A588A"/>
    <w:rsid w:val="001A6C4F"/>
    <w:rsid w:val="001A776D"/>
    <w:rsid w:val="001B178F"/>
    <w:rsid w:val="001B1C38"/>
    <w:rsid w:val="001B769D"/>
    <w:rsid w:val="001C018B"/>
    <w:rsid w:val="001C0744"/>
    <w:rsid w:val="001C116C"/>
    <w:rsid w:val="001C1927"/>
    <w:rsid w:val="001C1B6B"/>
    <w:rsid w:val="001C1D69"/>
    <w:rsid w:val="001C239F"/>
    <w:rsid w:val="001C2A1A"/>
    <w:rsid w:val="001C37BF"/>
    <w:rsid w:val="001C396C"/>
    <w:rsid w:val="001C3D06"/>
    <w:rsid w:val="001C4D17"/>
    <w:rsid w:val="001C4E25"/>
    <w:rsid w:val="001C58D2"/>
    <w:rsid w:val="001C5CDE"/>
    <w:rsid w:val="001C5DB9"/>
    <w:rsid w:val="001C5EF9"/>
    <w:rsid w:val="001C7435"/>
    <w:rsid w:val="001C7437"/>
    <w:rsid w:val="001C76FF"/>
    <w:rsid w:val="001D1105"/>
    <w:rsid w:val="001D1168"/>
    <w:rsid w:val="001D241B"/>
    <w:rsid w:val="001D2F6A"/>
    <w:rsid w:val="001D322E"/>
    <w:rsid w:val="001D5078"/>
    <w:rsid w:val="001D5732"/>
    <w:rsid w:val="001E062A"/>
    <w:rsid w:val="001E0A87"/>
    <w:rsid w:val="001E1AD1"/>
    <w:rsid w:val="001E1FFF"/>
    <w:rsid w:val="001E207D"/>
    <w:rsid w:val="001E2618"/>
    <w:rsid w:val="001E28F2"/>
    <w:rsid w:val="001E2978"/>
    <w:rsid w:val="001E4183"/>
    <w:rsid w:val="001E699F"/>
    <w:rsid w:val="001E6DA3"/>
    <w:rsid w:val="001E78B8"/>
    <w:rsid w:val="001E7F5E"/>
    <w:rsid w:val="001F0A0F"/>
    <w:rsid w:val="001F0AE3"/>
    <w:rsid w:val="001F16C4"/>
    <w:rsid w:val="001F1794"/>
    <w:rsid w:val="001F2126"/>
    <w:rsid w:val="001F22D0"/>
    <w:rsid w:val="001F2D36"/>
    <w:rsid w:val="001F3E75"/>
    <w:rsid w:val="001F5CA5"/>
    <w:rsid w:val="00200DD9"/>
    <w:rsid w:val="0020101A"/>
    <w:rsid w:val="00203694"/>
    <w:rsid w:val="00203EED"/>
    <w:rsid w:val="00204142"/>
    <w:rsid w:val="0020433D"/>
    <w:rsid w:val="002069CD"/>
    <w:rsid w:val="002073EA"/>
    <w:rsid w:val="00207E29"/>
    <w:rsid w:val="0021053B"/>
    <w:rsid w:val="002109B4"/>
    <w:rsid w:val="0021105F"/>
    <w:rsid w:val="00211715"/>
    <w:rsid w:val="00211883"/>
    <w:rsid w:val="00211B00"/>
    <w:rsid w:val="0021231A"/>
    <w:rsid w:val="0021270F"/>
    <w:rsid w:val="002158B7"/>
    <w:rsid w:val="00215E79"/>
    <w:rsid w:val="002163D2"/>
    <w:rsid w:val="00220F62"/>
    <w:rsid w:val="002212DB"/>
    <w:rsid w:val="00223C58"/>
    <w:rsid w:val="0022455A"/>
    <w:rsid w:val="00225792"/>
    <w:rsid w:val="00226881"/>
    <w:rsid w:val="002269E8"/>
    <w:rsid w:val="00227CB5"/>
    <w:rsid w:val="00227E73"/>
    <w:rsid w:val="0023200F"/>
    <w:rsid w:val="00234D8E"/>
    <w:rsid w:val="002359DB"/>
    <w:rsid w:val="002366D2"/>
    <w:rsid w:val="00236DBB"/>
    <w:rsid w:val="0024098B"/>
    <w:rsid w:val="002440B8"/>
    <w:rsid w:val="002460D3"/>
    <w:rsid w:val="00246B4F"/>
    <w:rsid w:val="002513B7"/>
    <w:rsid w:val="00253636"/>
    <w:rsid w:val="00254A8D"/>
    <w:rsid w:val="002569A4"/>
    <w:rsid w:val="00256C0D"/>
    <w:rsid w:val="002600E5"/>
    <w:rsid w:val="002617BC"/>
    <w:rsid w:val="00261A5F"/>
    <w:rsid w:val="00263CB2"/>
    <w:rsid w:val="00265909"/>
    <w:rsid w:val="002660EB"/>
    <w:rsid w:val="00266986"/>
    <w:rsid w:val="00266CE2"/>
    <w:rsid w:val="002675FD"/>
    <w:rsid w:val="00270BB3"/>
    <w:rsid w:val="002711FA"/>
    <w:rsid w:val="00272E2E"/>
    <w:rsid w:val="002732E9"/>
    <w:rsid w:val="00273999"/>
    <w:rsid w:val="00274648"/>
    <w:rsid w:val="002746EE"/>
    <w:rsid w:val="00274D3D"/>
    <w:rsid w:val="00275321"/>
    <w:rsid w:val="0027543B"/>
    <w:rsid w:val="00277812"/>
    <w:rsid w:val="00277AD9"/>
    <w:rsid w:val="00280665"/>
    <w:rsid w:val="00280ABC"/>
    <w:rsid w:val="00280E94"/>
    <w:rsid w:val="0028113D"/>
    <w:rsid w:val="00282346"/>
    <w:rsid w:val="00283FE0"/>
    <w:rsid w:val="00284A7F"/>
    <w:rsid w:val="002866D5"/>
    <w:rsid w:val="00286EF1"/>
    <w:rsid w:val="00287126"/>
    <w:rsid w:val="002871AA"/>
    <w:rsid w:val="00287D32"/>
    <w:rsid w:val="002910DA"/>
    <w:rsid w:val="00292830"/>
    <w:rsid w:val="00293378"/>
    <w:rsid w:val="002933A9"/>
    <w:rsid w:val="00295885"/>
    <w:rsid w:val="00295D2A"/>
    <w:rsid w:val="00295FF5"/>
    <w:rsid w:val="002961F4"/>
    <w:rsid w:val="00296C58"/>
    <w:rsid w:val="002A063D"/>
    <w:rsid w:val="002A1679"/>
    <w:rsid w:val="002A1998"/>
    <w:rsid w:val="002A1CFE"/>
    <w:rsid w:val="002A2DA4"/>
    <w:rsid w:val="002A2DCA"/>
    <w:rsid w:val="002A35D6"/>
    <w:rsid w:val="002A3B94"/>
    <w:rsid w:val="002A41B0"/>
    <w:rsid w:val="002A5B78"/>
    <w:rsid w:val="002A5EBA"/>
    <w:rsid w:val="002A6923"/>
    <w:rsid w:val="002A6A71"/>
    <w:rsid w:val="002A7003"/>
    <w:rsid w:val="002A7A7B"/>
    <w:rsid w:val="002A7FDF"/>
    <w:rsid w:val="002B139A"/>
    <w:rsid w:val="002B1B0B"/>
    <w:rsid w:val="002B2851"/>
    <w:rsid w:val="002B2B28"/>
    <w:rsid w:val="002B4AD6"/>
    <w:rsid w:val="002B5E81"/>
    <w:rsid w:val="002B5FC6"/>
    <w:rsid w:val="002B713A"/>
    <w:rsid w:val="002C0349"/>
    <w:rsid w:val="002C08FB"/>
    <w:rsid w:val="002C27B6"/>
    <w:rsid w:val="002C4A7B"/>
    <w:rsid w:val="002C51D2"/>
    <w:rsid w:val="002C5632"/>
    <w:rsid w:val="002C587B"/>
    <w:rsid w:val="002C5C8D"/>
    <w:rsid w:val="002C6F73"/>
    <w:rsid w:val="002D0C10"/>
    <w:rsid w:val="002D1432"/>
    <w:rsid w:val="002D1947"/>
    <w:rsid w:val="002D2D1C"/>
    <w:rsid w:val="002D3AA6"/>
    <w:rsid w:val="002D547C"/>
    <w:rsid w:val="002D581D"/>
    <w:rsid w:val="002D7099"/>
    <w:rsid w:val="002E0B2B"/>
    <w:rsid w:val="002E12FA"/>
    <w:rsid w:val="002E13E1"/>
    <w:rsid w:val="002E1C37"/>
    <w:rsid w:val="002E2374"/>
    <w:rsid w:val="002E30DA"/>
    <w:rsid w:val="002E518C"/>
    <w:rsid w:val="002E5A2C"/>
    <w:rsid w:val="002E7A57"/>
    <w:rsid w:val="002E7DE0"/>
    <w:rsid w:val="002F0851"/>
    <w:rsid w:val="002F0EED"/>
    <w:rsid w:val="002F1BEC"/>
    <w:rsid w:val="002F1FCB"/>
    <w:rsid w:val="002F2774"/>
    <w:rsid w:val="002F2A51"/>
    <w:rsid w:val="002F3B63"/>
    <w:rsid w:val="002F51EE"/>
    <w:rsid w:val="00300240"/>
    <w:rsid w:val="00300B1F"/>
    <w:rsid w:val="003026D7"/>
    <w:rsid w:val="00303E93"/>
    <w:rsid w:val="00303EC0"/>
    <w:rsid w:val="00305A8C"/>
    <w:rsid w:val="003061C2"/>
    <w:rsid w:val="00306203"/>
    <w:rsid w:val="0030735A"/>
    <w:rsid w:val="00307719"/>
    <w:rsid w:val="00307EE6"/>
    <w:rsid w:val="003100C5"/>
    <w:rsid w:val="003109AD"/>
    <w:rsid w:val="00311602"/>
    <w:rsid w:val="00312AF6"/>
    <w:rsid w:val="00312E63"/>
    <w:rsid w:val="003138C0"/>
    <w:rsid w:val="0031409E"/>
    <w:rsid w:val="0031448C"/>
    <w:rsid w:val="00314716"/>
    <w:rsid w:val="00314EF9"/>
    <w:rsid w:val="0031513D"/>
    <w:rsid w:val="003154DB"/>
    <w:rsid w:val="00315A91"/>
    <w:rsid w:val="00315CE5"/>
    <w:rsid w:val="00316986"/>
    <w:rsid w:val="0032087F"/>
    <w:rsid w:val="003220D6"/>
    <w:rsid w:val="003231CF"/>
    <w:rsid w:val="00325993"/>
    <w:rsid w:val="003300D6"/>
    <w:rsid w:val="003307D5"/>
    <w:rsid w:val="0033091F"/>
    <w:rsid w:val="00330B77"/>
    <w:rsid w:val="0033275F"/>
    <w:rsid w:val="0033489F"/>
    <w:rsid w:val="00335111"/>
    <w:rsid w:val="00335DD5"/>
    <w:rsid w:val="00337373"/>
    <w:rsid w:val="00337B9A"/>
    <w:rsid w:val="00340A12"/>
    <w:rsid w:val="00341497"/>
    <w:rsid w:val="00341D16"/>
    <w:rsid w:val="00343C1C"/>
    <w:rsid w:val="003443D5"/>
    <w:rsid w:val="0034643B"/>
    <w:rsid w:val="0035024C"/>
    <w:rsid w:val="0035040D"/>
    <w:rsid w:val="00350529"/>
    <w:rsid w:val="00350E19"/>
    <w:rsid w:val="00351E41"/>
    <w:rsid w:val="00353729"/>
    <w:rsid w:val="003539C6"/>
    <w:rsid w:val="00354424"/>
    <w:rsid w:val="00354C1D"/>
    <w:rsid w:val="003554C6"/>
    <w:rsid w:val="003575C1"/>
    <w:rsid w:val="00357BAC"/>
    <w:rsid w:val="00360107"/>
    <w:rsid w:val="0036085F"/>
    <w:rsid w:val="00361F89"/>
    <w:rsid w:val="00362360"/>
    <w:rsid w:val="0036287F"/>
    <w:rsid w:val="0036401A"/>
    <w:rsid w:val="00365073"/>
    <w:rsid w:val="0036663A"/>
    <w:rsid w:val="00366678"/>
    <w:rsid w:val="00367081"/>
    <w:rsid w:val="003674CD"/>
    <w:rsid w:val="00367779"/>
    <w:rsid w:val="00367861"/>
    <w:rsid w:val="0037014B"/>
    <w:rsid w:val="003738CA"/>
    <w:rsid w:val="003740FF"/>
    <w:rsid w:val="003742C2"/>
    <w:rsid w:val="003744DB"/>
    <w:rsid w:val="00374500"/>
    <w:rsid w:val="00374770"/>
    <w:rsid w:val="00374B28"/>
    <w:rsid w:val="00375675"/>
    <w:rsid w:val="00380309"/>
    <w:rsid w:val="0038155C"/>
    <w:rsid w:val="00381566"/>
    <w:rsid w:val="00381828"/>
    <w:rsid w:val="0038255F"/>
    <w:rsid w:val="00383AC8"/>
    <w:rsid w:val="00386860"/>
    <w:rsid w:val="00386F2F"/>
    <w:rsid w:val="003906D6"/>
    <w:rsid w:val="00390D95"/>
    <w:rsid w:val="00391084"/>
    <w:rsid w:val="003914C4"/>
    <w:rsid w:val="00391CF5"/>
    <w:rsid w:val="00392907"/>
    <w:rsid w:val="00392A24"/>
    <w:rsid w:val="003932FF"/>
    <w:rsid w:val="00393889"/>
    <w:rsid w:val="0039397B"/>
    <w:rsid w:val="00394D12"/>
    <w:rsid w:val="0039690B"/>
    <w:rsid w:val="00396D7C"/>
    <w:rsid w:val="003977AA"/>
    <w:rsid w:val="003A0BAD"/>
    <w:rsid w:val="003A0DF7"/>
    <w:rsid w:val="003A1958"/>
    <w:rsid w:val="003A2675"/>
    <w:rsid w:val="003A3570"/>
    <w:rsid w:val="003A43EA"/>
    <w:rsid w:val="003A5D63"/>
    <w:rsid w:val="003A6EC1"/>
    <w:rsid w:val="003A71E7"/>
    <w:rsid w:val="003A72BE"/>
    <w:rsid w:val="003A78A7"/>
    <w:rsid w:val="003B006E"/>
    <w:rsid w:val="003B0F4A"/>
    <w:rsid w:val="003B12F4"/>
    <w:rsid w:val="003B27E3"/>
    <w:rsid w:val="003B419A"/>
    <w:rsid w:val="003B53DD"/>
    <w:rsid w:val="003B66C0"/>
    <w:rsid w:val="003B6A19"/>
    <w:rsid w:val="003B7187"/>
    <w:rsid w:val="003C011F"/>
    <w:rsid w:val="003C0713"/>
    <w:rsid w:val="003C197E"/>
    <w:rsid w:val="003C212B"/>
    <w:rsid w:val="003C5F24"/>
    <w:rsid w:val="003C730B"/>
    <w:rsid w:val="003C7455"/>
    <w:rsid w:val="003C7E98"/>
    <w:rsid w:val="003D1108"/>
    <w:rsid w:val="003D162F"/>
    <w:rsid w:val="003D22C1"/>
    <w:rsid w:val="003D2386"/>
    <w:rsid w:val="003D371D"/>
    <w:rsid w:val="003D564E"/>
    <w:rsid w:val="003D5B6F"/>
    <w:rsid w:val="003D61CB"/>
    <w:rsid w:val="003D6341"/>
    <w:rsid w:val="003D6BD5"/>
    <w:rsid w:val="003D6D40"/>
    <w:rsid w:val="003D75C1"/>
    <w:rsid w:val="003E0558"/>
    <w:rsid w:val="003E0C5B"/>
    <w:rsid w:val="003E17EA"/>
    <w:rsid w:val="003E4378"/>
    <w:rsid w:val="003E4447"/>
    <w:rsid w:val="003E59B8"/>
    <w:rsid w:val="003F0370"/>
    <w:rsid w:val="003F067F"/>
    <w:rsid w:val="003F08F1"/>
    <w:rsid w:val="003F215D"/>
    <w:rsid w:val="003F2C71"/>
    <w:rsid w:val="003F2C9A"/>
    <w:rsid w:val="003F3715"/>
    <w:rsid w:val="003F382D"/>
    <w:rsid w:val="003F427D"/>
    <w:rsid w:val="003F707D"/>
    <w:rsid w:val="00400D93"/>
    <w:rsid w:val="00400F1D"/>
    <w:rsid w:val="00401A8F"/>
    <w:rsid w:val="00401B39"/>
    <w:rsid w:val="00402229"/>
    <w:rsid w:val="00402F8B"/>
    <w:rsid w:val="0040347D"/>
    <w:rsid w:val="0040406B"/>
    <w:rsid w:val="004048A2"/>
    <w:rsid w:val="004052F7"/>
    <w:rsid w:val="00405A2C"/>
    <w:rsid w:val="004063E9"/>
    <w:rsid w:val="00406419"/>
    <w:rsid w:val="004075A0"/>
    <w:rsid w:val="0040777B"/>
    <w:rsid w:val="004078E1"/>
    <w:rsid w:val="00410D77"/>
    <w:rsid w:val="00412023"/>
    <w:rsid w:val="00412117"/>
    <w:rsid w:val="004126A9"/>
    <w:rsid w:val="00412971"/>
    <w:rsid w:val="004149EC"/>
    <w:rsid w:val="004150F4"/>
    <w:rsid w:val="00415937"/>
    <w:rsid w:val="00415AA5"/>
    <w:rsid w:val="00415ACD"/>
    <w:rsid w:val="00415BD0"/>
    <w:rsid w:val="0041728F"/>
    <w:rsid w:val="00417599"/>
    <w:rsid w:val="00417707"/>
    <w:rsid w:val="004201F0"/>
    <w:rsid w:val="0042115C"/>
    <w:rsid w:val="00421DF8"/>
    <w:rsid w:val="00422CB8"/>
    <w:rsid w:val="00424C31"/>
    <w:rsid w:val="00425100"/>
    <w:rsid w:val="004301F2"/>
    <w:rsid w:val="00430A58"/>
    <w:rsid w:val="00430DD5"/>
    <w:rsid w:val="00431A8B"/>
    <w:rsid w:val="004329B6"/>
    <w:rsid w:val="00432E73"/>
    <w:rsid w:val="0043332F"/>
    <w:rsid w:val="004338B0"/>
    <w:rsid w:val="00433A77"/>
    <w:rsid w:val="004347BE"/>
    <w:rsid w:val="00434E40"/>
    <w:rsid w:val="00435020"/>
    <w:rsid w:val="00440C4B"/>
    <w:rsid w:val="004422D7"/>
    <w:rsid w:val="00442824"/>
    <w:rsid w:val="00443E1B"/>
    <w:rsid w:val="004440FB"/>
    <w:rsid w:val="00444288"/>
    <w:rsid w:val="004477E0"/>
    <w:rsid w:val="004505A1"/>
    <w:rsid w:val="004506ED"/>
    <w:rsid w:val="004507DA"/>
    <w:rsid w:val="00451652"/>
    <w:rsid w:val="0045448E"/>
    <w:rsid w:val="004550E2"/>
    <w:rsid w:val="00457213"/>
    <w:rsid w:val="00460E9B"/>
    <w:rsid w:val="004612BD"/>
    <w:rsid w:val="00462D2A"/>
    <w:rsid w:val="004630C9"/>
    <w:rsid w:val="00464A56"/>
    <w:rsid w:val="004653CE"/>
    <w:rsid w:val="00465A83"/>
    <w:rsid w:val="00465CAC"/>
    <w:rsid w:val="0046638F"/>
    <w:rsid w:val="00466F5E"/>
    <w:rsid w:val="00467FE9"/>
    <w:rsid w:val="00471C19"/>
    <w:rsid w:val="004721BC"/>
    <w:rsid w:val="00472505"/>
    <w:rsid w:val="00472CE8"/>
    <w:rsid w:val="00473071"/>
    <w:rsid w:val="00473834"/>
    <w:rsid w:val="004747F6"/>
    <w:rsid w:val="004754EC"/>
    <w:rsid w:val="004762C0"/>
    <w:rsid w:val="00476E4D"/>
    <w:rsid w:val="00476F50"/>
    <w:rsid w:val="00476FAD"/>
    <w:rsid w:val="0047707C"/>
    <w:rsid w:val="00477BCF"/>
    <w:rsid w:val="004803A0"/>
    <w:rsid w:val="0048255E"/>
    <w:rsid w:val="004843A7"/>
    <w:rsid w:val="00491224"/>
    <w:rsid w:val="00491DC7"/>
    <w:rsid w:val="00492A31"/>
    <w:rsid w:val="00493C9F"/>
    <w:rsid w:val="004945C7"/>
    <w:rsid w:val="00494987"/>
    <w:rsid w:val="0049505C"/>
    <w:rsid w:val="0049605B"/>
    <w:rsid w:val="00496559"/>
    <w:rsid w:val="004976D0"/>
    <w:rsid w:val="00497A4C"/>
    <w:rsid w:val="00497CD9"/>
    <w:rsid w:val="004A045C"/>
    <w:rsid w:val="004A10C1"/>
    <w:rsid w:val="004A1D99"/>
    <w:rsid w:val="004A22A7"/>
    <w:rsid w:val="004A271E"/>
    <w:rsid w:val="004A2777"/>
    <w:rsid w:val="004A416B"/>
    <w:rsid w:val="004A5B54"/>
    <w:rsid w:val="004A6D76"/>
    <w:rsid w:val="004A735B"/>
    <w:rsid w:val="004A748A"/>
    <w:rsid w:val="004A7788"/>
    <w:rsid w:val="004B090F"/>
    <w:rsid w:val="004B15ED"/>
    <w:rsid w:val="004B18B1"/>
    <w:rsid w:val="004B2681"/>
    <w:rsid w:val="004B4457"/>
    <w:rsid w:val="004B7E82"/>
    <w:rsid w:val="004B7F6E"/>
    <w:rsid w:val="004C1D04"/>
    <w:rsid w:val="004C1E3E"/>
    <w:rsid w:val="004D07D3"/>
    <w:rsid w:val="004D138E"/>
    <w:rsid w:val="004D2D37"/>
    <w:rsid w:val="004D385A"/>
    <w:rsid w:val="004D3979"/>
    <w:rsid w:val="004D3D7A"/>
    <w:rsid w:val="004D49C9"/>
    <w:rsid w:val="004D63FF"/>
    <w:rsid w:val="004D6EE4"/>
    <w:rsid w:val="004D7D0C"/>
    <w:rsid w:val="004E15CF"/>
    <w:rsid w:val="004E1652"/>
    <w:rsid w:val="004E258C"/>
    <w:rsid w:val="004E29A6"/>
    <w:rsid w:val="004E3E20"/>
    <w:rsid w:val="004E455B"/>
    <w:rsid w:val="004E4EAB"/>
    <w:rsid w:val="004E5179"/>
    <w:rsid w:val="004E557D"/>
    <w:rsid w:val="004E5E17"/>
    <w:rsid w:val="004E6EE8"/>
    <w:rsid w:val="004E7486"/>
    <w:rsid w:val="004F03F0"/>
    <w:rsid w:val="004F11CE"/>
    <w:rsid w:val="004F1825"/>
    <w:rsid w:val="004F23CE"/>
    <w:rsid w:val="004F2BBD"/>
    <w:rsid w:val="004F2D71"/>
    <w:rsid w:val="004F3475"/>
    <w:rsid w:val="004F3750"/>
    <w:rsid w:val="004F48F7"/>
    <w:rsid w:val="004F4C4A"/>
    <w:rsid w:val="004F50D2"/>
    <w:rsid w:val="004F515F"/>
    <w:rsid w:val="004F586F"/>
    <w:rsid w:val="004F5F8A"/>
    <w:rsid w:val="004F630F"/>
    <w:rsid w:val="004F66B7"/>
    <w:rsid w:val="004F66B9"/>
    <w:rsid w:val="004F79C6"/>
    <w:rsid w:val="0050020D"/>
    <w:rsid w:val="005002C7"/>
    <w:rsid w:val="00500EF4"/>
    <w:rsid w:val="0050188C"/>
    <w:rsid w:val="005030C2"/>
    <w:rsid w:val="00503ABD"/>
    <w:rsid w:val="005042AD"/>
    <w:rsid w:val="00504FF8"/>
    <w:rsid w:val="0050543F"/>
    <w:rsid w:val="0050572F"/>
    <w:rsid w:val="00507453"/>
    <w:rsid w:val="0051083B"/>
    <w:rsid w:val="00512AB1"/>
    <w:rsid w:val="0051379E"/>
    <w:rsid w:val="00513E0C"/>
    <w:rsid w:val="00513F49"/>
    <w:rsid w:val="005144D6"/>
    <w:rsid w:val="005151F2"/>
    <w:rsid w:val="00515552"/>
    <w:rsid w:val="005155AB"/>
    <w:rsid w:val="00516313"/>
    <w:rsid w:val="005177AC"/>
    <w:rsid w:val="00521319"/>
    <w:rsid w:val="00521458"/>
    <w:rsid w:val="00521CC7"/>
    <w:rsid w:val="00522C2F"/>
    <w:rsid w:val="0052349B"/>
    <w:rsid w:val="00524887"/>
    <w:rsid w:val="00524A08"/>
    <w:rsid w:val="005251D5"/>
    <w:rsid w:val="00525D3A"/>
    <w:rsid w:val="00525D8F"/>
    <w:rsid w:val="00526F89"/>
    <w:rsid w:val="00527413"/>
    <w:rsid w:val="00527D37"/>
    <w:rsid w:val="00531131"/>
    <w:rsid w:val="0053287E"/>
    <w:rsid w:val="005329E6"/>
    <w:rsid w:val="00533021"/>
    <w:rsid w:val="00533CA5"/>
    <w:rsid w:val="0053442E"/>
    <w:rsid w:val="00534906"/>
    <w:rsid w:val="00534DC0"/>
    <w:rsid w:val="0053500A"/>
    <w:rsid w:val="00535190"/>
    <w:rsid w:val="00535854"/>
    <w:rsid w:val="00536DE8"/>
    <w:rsid w:val="005370AC"/>
    <w:rsid w:val="00537591"/>
    <w:rsid w:val="005420F9"/>
    <w:rsid w:val="005437EB"/>
    <w:rsid w:val="00545BDC"/>
    <w:rsid w:val="00545DED"/>
    <w:rsid w:val="0054630E"/>
    <w:rsid w:val="00547F44"/>
    <w:rsid w:val="00547F5D"/>
    <w:rsid w:val="005509CE"/>
    <w:rsid w:val="00551603"/>
    <w:rsid w:val="0055179F"/>
    <w:rsid w:val="00551C32"/>
    <w:rsid w:val="00552A36"/>
    <w:rsid w:val="005539F1"/>
    <w:rsid w:val="005563CB"/>
    <w:rsid w:val="005575BB"/>
    <w:rsid w:val="0056214D"/>
    <w:rsid w:val="0056305B"/>
    <w:rsid w:val="0056318B"/>
    <w:rsid w:val="0056434C"/>
    <w:rsid w:val="00564E1F"/>
    <w:rsid w:val="005652A3"/>
    <w:rsid w:val="0056672D"/>
    <w:rsid w:val="00566967"/>
    <w:rsid w:val="005700EE"/>
    <w:rsid w:val="00570A62"/>
    <w:rsid w:val="005714F0"/>
    <w:rsid w:val="00573A81"/>
    <w:rsid w:val="00575A40"/>
    <w:rsid w:val="00575C37"/>
    <w:rsid w:val="00575F26"/>
    <w:rsid w:val="005763BD"/>
    <w:rsid w:val="00576D31"/>
    <w:rsid w:val="0058062A"/>
    <w:rsid w:val="00581A1E"/>
    <w:rsid w:val="00583C9E"/>
    <w:rsid w:val="00583D1D"/>
    <w:rsid w:val="00585EA8"/>
    <w:rsid w:val="005860C7"/>
    <w:rsid w:val="00586903"/>
    <w:rsid w:val="00586AB3"/>
    <w:rsid w:val="005870DC"/>
    <w:rsid w:val="0059109D"/>
    <w:rsid w:val="00591540"/>
    <w:rsid w:val="00591BA9"/>
    <w:rsid w:val="0059330E"/>
    <w:rsid w:val="00596236"/>
    <w:rsid w:val="00596DC0"/>
    <w:rsid w:val="005A0F71"/>
    <w:rsid w:val="005A151C"/>
    <w:rsid w:val="005A1837"/>
    <w:rsid w:val="005A1AF2"/>
    <w:rsid w:val="005A291E"/>
    <w:rsid w:val="005A2B0F"/>
    <w:rsid w:val="005A2F15"/>
    <w:rsid w:val="005A33F7"/>
    <w:rsid w:val="005A3A2A"/>
    <w:rsid w:val="005A549D"/>
    <w:rsid w:val="005A5EDA"/>
    <w:rsid w:val="005A68A8"/>
    <w:rsid w:val="005A6C94"/>
    <w:rsid w:val="005A70BF"/>
    <w:rsid w:val="005A788E"/>
    <w:rsid w:val="005B016C"/>
    <w:rsid w:val="005B1217"/>
    <w:rsid w:val="005B2367"/>
    <w:rsid w:val="005B2FEC"/>
    <w:rsid w:val="005B5B87"/>
    <w:rsid w:val="005B5EF0"/>
    <w:rsid w:val="005B7E9C"/>
    <w:rsid w:val="005C045B"/>
    <w:rsid w:val="005C07C6"/>
    <w:rsid w:val="005C170B"/>
    <w:rsid w:val="005C19E5"/>
    <w:rsid w:val="005C2AE4"/>
    <w:rsid w:val="005C395F"/>
    <w:rsid w:val="005C404D"/>
    <w:rsid w:val="005C598D"/>
    <w:rsid w:val="005C5DD4"/>
    <w:rsid w:val="005C647A"/>
    <w:rsid w:val="005C65CA"/>
    <w:rsid w:val="005C683C"/>
    <w:rsid w:val="005C793A"/>
    <w:rsid w:val="005C7997"/>
    <w:rsid w:val="005C7A08"/>
    <w:rsid w:val="005D12AD"/>
    <w:rsid w:val="005D19B3"/>
    <w:rsid w:val="005D46D9"/>
    <w:rsid w:val="005D48DA"/>
    <w:rsid w:val="005D4EE2"/>
    <w:rsid w:val="005D58AD"/>
    <w:rsid w:val="005D5EB9"/>
    <w:rsid w:val="005D6D5A"/>
    <w:rsid w:val="005E1683"/>
    <w:rsid w:val="005E1AE4"/>
    <w:rsid w:val="005E1D8E"/>
    <w:rsid w:val="005E26B6"/>
    <w:rsid w:val="005E3246"/>
    <w:rsid w:val="005E39A4"/>
    <w:rsid w:val="005E4791"/>
    <w:rsid w:val="005E4CF1"/>
    <w:rsid w:val="005F2353"/>
    <w:rsid w:val="005F3BBA"/>
    <w:rsid w:val="005F3ED4"/>
    <w:rsid w:val="005F4AF2"/>
    <w:rsid w:val="005F56A7"/>
    <w:rsid w:val="005F5AC2"/>
    <w:rsid w:val="005F5D84"/>
    <w:rsid w:val="005F6488"/>
    <w:rsid w:val="005F6B87"/>
    <w:rsid w:val="005F76C0"/>
    <w:rsid w:val="006001B9"/>
    <w:rsid w:val="0060084F"/>
    <w:rsid w:val="0060097E"/>
    <w:rsid w:val="006019EB"/>
    <w:rsid w:val="006036A6"/>
    <w:rsid w:val="006038BE"/>
    <w:rsid w:val="00604068"/>
    <w:rsid w:val="00604923"/>
    <w:rsid w:val="00604C66"/>
    <w:rsid w:val="00604D89"/>
    <w:rsid w:val="006053BE"/>
    <w:rsid w:val="006061DD"/>
    <w:rsid w:val="00606676"/>
    <w:rsid w:val="006068C5"/>
    <w:rsid w:val="00607AA1"/>
    <w:rsid w:val="00607F95"/>
    <w:rsid w:val="00611CCB"/>
    <w:rsid w:val="006122F4"/>
    <w:rsid w:val="0061304A"/>
    <w:rsid w:val="00613BA3"/>
    <w:rsid w:val="00614305"/>
    <w:rsid w:val="00614B15"/>
    <w:rsid w:val="00616A97"/>
    <w:rsid w:val="00617C2B"/>
    <w:rsid w:val="006210DA"/>
    <w:rsid w:val="006223A5"/>
    <w:rsid w:val="00622DDD"/>
    <w:rsid w:val="00622FFE"/>
    <w:rsid w:val="006267AA"/>
    <w:rsid w:val="0063211F"/>
    <w:rsid w:val="00632209"/>
    <w:rsid w:val="006340C2"/>
    <w:rsid w:val="00634694"/>
    <w:rsid w:val="00635BB4"/>
    <w:rsid w:val="0063687B"/>
    <w:rsid w:val="00636B44"/>
    <w:rsid w:val="00636B56"/>
    <w:rsid w:val="00637629"/>
    <w:rsid w:val="0064035A"/>
    <w:rsid w:val="006410B8"/>
    <w:rsid w:val="00641B9A"/>
    <w:rsid w:val="00641D27"/>
    <w:rsid w:val="00641D2B"/>
    <w:rsid w:val="00641F74"/>
    <w:rsid w:val="00642AEF"/>
    <w:rsid w:val="00646B8D"/>
    <w:rsid w:val="006470CF"/>
    <w:rsid w:val="00647454"/>
    <w:rsid w:val="0064758E"/>
    <w:rsid w:val="0064786D"/>
    <w:rsid w:val="006501DD"/>
    <w:rsid w:val="00654884"/>
    <w:rsid w:val="00657980"/>
    <w:rsid w:val="00661447"/>
    <w:rsid w:val="00661C61"/>
    <w:rsid w:val="0066265F"/>
    <w:rsid w:val="00662D52"/>
    <w:rsid w:val="00662E30"/>
    <w:rsid w:val="00663907"/>
    <w:rsid w:val="00664808"/>
    <w:rsid w:val="00664C0C"/>
    <w:rsid w:val="0066529A"/>
    <w:rsid w:val="006665CE"/>
    <w:rsid w:val="00667621"/>
    <w:rsid w:val="00670C83"/>
    <w:rsid w:val="006718E1"/>
    <w:rsid w:val="00671B1A"/>
    <w:rsid w:val="006725EB"/>
    <w:rsid w:val="00677BB1"/>
    <w:rsid w:val="00677E17"/>
    <w:rsid w:val="00677E3C"/>
    <w:rsid w:val="006801C1"/>
    <w:rsid w:val="00683244"/>
    <w:rsid w:val="00683841"/>
    <w:rsid w:val="00683865"/>
    <w:rsid w:val="00683E24"/>
    <w:rsid w:val="00685DA9"/>
    <w:rsid w:val="00685FB4"/>
    <w:rsid w:val="00686CDC"/>
    <w:rsid w:val="00686EF8"/>
    <w:rsid w:val="00686F38"/>
    <w:rsid w:val="00687666"/>
    <w:rsid w:val="00687E7A"/>
    <w:rsid w:val="00691F1C"/>
    <w:rsid w:val="00691F5B"/>
    <w:rsid w:val="00692242"/>
    <w:rsid w:val="00692DAB"/>
    <w:rsid w:val="006934AE"/>
    <w:rsid w:val="0069365F"/>
    <w:rsid w:val="00694492"/>
    <w:rsid w:val="00696AEE"/>
    <w:rsid w:val="00697438"/>
    <w:rsid w:val="006976C2"/>
    <w:rsid w:val="00697A62"/>
    <w:rsid w:val="006A0AEC"/>
    <w:rsid w:val="006A158C"/>
    <w:rsid w:val="006A20B7"/>
    <w:rsid w:val="006A2188"/>
    <w:rsid w:val="006A2348"/>
    <w:rsid w:val="006A3DF4"/>
    <w:rsid w:val="006A42A4"/>
    <w:rsid w:val="006A46C0"/>
    <w:rsid w:val="006A6537"/>
    <w:rsid w:val="006A7707"/>
    <w:rsid w:val="006A7BE7"/>
    <w:rsid w:val="006A7E24"/>
    <w:rsid w:val="006B1435"/>
    <w:rsid w:val="006B16A4"/>
    <w:rsid w:val="006B30D6"/>
    <w:rsid w:val="006B6A77"/>
    <w:rsid w:val="006B7B47"/>
    <w:rsid w:val="006B7DE5"/>
    <w:rsid w:val="006C042D"/>
    <w:rsid w:val="006C0440"/>
    <w:rsid w:val="006C0948"/>
    <w:rsid w:val="006C14FB"/>
    <w:rsid w:val="006C2373"/>
    <w:rsid w:val="006C312F"/>
    <w:rsid w:val="006C3BAB"/>
    <w:rsid w:val="006C45F2"/>
    <w:rsid w:val="006C469D"/>
    <w:rsid w:val="006C55B3"/>
    <w:rsid w:val="006C596E"/>
    <w:rsid w:val="006C6872"/>
    <w:rsid w:val="006C6ABB"/>
    <w:rsid w:val="006C6C18"/>
    <w:rsid w:val="006C77EF"/>
    <w:rsid w:val="006C7A32"/>
    <w:rsid w:val="006C7A7D"/>
    <w:rsid w:val="006D0340"/>
    <w:rsid w:val="006D05CD"/>
    <w:rsid w:val="006D11CD"/>
    <w:rsid w:val="006D1307"/>
    <w:rsid w:val="006D15D8"/>
    <w:rsid w:val="006D2345"/>
    <w:rsid w:val="006D2D4A"/>
    <w:rsid w:val="006D6F1A"/>
    <w:rsid w:val="006D7820"/>
    <w:rsid w:val="006D7D61"/>
    <w:rsid w:val="006E023C"/>
    <w:rsid w:val="006E0991"/>
    <w:rsid w:val="006E1334"/>
    <w:rsid w:val="006E3A10"/>
    <w:rsid w:val="006E447A"/>
    <w:rsid w:val="006E4944"/>
    <w:rsid w:val="006E4DE5"/>
    <w:rsid w:val="006E7787"/>
    <w:rsid w:val="006E7CE4"/>
    <w:rsid w:val="006E7F11"/>
    <w:rsid w:val="006F031D"/>
    <w:rsid w:val="006F08AF"/>
    <w:rsid w:val="006F09E3"/>
    <w:rsid w:val="006F24E3"/>
    <w:rsid w:val="006F3F1E"/>
    <w:rsid w:val="006F4592"/>
    <w:rsid w:val="006F4C6D"/>
    <w:rsid w:val="006F5C8E"/>
    <w:rsid w:val="006F6837"/>
    <w:rsid w:val="006F6D4B"/>
    <w:rsid w:val="006F6F27"/>
    <w:rsid w:val="006F73EC"/>
    <w:rsid w:val="006F7556"/>
    <w:rsid w:val="00700029"/>
    <w:rsid w:val="00700576"/>
    <w:rsid w:val="007009AC"/>
    <w:rsid w:val="0070262D"/>
    <w:rsid w:val="00703E79"/>
    <w:rsid w:val="007049BA"/>
    <w:rsid w:val="0070616C"/>
    <w:rsid w:val="00706FF6"/>
    <w:rsid w:val="0070781F"/>
    <w:rsid w:val="00707986"/>
    <w:rsid w:val="007114A2"/>
    <w:rsid w:val="00711D25"/>
    <w:rsid w:val="007121C5"/>
    <w:rsid w:val="0071284A"/>
    <w:rsid w:val="00712F2F"/>
    <w:rsid w:val="0071426F"/>
    <w:rsid w:val="00715091"/>
    <w:rsid w:val="00716B31"/>
    <w:rsid w:val="007209A5"/>
    <w:rsid w:val="00720AF1"/>
    <w:rsid w:val="00720BC7"/>
    <w:rsid w:val="00721067"/>
    <w:rsid w:val="00721EC0"/>
    <w:rsid w:val="0072348D"/>
    <w:rsid w:val="00723543"/>
    <w:rsid w:val="00724CCA"/>
    <w:rsid w:val="00725097"/>
    <w:rsid w:val="00725BE6"/>
    <w:rsid w:val="00726089"/>
    <w:rsid w:val="00726E1F"/>
    <w:rsid w:val="00727F9A"/>
    <w:rsid w:val="00730FC0"/>
    <w:rsid w:val="00732D0D"/>
    <w:rsid w:val="007341EE"/>
    <w:rsid w:val="00734B90"/>
    <w:rsid w:val="007354FB"/>
    <w:rsid w:val="00735893"/>
    <w:rsid w:val="007360E7"/>
    <w:rsid w:val="007365BD"/>
    <w:rsid w:val="007367DF"/>
    <w:rsid w:val="00737738"/>
    <w:rsid w:val="0074008E"/>
    <w:rsid w:val="007407B0"/>
    <w:rsid w:val="00740CC8"/>
    <w:rsid w:val="007410E7"/>
    <w:rsid w:val="00742004"/>
    <w:rsid w:val="007420C0"/>
    <w:rsid w:val="00742691"/>
    <w:rsid w:val="00745619"/>
    <w:rsid w:val="0074603B"/>
    <w:rsid w:val="00747C09"/>
    <w:rsid w:val="0075024F"/>
    <w:rsid w:val="00750699"/>
    <w:rsid w:val="007512A2"/>
    <w:rsid w:val="007512D2"/>
    <w:rsid w:val="00751A81"/>
    <w:rsid w:val="00753028"/>
    <w:rsid w:val="00753364"/>
    <w:rsid w:val="0075339F"/>
    <w:rsid w:val="00753739"/>
    <w:rsid w:val="0075404F"/>
    <w:rsid w:val="007541E1"/>
    <w:rsid w:val="00755209"/>
    <w:rsid w:val="0075639E"/>
    <w:rsid w:val="0075694E"/>
    <w:rsid w:val="007603C0"/>
    <w:rsid w:val="00760E07"/>
    <w:rsid w:val="007611C2"/>
    <w:rsid w:val="00762C87"/>
    <w:rsid w:val="00762E5D"/>
    <w:rsid w:val="00763981"/>
    <w:rsid w:val="00763DD8"/>
    <w:rsid w:val="00764024"/>
    <w:rsid w:val="0076469C"/>
    <w:rsid w:val="0076488A"/>
    <w:rsid w:val="00765A2A"/>
    <w:rsid w:val="00770D49"/>
    <w:rsid w:val="00771682"/>
    <w:rsid w:val="00772E7E"/>
    <w:rsid w:val="0077432D"/>
    <w:rsid w:val="00774EE5"/>
    <w:rsid w:val="00775676"/>
    <w:rsid w:val="00775DD6"/>
    <w:rsid w:val="00776475"/>
    <w:rsid w:val="007778B6"/>
    <w:rsid w:val="00777D30"/>
    <w:rsid w:val="007805E0"/>
    <w:rsid w:val="00780BC2"/>
    <w:rsid w:val="007810F8"/>
    <w:rsid w:val="00781501"/>
    <w:rsid w:val="007815C4"/>
    <w:rsid w:val="00782B12"/>
    <w:rsid w:val="00785C0E"/>
    <w:rsid w:val="00786A8E"/>
    <w:rsid w:val="007907EE"/>
    <w:rsid w:val="007934A0"/>
    <w:rsid w:val="00793E52"/>
    <w:rsid w:val="0079490E"/>
    <w:rsid w:val="00794AB8"/>
    <w:rsid w:val="007954A1"/>
    <w:rsid w:val="0079666C"/>
    <w:rsid w:val="00797F61"/>
    <w:rsid w:val="007A30D2"/>
    <w:rsid w:val="007A3B94"/>
    <w:rsid w:val="007A5784"/>
    <w:rsid w:val="007A5901"/>
    <w:rsid w:val="007A7D0B"/>
    <w:rsid w:val="007B1F90"/>
    <w:rsid w:val="007B2C20"/>
    <w:rsid w:val="007B2D20"/>
    <w:rsid w:val="007B30A7"/>
    <w:rsid w:val="007B33AF"/>
    <w:rsid w:val="007B457B"/>
    <w:rsid w:val="007B4BB8"/>
    <w:rsid w:val="007B6401"/>
    <w:rsid w:val="007C095B"/>
    <w:rsid w:val="007C0C40"/>
    <w:rsid w:val="007C1243"/>
    <w:rsid w:val="007C1A77"/>
    <w:rsid w:val="007C21B4"/>
    <w:rsid w:val="007C43D9"/>
    <w:rsid w:val="007C43DB"/>
    <w:rsid w:val="007C4EB7"/>
    <w:rsid w:val="007C6CC9"/>
    <w:rsid w:val="007C72FF"/>
    <w:rsid w:val="007D0609"/>
    <w:rsid w:val="007D1DEA"/>
    <w:rsid w:val="007D1F91"/>
    <w:rsid w:val="007D265F"/>
    <w:rsid w:val="007D3382"/>
    <w:rsid w:val="007D4481"/>
    <w:rsid w:val="007D5145"/>
    <w:rsid w:val="007D52B8"/>
    <w:rsid w:val="007D55C6"/>
    <w:rsid w:val="007D55D9"/>
    <w:rsid w:val="007D674C"/>
    <w:rsid w:val="007E0817"/>
    <w:rsid w:val="007E09F6"/>
    <w:rsid w:val="007E0B7E"/>
    <w:rsid w:val="007E18AA"/>
    <w:rsid w:val="007E27C3"/>
    <w:rsid w:val="007E3417"/>
    <w:rsid w:val="007E438F"/>
    <w:rsid w:val="007E4B50"/>
    <w:rsid w:val="007E558C"/>
    <w:rsid w:val="007E5B6A"/>
    <w:rsid w:val="007E5EE2"/>
    <w:rsid w:val="007E5F29"/>
    <w:rsid w:val="007E68BF"/>
    <w:rsid w:val="007E7F17"/>
    <w:rsid w:val="007F04E2"/>
    <w:rsid w:val="007F1401"/>
    <w:rsid w:val="007F331D"/>
    <w:rsid w:val="007F4445"/>
    <w:rsid w:val="007F4480"/>
    <w:rsid w:val="007F7705"/>
    <w:rsid w:val="007F7AC1"/>
    <w:rsid w:val="007F7DC7"/>
    <w:rsid w:val="008018C4"/>
    <w:rsid w:val="00801EDD"/>
    <w:rsid w:val="00802CCE"/>
    <w:rsid w:val="008041D2"/>
    <w:rsid w:val="008044A9"/>
    <w:rsid w:val="00805DEF"/>
    <w:rsid w:val="00806027"/>
    <w:rsid w:val="00806110"/>
    <w:rsid w:val="00807666"/>
    <w:rsid w:val="00807B9A"/>
    <w:rsid w:val="00810469"/>
    <w:rsid w:val="00811CAB"/>
    <w:rsid w:val="00811F37"/>
    <w:rsid w:val="008121D1"/>
    <w:rsid w:val="00812EAC"/>
    <w:rsid w:val="0081317C"/>
    <w:rsid w:val="00814925"/>
    <w:rsid w:val="00815C9B"/>
    <w:rsid w:val="00815F7F"/>
    <w:rsid w:val="00816A4A"/>
    <w:rsid w:val="0081715A"/>
    <w:rsid w:val="008175B7"/>
    <w:rsid w:val="00817C4E"/>
    <w:rsid w:val="00817FAF"/>
    <w:rsid w:val="00820C7F"/>
    <w:rsid w:val="008216CE"/>
    <w:rsid w:val="008216DB"/>
    <w:rsid w:val="00821C76"/>
    <w:rsid w:val="00823501"/>
    <w:rsid w:val="008239E1"/>
    <w:rsid w:val="00826440"/>
    <w:rsid w:val="008268AD"/>
    <w:rsid w:val="0082691C"/>
    <w:rsid w:val="008278C8"/>
    <w:rsid w:val="00827A2B"/>
    <w:rsid w:val="00827AE0"/>
    <w:rsid w:val="00827F94"/>
    <w:rsid w:val="0083007D"/>
    <w:rsid w:val="00830F7A"/>
    <w:rsid w:val="00831300"/>
    <w:rsid w:val="00831CF8"/>
    <w:rsid w:val="008331E9"/>
    <w:rsid w:val="00833294"/>
    <w:rsid w:val="00833A5C"/>
    <w:rsid w:val="00834075"/>
    <w:rsid w:val="00835133"/>
    <w:rsid w:val="00836D40"/>
    <w:rsid w:val="008377D4"/>
    <w:rsid w:val="00837C79"/>
    <w:rsid w:val="00840D4E"/>
    <w:rsid w:val="00841E98"/>
    <w:rsid w:val="00844456"/>
    <w:rsid w:val="0084496B"/>
    <w:rsid w:val="00844BAC"/>
    <w:rsid w:val="00845FFD"/>
    <w:rsid w:val="00847645"/>
    <w:rsid w:val="008518C6"/>
    <w:rsid w:val="008525BE"/>
    <w:rsid w:val="008527B6"/>
    <w:rsid w:val="0085298D"/>
    <w:rsid w:val="00852C3F"/>
    <w:rsid w:val="008530CD"/>
    <w:rsid w:val="00853566"/>
    <w:rsid w:val="008539EA"/>
    <w:rsid w:val="0085478E"/>
    <w:rsid w:val="008547B4"/>
    <w:rsid w:val="008551D6"/>
    <w:rsid w:val="008552B3"/>
    <w:rsid w:val="00855ABB"/>
    <w:rsid w:val="00855CC6"/>
    <w:rsid w:val="008571F3"/>
    <w:rsid w:val="008606F4"/>
    <w:rsid w:val="0086074D"/>
    <w:rsid w:val="00860D79"/>
    <w:rsid w:val="0086132F"/>
    <w:rsid w:val="0086315E"/>
    <w:rsid w:val="008643BE"/>
    <w:rsid w:val="008653C7"/>
    <w:rsid w:val="00865437"/>
    <w:rsid w:val="00865B96"/>
    <w:rsid w:val="00867A29"/>
    <w:rsid w:val="00870725"/>
    <w:rsid w:val="00870875"/>
    <w:rsid w:val="00870CF5"/>
    <w:rsid w:val="008716C2"/>
    <w:rsid w:val="00871A59"/>
    <w:rsid w:val="0087217D"/>
    <w:rsid w:val="008723D8"/>
    <w:rsid w:val="00873255"/>
    <w:rsid w:val="008742C5"/>
    <w:rsid w:val="008756FD"/>
    <w:rsid w:val="008762FE"/>
    <w:rsid w:val="008767C5"/>
    <w:rsid w:val="0088073C"/>
    <w:rsid w:val="00881C6A"/>
    <w:rsid w:val="008821B5"/>
    <w:rsid w:val="00882B94"/>
    <w:rsid w:val="00882BE0"/>
    <w:rsid w:val="0088398A"/>
    <w:rsid w:val="00884993"/>
    <w:rsid w:val="00884A29"/>
    <w:rsid w:val="00884F60"/>
    <w:rsid w:val="00885DE6"/>
    <w:rsid w:val="00886390"/>
    <w:rsid w:val="008868BA"/>
    <w:rsid w:val="0088728A"/>
    <w:rsid w:val="008903F3"/>
    <w:rsid w:val="00890A88"/>
    <w:rsid w:val="00890F09"/>
    <w:rsid w:val="008946B6"/>
    <w:rsid w:val="00894FBE"/>
    <w:rsid w:val="0089507D"/>
    <w:rsid w:val="008958B0"/>
    <w:rsid w:val="0089609F"/>
    <w:rsid w:val="00896EC9"/>
    <w:rsid w:val="00897225"/>
    <w:rsid w:val="00897890"/>
    <w:rsid w:val="008A05BF"/>
    <w:rsid w:val="008A105E"/>
    <w:rsid w:val="008A167A"/>
    <w:rsid w:val="008A26EA"/>
    <w:rsid w:val="008A2C2A"/>
    <w:rsid w:val="008A2D38"/>
    <w:rsid w:val="008A4242"/>
    <w:rsid w:val="008A4417"/>
    <w:rsid w:val="008A4CD6"/>
    <w:rsid w:val="008A4D48"/>
    <w:rsid w:val="008A5020"/>
    <w:rsid w:val="008A5946"/>
    <w:rsid w:val="008A61FC"/>
    <w:rsid w:val="008A7571"/>
    <w:rsid w:val="008A7DDC"/>
    <w:rsid w:val="008B0A41"/>
    <w:rsid w:val="008B0BE6"/>
    <w:rsid w:val="008B18E0"/>
    <w:rsid w:val="008B2961"/>
    <w:rsid w:val="008B49F2"/>
    <w:rsid w:val="008B4FE5"/>
    <w:rsid w:val="008B6C09"/>
    <w:rsid w:val="008B6F23"/>
    <w:rsid w:val="008B7334"/>
    <w:rsid w:val="008B744C"/>
    <w:rsid w:val="008B7B0B"/>
    <w:rsid w:val="008B7F14"/>
    <w:rsid w:val="008C0E84"/>
    <w:rsid w:val="008C11A4"/>
    <w:rsid w:val="008C2256"/>
    <w:rsid w:val="008C2EE0"/>
    <w:rsid w:val="008C32D5"/>
    <w:rsid w:val="008C33D1"/>
    <w:rsid w:val="008C487D"/>
    <w:rsid w:val="008C4FF6"/>
    <w:rsid w:val="008C54A8"/>
    <w:rsid w:val="008C58CD"/>
    <w:rsid w:val="008C5D13"/>
    <w:rsid w:val="008C5E46"/>
    <w:rsid w:val="008C72E7"/>
    <w:rsid w:val="008C7B87"/>
    <w:rsid w:val="008D0392"/>
    <w:rsid w:val="008D071C"/>
    <w:rsid w:val="008D0DB6"/>
    <w:rsid w:val="008D0E46"/>
    <w:rsid w:val="008D2903"/>
    <w:rsid w:val="008D2CCD"/>
    <w:rsid w:val="008D3D20"/>
    <w:rsid w:val="008D416F"/>
    <w:rsid w:val="008D6711"/>
    <w:rsid w:val="008E382C"/>
    <w:rsid w:val="008E4935"/>
    <w:rsid w:val="008E4A99"/>
    <w:rsid w:val="008E51E3"/>
    <w:rsid w:val="008E5987"/>
    <w:rsid w:val="008E5B5F"/>
    <w:rsid w:val="008E5F65"/>
    <w:rsid w:val="008F03D1"/>
    <w:rsid w:val="008F0741"/>
    <w:rsid w:val="008F0F0F"/>
    <w:rsid w:val="008F1712"/>
    <w:rsid w:val="008F1FB1"/>
    <w:rsid w:val="008F35BE"/>
    <w:rsid w:val="008F37C0"/>
    <w:rsid w:val="008F4906"/>
    <w:rsid w:val="008F4A28"/>
    <w:rsid w:val="008F4EF4"/>
    <w:rsid w:val="008F5C7B"/>
    <w:rsid w:val="008F7A01"/>
    <w:rsid w:val="008F7EFC"/>
    <w:rsid w:val="009006EC"/>
    <w:rsid w:val="009028F3"/>
    <w:rsid w:val="00902F94"/>
    <w:rsid w:val="0090339C"/>
    <w:rsid w:val="00903E6B"/>
    <w:rsid w:val="00904548"/>
    <w:rsid w:val="00905087"/>
    <w:rsid w:val="00905146"/>
    <w:rsid w:val="009052B3"/>
    <w:rsid w:val="00905CE4"/>
    <w:rsid w:val="00906FA3"/>
    <w:rsid w:val="0091277F"/>
    <w:rsid w:val="00912DE5"/>
    <w:rsid w:val="0091319A"/>
    <w:rsid w:val="009139FF"/>
    <w:rsid w:val="00916C70"/>
    <w:rsid w:val="00916FDB"/>
    <w:rsid w:val="009173C7"/>
    <w:rsid w:val="009174B4"/>
    <w:rsid w:val="00917832"/>
    <w:rsid w:val="00917A9F"/>
    <w:rsid w:val="00920419"/>
    <w:rsid w:val="0092098C"/>
    <w:rsid w:val="00921B47"/>
    <w:rsid w:val="009238F1"/>
    <w:rsid w:val="00923DFA"/>
    <w:rsid w:val="009251C0"/>
    <w:rsid w:val="009253E5"/>
    <w:rsid w:val="00925812"/>
    <w:rsid w:val="00926636"/>
    <w:rsid w:val="009278A7"/>
    <w:rsid w:val="009279F4"/>
    <w:rsid w:val="0093020A"/>
    <w:rsid w:val="00931F4B"/>
    <w:rsid w:val="0093263F"/>
    <w:rsid w:val="00932DAA"/>
    <w:rsid w:val="00933565"/>
    <w:rsid w:val="00934545"/>
    <w:rsid w:val="009351B1"/>
    <w:rsid w:val="00935335"/>
    <w:rsid w:val="009369E3"/>
    <w:rsid w:val="00937505"/>
    <w:rsid w:val="009378AF"/>
    <w:rsid w:val="00940C2A"/>
    <w:rsid w:val="00941F94"/>
    <w:rsid w:val="00942381"/>
    <w:rsid w:val="00942B35"/>
    <w:rsid w:val="00942D4A"/>
    <w:rsid w:val="009436EE"/>
    <w:rsid w:val="00943775"/>
    <w:rsid w:val="009441B5"/>
    <w:rsid w:val="009458D4"/>
    <w:rsid w:val="00945DF3"/>
    <w:rsid w:val="00946A6D"/>
    <w:rsid w:val="0094785B"/>
    <w:rsid w:val="00947A14"/>
    <w:rsid w:val="00950F64"/>
    <w:rsid w:val="00952577"/>
    <w:rsid w:val="009525F6"/>
    <w:rsid w:val="009526E9"/>
    <w:rsid w:val="00953040"/>
    <w:rsid w:val="0095331B"/>
    <w:rsid w:val="0095392F"/>
    <w:rsid w:val="00953C4E"/>
    <w:rsid w:val="00955D6B"/>
    <w:rsid w:val="00956522"/>
    <w:rsid w:val="009571B9"/>
    <w:rsid w:val="00957F2F"/>
    <w:rsid w:val="009622ED"/>
    <w:rsid w:val="00962802"/>
    <w:rsid w:val="00962BF1"/>
    <w:rsid w:val="00962F0D"/>
    <w:rsid w:val="009630A4"/>
    <w:rsid w:val="0096376A"/>
    <w:rsid w:val="00964700"/>
    <w:rsid w:val="00971215"/>
    <w:rsid w:val="00973EA1"/>
    <w:rsid w:val="0097539A"/>
    <w:rsid w:val="0097556E"/>
    <w:rsid w:val="009757AD"/>
    <w:rsid w:val="009759DE"/>
    <w:rsid w:val="00975F46"/>
    <w:rsid w:val="00976721"/>
    <w:rsid w:val="009773F7"/>
    <w:rsid w:val="00977D3C"/>
    <w:rsid w:val="00977DCD"/>
    <w:rsid w:val="00977FE3"/>
    <w:rsid w:val="00980169"/>
    <w:rsid w:val="0098169D"/>
    <w:rsid w:val="00981DBE"/>
    <w:rsid w:val="00983CDC"/>
    <w:rsid w:val="00985AC1"/>
    <w:rsid w:val="00985C37"/>
    <w:rsid w:val="009860A2"/>
    <w:rsid w:val="00986EC5"/>
    <w:rsid w:val="00986F68"/>
    <w:rsid w:val="0098707E"/>
    <w:rsid w:val="009900FA"/>
    <w:rsid w:val="009908E2"/>
    <w:rsid w:val="00993475"/>
    <w:rsid w:val="009935C9"/>
    <w:rsid w:val="00994F27"/>
    <w:rsid w:val="00995B56"/>
    <w:rsid w:val="00996442"/>
    <w:rsid w:val="00996466"/>
    <w:rsid w:val="00996844"/>
    <w:rsid w:val="009A0328"/>
    <w:rsid w:val="009A043C"/>
    <w:rsid w:val="009A134A"/>
    <w:rsid w:val="009A2F05"/>
    <w:rsid w:val="009A446F"/>
    <w:rsid w:val="009A475D"/>
    <w:rsid w:val="009A4AE2"/>
    <w:rsid w:val="009A5149"/>
    <w:rsid w:val="009A5D37"/>
    <w:rsid w:val="009A79A0"/>
    <w:rsid w:val="009B22D6"/>
    <w:rsid w:val="009B27BC"/>
    <w:rsid w:val="009B3645"/>
    <w:rsid w:val="009B41FA"/>
    <w:rsid w:val="009B4B1F"/>
    <w:rsid w:val="009B55BF"/>
    <w:rsid w:val="009B56BC"/>
    <w:rsid w:val="009B5C54"/>
    <w:rsid w:val="009B5F56"/>
    <w:rsid w:val="009B6649"/>
    <w:rsid w:val="009B6C20"/>
    <w:rsid w:val="009B6E76"/>
    <w:rsid w:val="009B7769"/>
    <w:rsid w:val="009B7EE9"/>
    <w:rsid w:val="009C0005"/>
    <w:rsid w:val="009C0400"/>
    <w:rsid w:val="009C05E5"/>
    <w:rsid w:val="009C0773"/>
    <w:rsid w:val="009C3C26"/>
    <w:rsid w:val="009C411F"/>
    <w:rsid w:val="009C50F4"/>
    <w:rsid w:val="009C5A0F"/>
    <w:rsid w:val="009C6054"/>
    <w:rsid w:val="009C60FF"/>
    <w:rsid w:val="009C66CF"/>
    <w:rsid w:val="009D04C5"/>
    <w:rsid w:val="009D070B"/>
    <w:rsid w:val="009D1B8F"/>
    <w:rsid w:val="009D1F1C"/>
    <w:rsid w:val="009D268F"/>
    <w:rsid w:val="009D2C1F"/>
    <w:rsid w:val="009D2D87"/>
    <w:rsid w:val="009D3635"/>
    <w:rsid w:val="009D4D30"/>
    <w:rsid w:val="009D5CAB"/>
    <w:rsid w:val="009D714E"/>
    <w:rsid w:val="009D77AD"/>
    <w:rsid w:val="009E012C"/>
    <w:rsid w:val="009E15EA"/>
    <w:rsid w:val="009E2648"/>
    <w:rsid w:val="009E4972"/>
    <w:rsid w:val="009E5C79"/>
    <w:rsid w:val="009E5CD6"/>
    <w:rsid w:val="009E650A"/>
    <w:rsid w:val="009E6E10"/>
    <w:rsid w:val="009F08AA"/>
    <w:rsid w:val="009F0E95"/>
    <w:rsid w:val="009F2BB7"/>
    <w:rsid w:val="009F6C03"/>
    <w:rsid w:val="009F768D"/>
    <w:rsid w:val="009F797C"/>
    <w:rsid w:val="009F7E7D"/>
    <w:rsid w:val="00A01403"/>
    <w:rsid w:val="00A01D37"/>
    <w:rsid w:val="00A0370E"/>
    <w:rsid w:val="00A03868"/>
    <w:rsid w:val="00A040F0"/>
    <w:rsid w:val="00A04C20"/>
    <w:rsid w:val="00A07577"/>
    <w:rsid w:val="00A10D1F"/>
    <w:rsid w:val="00A11435"/>
    <w:rsid w:val="00A1216E"/>
    <w:rsid w:val="00A12AE1"/>
    <w:rsid w:val="00A13283"/>
    <w:rsid w:val="00A13615"/>
    <w:rsid w:val="00A142B7"/>
    <w:rsid w:val="00A14BDA"/>
    <w:rsid w:val="00A1515B"/>
    <w:rsid w:val="00A15BDD"/>
    <w:rsid w:val="00A15C04"/>
    <w:rsid w:val="00A160CE"/>
    <w:rsid w:val="00A1757D"/>
    <w:rsid w:val="00A17B9F"/>
    <w:rsid w:val="00A20C0E"/>
    <w:rsid w:val="00A227B7"/>
    <w:rsid w:val="00A230BD"/>
    <w:rsid w:val="00A23CEC"/>
    <w:rsid w:val="00A24320"/>
    <w:rsid w:val="00A26BD4"/>
    <w:rsid w:val="00A26E12"/>
    <w:rsid w:val="00A27321"/>
    <w:rsid w:val="00A301AB"/>
    <w:rsid w:val="00A30A70"/>
    <w:rsid w:val="00A32AE4"/>
    <w:rsid w:val="00A33D7C"/>
    <w:rsid w:val="00A34BD6"/>
    <w:rsid w:val="00A35BEB"/>
    <w:rsid w:val="00A3607E"/>
    <w:rsid w:val="00A361DE"/>
    <w:rsid w:val="00A36373"/>
    <w:rsid w:val="00A36CDD"/>
    <w:rsid w:val="00A36E81"/>
    <w:rsid w:val="00A3703B"/>
    <w:rsid w:val="00A37080"/>
    <w:rsid w:val="00A37846"/>
    <w:rsid w:val="00A37F30"/>
    <w:rsid w:val="00A4103C"/>
    <w:rsid w:val="00A41BDE"/>
    <w:rsid w:val="00A41C79"/>
    <w:rsid w:val="00A42A9C"/>
    <w:rsid w:val="00A42AA7"/>
    <w:rsid w:val="00A4307C"/>
    <w:rsid w:val="00A43A64"/>
    <w:rsid w:val="00A51626"/>
    <w:rsid w:val="00A5162A"/>
    <w:rsid w:val="00A51CEA"/>
    <w:rsid w:val="00A52C56"/>
    <w:rsid w:val="00A52CDF"/>
    <w:rsid w:val="00A534CB"/>
    <w:rsid w:val="00A54698"/>
    <w:rsid w:val="00A56493"/>
    <w:rsid w:val="00A5680C"/>
    <w:rsid w:val="00A57587"/>
    <w:rsid w:val="00A57759"/>
    <w:rsid w:val="00A57E92"/>
    <w:rsid w:val="00A6029F"/>
    <w:rsid w:val="00A62CFD"/>
    <w:rsid w:val="00A633B3"/>
    <w:rsid w:val="00A64510"/>
    <w:rsid w:val="00A6611A"/>
    <w:rsid w:val="00A66472"/>
    <w:rsid w:val="00A66FA0"/>
    <w:rsid w:val="00A673A3"/>
    <w:rsid w:val="00A70D51"/>
    <w:rsid w:val="00A70FE1"/>
    <w:rsid w:val="00A711B6"/>
    <w:rsid w:val="00A722BA"/>
    <w:rsid w:val="00A72726"/>
    <w:rsid w:val="00A72A2F"/>
    <w:rsid w:val="00A72B05"/>
    <w:rsid w:val="00A76DB0"/>
    <w:rsid w:val="00A80A7B"/>
    <w:rsid w:val="00A81519"/>
    <w:rsid w:val="00A81832"/>
    <w:rsid w:val="00A84FFE"/>
    <w:rsid w:val="00A85755"/>
    <w:rsid w:val="00A86840"/>
    <w:rsid w:val="00A86869"/>
    <w:rsid w:val="00A86EA7"/>
    <w:rsid w:val="00A870CF"/>
    <w:rsid w:val="00A87B62"/>
    <w:rsid w:val="00A90446"/>
    <w:rsid w:val="00A90A94"/>
    <w:rsid w:val="00A91AF7"/>
    <w:rsid w:val="00A92840"/>
    <w:rsid w:val="00A930ED"/>
    <w:rsid w:val="00A94AAC"/>
    <w:rsid w:val="00A94D32"/>
    <w:rsid w:val="00A94E4C"/>
    <w:rsid w:val="00A94F82"/>
    <w:rsid w:val="00A95A64"/>
    <w:rsid w:val="00A962A2"/>
    <w:rsid w:val="00A9680F"/>
    <w:rsid w:val="00A96E7A"/>
    <w:rsid w:val="00A97008"/>
    <w:rsid w:val="00AA0120"/>
    <w:rsid w:val="00AA05AE"/>
    <w:rsid w:val="00AA12E9"/>
    <w:rsid w:val="00AA46A5"/>
    <w:rsid w:val="00AA7286"/>
    <w:rsid w:val="00AA743C"/>
    <w:rsid w:val="00AA74C2"/>
    <w:rsid w:val="00AA77CC"/>
    <w:rsid w:val="00AB0404"/>
    <w:rsid w:val="00AB0C3D"/>
    <w:rsid w:val="00AB2C8F"/>
    <w:rsid w:val="00AB2FE7"/>
    <w:rsid w:val="00AB40EA"/>
    <w:rsid w:val="00AB4509"/>
    <w:rsid w:val="00AB4A77"/>
    <w:rsid w:val="00AB665F"/>
    <w:rsid w:val="00AB6D24"/>
    <w:rsid w:val="00AB6D9E"/>
    <w:rsid w:val="00AB780A"/>
    <w:rsid w:val="00AB7825"/>
    <w:rsid w:val="00AC0E8C"/>
    <w:rsid w:val="00AC12A4"/>
    <w:rsid w:val="00AC12AD"/>
    <w:rsid w:val="00AC18D9"/>
    <w:rsid w:val="00AC1BD8"/>
    <w:rsid w:val="00AC27BE"/>
    <w:rsid w:val="00AC336B"/>
    <w:rsid w:val="00AC5C01"/>
    <w:rsid w:val="00AD0B0C"/>
    <w:rsid w:val="00AD0CA0"/>
    <w:rsid w:val="00AD0F3E"/>
    <w:rsid w:val="00AD1347"/>
    <w:rsid w:val="00AD18F3"/>
    <w:rsid w:val="00AD1DD6"/>
    <w:rsid w:val="00AD1EFC"/>
    <w:rsid w:val="00AD1F3E"/>
    <w:rsid w:val="00AD3EF4"/>
    <w:rsid w:val="00AD62FA"/>
    <w:rsid w:val="00AD6C99"/>
    <w:rsid w:val="00AD7838"/>
    <w:rsid w:val="00AD798C"/>
    <w:rsid w:val="00AE2805"/>
    <w:rsid w:val="00AE35D5"/>
    <w:rsid w:val="00AE381A"/>
    <w:rsid w:val="00AE3E01"/>
    <w:rsid w:val="00AE4503"/>
    <w:rsid w:val="00AE4F9C"/>
    <w:rsid w:val="00AE5B9A"/>
    <w:rsid w:val="00AE62CB"/>
    <w:rsid w:val="00AE72A9"/>
    <w:rsid w:val="00AE75A2"/>
    <w:rsid w:val="00AE7915"/>
    <w:rsid w:val="00AE7A99"/>
    <w:rsid w:val="00AF04AF"/>
    <w:rsid w:val="00AF172D"/>
    <w:rsid w:val="00AF26EE"/>
    <w:rsid w:val="00AF2A6A"/>
    <w:rsid w:val="00AF2F33"/>
    <w:rsid w:val="00AF30AC"/>
    <w:rsid w:val="00AF3DF4"/>
    <w:rsid w:val="00AF3F0F"/>
    <w:rsid w:val="00AF44A3"/>
    <w:rsid w:val="00AF4F6F"/>
    <w:rsid w:val="00AF5C71"/>
    <w:rsid w:val="00AF5E6A"/>
    <w:rsid w:val="00AF5F6A"/>
    <w:rsid w:val="00AF647A"/>
    <w:rsid w:val="00AF7DC6"/>
    <w:rsid w:val="00B0113B"/>
    <w:rsid w:val="00B01955"/>
    <w:rsid w:val="00B02117"/>
    <w:rsid w:val="00B029FA"/>
    <w:rsid w:val="00B032D5"/>
    <w:rsid w:val="00B0346E"/>
    <w:rsid w:val="00B03E61"/>
    <w:rsid w:val="00B050F5"/>
    <w:rsid w:val="00B05D8A"/>
    <w:rsid w:val="00B06638"/>
    <w:rsid w:val="00B07406"/>
    <w:rsid w:val="00B0768B"/>
    <w:rsid w:val="00B10F07"/>
    <w:rsid w:val="00B11537"/>
    <w:rsid w:val="00B12404"/>
    <w:rsid w:val="00B12DC1"/>
    <w:rsid w:val="00B13046"/>
    <w:rsid w:val="00B13477"/>
    <w:rsid w:val="00B142CF"/>
    <w:rsid w:val="00B14DE4"/>
    <w:rsid w:val="00B16AE0"/>
    <w:rsid w:val="00B1746B"/>
    <w:rsid w:val="00B17645"/>
    <w:rsid w:val="00B17E0D"/>
    <w:rsid w:val="00B2092A"/>
    <w:rsid w:val="00B20C5A"/>
    <w:rsid w:val="00B22D69"/>
    <w:rsid w:val="00B23313"/>
    <w:rsid w:val="00B23799"/>
    <w:rsid w:val="00B24DCA"/>
    <w:rsid w:val="00B25ABA"/>
    <w:rsid w:val="00B25BE2"/>
    <w:rsid w:val="00B25E7F"/>
    <w:rsid w:val="00B267AA"/>
    <w:rsid w:val="00B26E9B"/>
    <w:rsid w:val="00B27767"/>
    <w:rsid w:val="00B278AB"/>
    <w:rsid w:val="00B31AEC"/>
    <w:rsid w:val="00B31ED7"/>
    <w:rsid w:val="00B32850"/>
    <w:rsid w:val="00B341D9"/>
    <w:rsid w:val="00B3516A"/>
    <w:rsid w:val="00B36B25"/>
    <w:rsid w:val="00B37B66"/>
    <w:rsid w:val="00B410DE"/>
    <w:rsid w:val="00B41A88"/>
    <w:rsid w:val="00B44CEE"/>
    <w:rsid w:val="00B459AB"/>
    <w:rsid w:val="00B51391"/>
    <w:rsid w:val="00B55385"/>
    <w:rsid w:val="00B56F1A"/>
    <w:rsid w:val="00B57005"/>
    <w:rsid w:val="00B60486"/>
    <w:rsid w:val="00B60908"/>
    <w:rsid w:val="00B60DD8"/>
    <w:rsid w:val="00B618E2"/>
    <w:rsid w:val="00B620D8"/>
    <w:rsid w:val="00B62E71"/>
    <w:rsid w:val="00B635F7"/>
    <w:rsid w:val="00B636A9"/>
    <w:rsid w:val="00B637D0"/>
    <w:rsid w:val="00B64932"/>
    <w:rsid w:val="00B64AB7"/>
    <w:rsid w:val="00B65017"/>
    <w:rsid w:val="00B6640F"/>
    <w:rsid w:val="00B70534"/>
    <w:rsid w:val="00B708C1"/>
    <w:rsid w:val="00B71D8F"/>
    <w:rsid w:val="00B73A18"/>
    <w:rsid w:val="00B7453F"/>
    <w:rsid w:val="00B7707A"/>
    <w:rsid w:val="00B7745D"/>
    <w:rsid w:val="00B77841"/>
    <w:rsid w:val="00B77D37"/>
    <w:rsid w:val="00B810E0"/>
    <w:rsid w:val="00B81DD9"/>
    <w:rsid w:val="00B81E3A"/>
    <w:rsid w:val="00B83AA1"/>
    <w:rsid w:val="00B83F35"/>
    <w:rsid w:val="00B8454D"/>
    <w:rsid w:val="00B874A2"/>
    <w:rsid w:val="00B87DE2"/>
    <w:rsid w:val="00B915AB"/>
    <w:rsid w:val="00B9277D"/>
    <w:rsid w:val="00B92C7E"/>
    <w:rsid w:val="00B937C5"/>
    <w:rsid w:val="00B94900"/>
    <w:rsid w:val="00B959AF"/>
    <w:rsid w:val="00B9695A"/>
    <w:rsid w:val="00B9745F"/>
    <w:rsid w:val="00BA02B8"/>
    <w:rsid w:val="00BA222A"/>
    <w:rsid w:val="00BA2F05"/>
    <w:rsid w:val="00BA3C1A"/>
    <w:rsid w:val="00BA400C"/>
    <w:rsid w:val="00BA49E2"/>
    <w:rsid w:val="00BA4C59"/>
    <w:rsid w:val="00BA569A"/>
    <w:rsid w:val="00BB0444"/>
    <w:rsid w:val="00BB308C"/>
    <w:rsid w:val="00BB38E1"/>
    <w:rsid w:val="00BB3C28"/>
    <w:rsid w:val="00BB3F35"/>
    <w:rsid w:val="00BB404F"/>
    <w:rsid w:val="00BB4182"/>
    <w:rsid w:val="00BB6037"/>
    <w:rsid w:val="00BB6F53"/>
    <w:rsid w:val="00BC01C8"/>
    <w:rsid w:val="00BC0B03"/>
    <w:rsid w:val="00BC134E"/>
    <w:rsid w:val="00BC25AE"/>
    <w:rsid w:val="00BC3ED8"/>
    <w:rsid w:val="00BC6501"/>
    <w:rsid w:val="00BD015C"/>
    <w:rsid w:val="00BD03D7"/>
    <w:rsid w:val="00BD0F20"/>
    <w:rsid w:val="00BD1013"/>
    <w:rsid w:val="00BD1BE1"/>
    <w:rsid w:val="00BD2964"/>
    <w:rsid w:val="00BD2DBC"/>
    <w:rsid w:val="00BD3400"/>
    <w:rsid w:val="00BD3B6A"/>
    <w:rsid w:val="00BD5BDD"/>
    <w:rsid w:val="00BD606F"/>
    <w:rsid w:val="00BD62A3"/>
    <w:rsid w:val="00BD6B06"/>
    <w:rsid w:val="00BD6B6A"/>
    <w:rsid w:val="00BD6EBA"/>
    <w:rsid w:val="00BE03E8"/>
    <w:rsid w:val="00BE0EE3"/>
    <w:rsid w:val="00BE11D9"/>
    <w:rsid w:val="00BE1238"/>
    <w:rsid w:val="00BE29E6"/>
    <w:rsid w:val="00BE40F4"/>
    <w:rsid w:val="00BE456F"/>
    <w:rsid w:val="00BE518D"/>
    <w:rsid w:val="00BE5434"/>
    <w:rsid w:val="00BE5939"/>
    <w:rsid w:val="00BE6396"/>
    <w:rsid w:val="00BE7B40"/>
    <w:rsid w:val="00BF1D16"/>
    <w:rsid w:val="00BF274B"/>
    <w:rsid w:val="00BF31F8"/>
    <w:rsid w:val="00BF544A"/>
    <w:rsid w:val="00BF5FEB"/>
    <w:rsid w:val="00BF61CB"/>
    <w:rsid w:val="00BF7FAA"/>
    <w:rsid w:val="00C0008A"/>
    <w:rsid w:val="00C0012C"/>
    <w:rsid w:val="00C0027B"/>
    <w:rsid w:val="00C009ED"/>
    <w:rsid w:val="00C01302"/>
    <w:rsid w:val="00C016CF"/>
    <w:rsid w:val="00C019AE"/>
    <w:rsid w:val="00C033BC"/>
    <w:rsid w:val="00C05039"/>
    <w:rsid w:val="00C05675"/>
    <w:rsid w:val="00C06E65"/>
    <w:rsid w:val="00C07EF7"/>
    <w:rsid w:val="00C128A4"/>
    <w:rsid w:val="00C133E6"/>
    <w:rsid w:val="00C13D4A"/>
    <w:rsid w:val="00C13DDD"/>
    <w:rsid w:val="00C14E25"/>
    <w:rsid w:val="00C153DB"/>
    <w:rsid w:val="00C15A01"/>
    <w:rsid w:val="00C15EF1"/>
    <w:rsid w:val="00C1679B"/>
    <w:rsid w:val="00C1696B"/>
    <w:rsid w:val="00C2014D"/>
    <w:rsid w:val="00C20B15"/>
    <w:rsid w:val="00C22281"/>
    <w:rsid w:val="00C22C0A"/>
    <w:rsid w:val="00C24802"/>
    <w:rsid w:val="00C2623B"/>
    <w:rsid w:val="00C263AF"/>
    <w:rsid w:val="00C263BD"/>
    <w:rsid w:val="00C32CC6"/>
    <w:rsid w:val="00C34E0C"/>
    <w:rsid w:val="00C3510F"/>
    <w:rsid w:val="00C35657"/>
    <w:rsid w:val="00C36977"/>
    <w:rsid w:val="00C371AB"/>
    <w:rsid w:val="00C40F80"/>
    <w:rsid w:val="00C42718"/>
    <w:rsid w:val="00C42E9F"/>
    <w:rsid w:val="00C43040"/>
    <w:rsid w:val="00C43B9E"/>
    <w:rsid w:val="00C451CA"/>
    <w:rsid w:val="00C464A9"/>
    <w:rsid w:val="00C472C8"/>
    <w:rsid w:val="00C474C0"/>
    <w:rsid w:val="00C47EEC"/>
    <w:rsid w:val="00C5088B"/>
    <w:rsid w:val="00C526B3"/>
    <w:rsid w:val="00C52B7C"/>
    <w:rsid w:val="00C55338"/>
    <w:rsid w:val="00C576FC"/>
    <w:rsid w:val="00C57FE1"/>
    <w:rsid w:val="00C61D68"/>
    <w:rsid w:val="00C61F53"/>
    <w:rsid w:val="00C64423"/>
    <w:rsid w:val="00C6497F"/>
    <w:rsid w:val="00C64A39"/>
    <w:rsid w:val="00C651EA"/>
    <w:rsid w:val="00C65E57"/>
    <w:rsid w:val="00C661B3"/>
    <w:rsid w:val="00C66395"/>
    <w:rsid w:val="00C663C3"/>
    <w:rsid w:val="00C70001"/>
    <w:rsid w:val="00C70838"/>
    <w:rsid w:val="00C71049"/>
    <w:rsid w:val="00C71A38"/>
    <w:rsid w:val="00C72B1E"/>
    <w:rsid w:val="00C75F64"/>
    <w:rsid w:val="00C76327"/>
    <w:rsid w:val="00C76765"/>
    <w:rsid w:val="00C76A93"/>
    <w:rsid w:val="00C76D44"/>
    <w:rsid w:val="00C80E80"/>
    <w:rsid w:val="00C812EC"/>
    <w:rsid w:val="00C81E81"/>
    <w:rsid w:val="00C83104"/>
    <w:rsid w:val="00C83440"/>
    <w:rsid w:val="00C861DB"/>
    <w:rsid w:val="00C87993"/>
    <w:rsid w:val="00C87EB0"/>
    <w:rsid w:val="00C915D0"/>
    <w:rsid w:val="00C91675"/>
    <w:rsid w:val="00C91F4E"/>
    <w:rsid w:val="00C92514"/>
    <w:rsid w:val="00C92A72"/>
    <w:rsid w:val="00C92B63"/>
    <w:rsid w:val="00C9371D"/>
    <w:rsid w:val="00C939C4"/>
    <w:rsid w:val="00C95229"/>
    <w:rsid w:val="00C9533F"/>
    <w:rsid w:val="00C96392"/>
    <w:rsid w:val="00C9670E"/>
    <w:rsid w:val="00CA1E91"/>
    <w:rsid w:val="00CA1F99"/>
    <w:rsid w:val="00CA38ED"/>
    <w:rsid w:val="00CA3AC2"/>
    <w:rsid w:val="00CA43E1"/>
    <w:rsid w:val="00CA4570"/>
    <w:rsid w:val="00CA4E84"/>
    <w:rsid w:val="00CA54B9"/>
    <w:rsid w:val="00CA5536"/>
    <w:rsid w:val="00CB0BE9"/>
    <w:rsid w:val="00CB1AE3"/>
    <w:rsid w:val="00CB2519"/>
    <w:rsid w:val="00CB3DBE"/>
    <w:rsid w:val="00CB713C"/>
    <w:rsid w:val="00CC0619"/>
    <w:rsid w:val="00CC0A3C"/>
    <w:rsid w:val="00CC0AD3"/>
    <w:rsid w:val="00CC13D1"/>
    <w:rsid w:val="00CC13FB"/>
    <w:rsid w:val="00CC3C8E"/>
    <w:rsid w:val="00CC3F8E"/>
    <w:rsid w:val="00CC4620"/>
    <w:rsid w:val="00CC6C09"/>
    <w:rsid w:val="00CD0345"/>
    <w:rsid w:val="00CD0E93"/>
    <w:rsid w:val="00CD14B9"/>
    <w:rsid w:val="00CD1975"/>
    <w:rsid w:val="00CD198D"/>
    <w:rsid w:val="00CD35CA"/>
    <w:rsid w:val="00CD4EB1"/>
    <w:rsid w:val="00CD501F"/>
    <w:rsid w:val="00CD599C"/>
    <w:rsid w:val="00CD7FEA"/>
    <w:rsid w:val="00CE00EB"/>
    <w:rsid w:val="00CE2B0E"/>
    <w:rsid w:val="00CE6F10"/>
    <w:rsid w:val="00CE7293"/>
    <w:rsid w:val="00CF060F"/>
    <w:rsid w:val="00CF0654"/>
    <w:rsid w:val="00CF0C84"/>
    <w:rsid w:val="00CF18E7"/>
    <w:rsid w:val="00CF2606"/>
    <w:rsid w:val="00CF3173"/>
    <w:rsid w:val="00CF32B4"/>
    <w:rsid w:val="00CF40CE"/>
    <w:rsid w:val="00CF5F2E"/>
    <w:rsid w:val="00CF68A2"/>
    <w:rsid w:val="00CF70AC"/>
    <w:rsid w:val="00CF71BF"/>
    <w:rsid w:val="00D013F7"/>
    <w:rsid w:val="00D02B8A"/>
    <w:rsid w:val="00D0458E"/>
    <w:rsid w:val="00D04AB3"/>
    <w:rsid w:val="00D0579C"/>
    <w:rsid w:val="00D05C2E"/>
    <w:rsid w:val="00D070D3"/>
    <w:rsid w:val="00D079AA"/>
    <w:rsid w:val="00D07C50"/>
    <w:rsid w:val="00D112F5"/>
    <w:rsid w:val="00D11B79"/>
    <w:rsid w:val="00D12B77"/>
    <w:rsid w:val="00D1391A"/>
    <w:rsid w:val="00D146B5"/>
    <w:rsid w:val="00D14B44"/>
    <w:rsid w:val="00D14BB8"/>
    <w:rsid w:val="00D20643"/>
    <w:rsid w:val="00D21135"/>
    <w:rsid w:val="00D21276"/>
    <w:rsid w:val="00D21DC4"/>
    <w:rsid w:val="00D2216E"/>
    <w:rsid w:val="00D231E9"/>
    <w:rsid w:val="00D2400A"/>
    <w:rsid w:val="00D24800"/>
    <w:rsid w:val="00D2483C"/>
    <w:rsid w:val="00D252B7"/>
    <w:rsid w:val="00D26F07"/>
    <w:rsid w:val="00D2710D"/>
    <w:rsid w:val="00D2727D"/>
    <w:rsid w:val="00D27C02"/>
    <w:rsid w:val="00D302E3"/>
    <w:rsid w:val="00D30C6A"/>
    <w:rsid w:val="00D31404"/>
    <w:rsid w:val="00D3287B"/>
    <w:rsid w:val="00D32B67"/>
    <w:rsid w:val="00D3405D"/>
    <w:rsid w:val="00D343F9"/>
    <w:rsid w:val="00D3764A"/>
    <w:rsid w:val="00D408DA"/>
    <w:rsid w:val="00D414A9"/>
    <w:rsid w:val="00D416B6"/>
    <w:rsid w:val="00D41DC6"/>
    <w:rsid w:val="00D42B46"/>
    <w:rsid w:val="00D43F39"/>
    <w:rsid w:val="00D46725"/>
    <w:rsid w:val="00D468A5"/>
    <w:rsid w:val="00D47595"/>
    <w:rsid w:val="00D511BF"/>
    <w:rsid w:val="00D51D05"/>
    <w:rsid w:val="00D53674"/>
    <w:rsid w:val="00D54308"/>
    <w:rsid w:val="00D547F0"/>
    <w:rsid w:val="00D54BD4"/>
    <w:rsid w:val="00D55377"/>
    <w:rsid w:val="00D560A9"/>
    <w:rsid w:val="00D56FA9"/>
    <w:rsid w:val="00D5718D"/>
    <w:rsid w:val="00D61C13"/>
    <w:rsid w:val="00D62180"/>
    <w:rsid w:val="00D64FFD"/>
    <w:rsid w:val="00D6505A"/>
    <w:rsid w:val="00D652FD"/>
    <w:rsid w:val="00D65602"/>
    <w:rsid w:val="00D66149"/>
    <w:rsid w:val="00D67004"/>
    <w:rsid w:val="00D67235"/>
    <w:rsid w:val="00D70A32"/>
    <w:rsid w:val="00D71551"/>
    <w:rsid w:val="00D71A78"/>
    <w:rsid w:val="00D72127"/>
    <w:rsid w:val="00D756BB"/>
    <w:rsid w:val="00D761E1"/>
    <w:rsid w:val="00D7654E"/>
    <w:rsid w:val="00D76E62"/>
    <w:rsid w:val="00D771D4"/>
    <w:rsid w:val="00D77702"/>
    <w:rsid w:val="00D801DA"/>
    <w:rsid w:val="00D81034"/>
    <w:rsid w:val="00D8325D"/>
    <w:rsid w:val="00D8467E"/>
    <w:rsid w:val="00D84F2F"/>
    <w:rsid w:val="00D86451"/>
    <w:rsid w:val="00D8652D"/>
    <w:rsid w:val="00D86926"/>
    <w:rsid w:val="00D86B42"/>
    <w:rsid w:val="00D90658"/>
    <w:rsid w:val="00D90674"/>
    <w:rsid w:val="00D90C9F"/>
    <w:rsid w:val="00D9146C"/>
    <w:rsid w:val="00D914D1"/>
    <w:rsid w:val="00D9275E"/>
    <w:rsid w:val="00D92BE2"/>
    <w:rsid w:val="00D94896"/>
    <w:rsid w:val="00D96D13"/>
    <w:rsid w:val="00D9717C"/>
    <w:rsid w:val="00D97A9D"/>
    <w:rsid w:val="00D97A9F"/>
    <w:rsid w:val="00DA0334"/>
    <w:rsid w:val="00DA05A7"/>
    <w:rsid w:val="00DA0BD3"/>
    <w:rsid w:val="00DA2704"/>
    <w:rsid w:val="00DA338F"/>
    <w:rsid w:val="00DA412C"/>
    <w:rsid w:val="00DA4345"/>
    <w:rsid w:val="00DA49CF"/>
    <w:rsid w:val="00DA6A4B"/>
    <w:rsid w:val="00DA76E0"/>
    <w:rsid w:val="00DB0CEE"/>
    <w:rsid w:val="00DB1298"/>
    <w:rsid w:val="00DB1EE6"/>
    <w:rsid w:val="00DB29B6"/>
    <w:rsid w:val="00DB2D36"/>
    <w:rsid w:val="00DB377D"/>
    <w:rsid w:val="00DB4402"/>
    <w:rsid w:val="00DB4499"/>
    <w:rsid w:val="00DB4990"/>
    <w:rsid w:val="00DB5BE1"/>
    <w:rsid w:val="00DB5CF0"/>
    <w:rsid w:val="00DB6D6B"/>
    <w:rsid w:val="00DC0EA6"/>
    <w:rsid w:val="00DC17A6"/>
    <w:rsid w:val="00DC1C8D"/>
    <w:rsid w:val="00DC220E"/>
    <w:rsid w:val="00DC31E4"/>
    <w:rsid w:val="00DC4678"/>
    <w:rsid w:val="00DC47CA"/>
    <w:rsid w:val="00DC5BD8"/>
    <w:rsid w:val="00DD040B"/>
    <w:rsid w:val="00DD3797"/>
    <w:rsid w:val="00DD379D"/>
    <w:rsid w:val="00DD3836"/>
    <w:rsid w:val="00DD4F4D"/>
    <w:rsid w:val="00DD5A91"/>
    <w:rsid w:val="00DD5CF4"/>
    <w:rsid w:val="00DD642E"/>
    <w:rsid w:val="00DD705B"/>
    <w:rsid w:val="00DD7164"/>
    <w:rsid w:val="00DD7FB2"/>
    <w:rsid w:val="00DE0795"/>
    <w:rsid w:val="00DE24EC"/>
    <w:rsid w:val="00DE34DE"/>
    <w:rsid w:val="00DE35FE"/>
    <w:rsid w:val="00DE37CE"/>
    <w:rsid w:val="00DE550C"/>
    <w:rsid w:val="00DE5D19"/>
    <w:rsid w:val="00DE61BF"/>
    <w:rsid w:val="00DE6553"/>
    <w:rsid w:val="00DE76AE"/>
    <w:rsid w:val="00DF03E7"/>
    <w:rsid w:val="00DF0544"/>
    <w:rsid w:val="00DF0B8F"/>
    <w:rsid w:val="00DF2C6C"/>
    <w:rsid w:val="00DF4E35"/>
    <w:rsid w:val="00DF4F1D"/>
    <w:rsid w:val="00DF61DB"/>
    <w:rsid w:val="00DF7DC6"/>
    <w:rsid w:val="00E0125E"/>
    <w:rsid w:val="00E01FB0"/>
    <w:rsid w:val="00E028C6"/>
    <w:rsid w:val="00E02F86"/>
    <w:rsid w:val="00E04332"/>
    <w:rsid w:val="00E04FD3"/>
    <w:rsid w:val="00E05D69"/>
    <w:rsid w:val="00E0600D"/>
    <w:rsid w:val="00E06051"/>
    <w:rsid w:val="00E07EC5"/>
    <w:rsid w:val="00E106A8"/>
    <w:rsid w:val="00E10E13"/>
    <w:rsid w:val="00E1158A"/>
    <w:rsid w:val="00E11EDF"/>
    <w:rsid w:val="00E12929"/>
    <w:rsid w:val="00E148F2"/>
    <w:rsid w:val="00E15F45"/>
    <w:rsid w:val="00E1774A"/>
    <w:rsid w:val="00E2137B"/>
    <w:rsid w:val="00E21EE9"/>
    <w:rsid w:val="00E22991"/>
    <w:rsid w:val="00E230B1"/>
    <w:rsid w:val="00E233C6"/>
    <w:rsid w:val="00E2440C"/>
    <w:rsid w:val="00E2457B"/>
    <w:rsid w:val="00E25059"/>
    <w:rsid w:val="00E2581F"/>
    <w:rsid w:val="00E25FB2"/>
    <w:rsid w:val="00E27E6D"/>
    <w:rsid w:val="00E3019E"/>
    <w:rsid w:val="00E30C1E"/>
    <w:rsid w:val="00E310A5"/>
    <w:rsid w:val="00E31335"/>
    <w:rsid w:val="00E317DF"/>
    <w:rsid w:val="00E33C4F"/>
    <w:rsid w:val="00E33D91"/>
    <w:rsid w:val="00E33DDB"/>
    <w:rsid w:val="00E3533D"/>
    <w:rsid w:val="00E354EC"/>
    <w:rsid w:val="00E35BC3"/>
    <w:rsid w:val="00E362AD"/>
    <w:rsid w:val="00E3630F"/>
    <w:rsid w:val="00E36754"/>
    <w:rsid w:val="00E37B68"/>
    <w:rsid w:val="00E4141A"/>
    <w:rsid w:val="00E416ED"/>
    <w:rsid w:val="00E42260"/>
    <w:rsid w:val="00E429F2"/>
    <w:rsid w:val="00E42BC0"/>
    <w:rsid w:val="00E430DE"/>
    <w:rsid w:val="00E4380E"/>
    <w:rsid w:val="00E453F2"/>
    <w:rsid w:val="00E4561C"/>
    <w:rsid w:val="00E45D77"/>
    <w:rsid w:val="00E466FC"/>
    <w:rsid w:val="00E47548"/>
    <w:rsid w:val="00E50CEF"/>
    <w:rsid w:val="00E54E5D"/>
    <w:rsid w:val="00E55A9F"/>
    <w:rsid w:val="00E55DAF"/>
    <w:rsid w:val="00E57140"/>
    <w:rsid w:val="00E57C72"/>
    <w:rsid w:val="00E602D1"/>
    <w:rsid w:val="00E60B66"/>
    <w:rsid w:val="00E62044"/>
    <w:rsid w:val="00E6227C"/>
    <w:rsid w:val="00E624F8"/>
    <w:rsid w:val="00E62B44"/>
    <w:rsid w:val="00E63C5C"/>
    <w:rsid w:val="00E63CC5"/>
    <w:rsid w:val="00E648C5"/>
    <w:rsid w:val="00E64FF8"/>
    <w:rsid w:val="00E654CA"/>
    <w:rsid w:val="00E70BF7"/>
    <w:rsid w:val="00E728CA"/>
    <w:rsid w:val="00E72C4A"/>
    <w:rsid w:val="00E745B5"/>
    <w:rsid w:val="00E74C83"/>
    <w:rsid w:val="00E75F8D"/>
    <w:rsid w:val="00E76D8E"/>
    <w:rsid w:val="00E77AAB"/>
    <w:rsid w:val="00E81CB4"/>
    <w:rsid w:val="00E84B10"/>
    <w:rsid w:val="00E84E21"/>
    <w:rsid w:val="00E85B8E"/>
    <w:rsid w:val="00E86A7E"/>
    <w:rsid w:val="00E86D5D"/>
    <w:rsid w:val="00E900F7"/>
    <w:rsid w:val="00E9052D"/>
    <w:rsid w:val="00E91936"/>
    <w:rsid w:val="00E91955"/>
    <w:rsid w:val="00E92460"/>
    <w:rsid w:val="00E9277E"/>
    <w:rsid w:val="00E92A61"/>
    <w:rsid w:val="00E93B9C"/>
    <w:rsid w:val="00E95058"/>
    <w:rsid w:val="00E965D8"/>
    <w:rsid w:val="00E96C4E"/>
    <w:rsid w:val="00E97C95"/>
    <w:rsid w:val="00EA04AE"/>
    <w:rsid w:val="00EA0C74"/>
    <w:rsid w:val="00EA11FE"/>
    <w:rsid w:val="00EA303B"/>
    <w:rsid w:val="00EA382B"/>
    <w:rsid w:val="00EA4264"/>
    <w:rsid w:val="00EA550B"/>
    <w:rsid w:val="00EA6E2F"/>
    <w:rsid w:val="00EA78D3"/>
    <w:rsid w:val="00EB0036"/>
    <w:rsid w:val="00EB0563"/>
    <w:rsid w:val="00EB2597"/>
    <w:rsid w:val="00EB4F36"/>
    <w:rsid w:val="00EB5A1D"/>
    <w:rsid w:val="00EB63DF"/>
    <w:rsid w:val="00EB6EA5"/>
    <w:rsid w:val="00EB6EAE"/>
    <w:rsid w:val="00EC04CD"/>
    <w:rsid w:val="00EC0E05"/>
    <w:rsid w:val="00EC1418"/>
    <w:rsid w:val="00EC1889"/>
    <w:rsid w:val="00EC2C11"/>
    <w:rsid w:val="00EC2F2D"/>
    <w:rsid w:val="00EC3DE2"/>
    <w:rsid w:val="00EC47B5"/>
    <w:rsid w:val="00EC4F5B"/>
    <w:rsid w:val="00EC57E1"/>
    <w:rsid w:val="00EC6E62"/>
    <w:rsid w:val="00ED1D46"/>
    <w:rsid w:val="00ED263C"/>
    <w:rsid w:val="00ED2887"/>
    <w:rsid w:val="00ED2BA6"/>
    <w:rsid w:val="00ED2EAD"/>
    <w:rsid w:val="00ED362F"/>
    <w:rsid w:val="00ED378A"/>
    <w:rsid w:val="00ED37EE"/>
    <w:rsid w:val="00ED3C3E"/>
    <w:rsid w:val="00ED3C45"/>
    <w:rsid w:val="00ED3CAB"/>
    <w:rsid w:val="00ED3F93"/>
    <w:rsid w:val="00ED4F6E"/>
    <w:rsid w:val="00ED57CE"/>
    <w:rsid w:val="00ED7A5C"/>
    <w:rsid w:val="00EE02EB"/>
    <w:rsid w:val="00EE0324"/>
    <w:rsid w:val="00EE0B03"/>
    <w:rsid w:val="00EE13A9"/>
    <w:rsid w:val="00EE1A44"/>
    <w:rsid w:val="00EE1D11"/>
    <w:rsid w:val="00EE28A0"/>
    <w:rsid w:val="00EE34FD"/>
    <w:rsid w:val="00EE5DB4"/>
    <w:rsid w:val="00EE67CA"/>
    <w:rsid w:val="00EF124E"/>
    <w:rsid w:val="00EF1717"/>
    <w:rsid w:val="00EF2A14"/>
    <w:rsid w:val="00EF468A"/>
    <w:rsid w:val="00EF49C5"/>
    <w:rsid w:val="00EF4A7E"/>
    <w:rsid w:val="00EF53AC"/>
    <w:rsid w:val="00EF62E4"/>
    <w:rsid w:val="00EF6446"/>
    <w:rsid w:val="00EF6D15"/>
    <w:rsid w:val="00EF7BF7"/>
    <w:rsid w:val="00F00109"/>
    <w:rsid w:val="00F00772"/>
    <w:rsid w:val="00F00CE6"/>
    <w:rsid w:val="00F02AA8"/>
    <w:rsid w:val="00F03532"/>
    <w:rsid w:val="00F0416B"/>
    <w:rsid w:val="00F05623"/>
    <w:rsid w:val="00F05ECC"/>
    <w:rsid w:val="00F060FF"/>
    <w:rsid w:val="00F06FAD"/>
    <w:rsid w:val="00F07B0C"/>
    <w:rsid w:val="00F10F55"/>
    <w:rsid w:val="00F13B85"/>
    <w:rsid w:val="00F14082"/>
    <w:rsid w:val="00F14272"/>
    <w:rsid w:val="00F147A8"/>
    <w:rsid w:val="00F150EF"/>
    <w:rsid w:val="00F16123"/>
    <w:rsid w:val="00F16425"/>
    <w:rsid w:val="00F2089C"/>
    <w:rsid w:val="00F20D3E"/>
    <w:rsid w:val="00F224C9"/>
    <w:rsid w:val="00F22663"/>
    <w:rsid w:val="00F2268C"/>
    <w:rsid w:val="00F23399"/>
    <w:rsid w:val="00F2390C"/>
    <w:rsid w:val="00F23DD9"/>
    <w:rsid w:val="00F243E6"/>
    <w:rsid w:val="00F25126"/>
    <w:rsid w:val="00F26653"/>
    <w:rsid w:val="00F26F5A"/>
    <w:rsid w:val="00F27EAD"/>
    <w:rsid w:val="00F308EB"/>
    <w:rsid w:val="00F3094C"/>
    <w:rsid w:val="00F3141F"/>
    <w:rsid w:val="00F3273D"/>
    <w:rsid w:val="00F32BEA"/>
    <w:rsid w:val="00F332AC"/>
    <w:rsid w:val="00F336E3"/>
    <w:rsid w:val="00F34929"/>
    <w:rsid w:val="00F37B42"/>
    <w:rsid w:val="00F406C1"/>
    <w:rsid w:val="00F41B50"/>
    <w:rsid w:val="00F420A4"/>
    <w:rsid w:val="00F43623"/>
    <w:rsid w:val="00F4596C"/>
    <w:rsid w:val="00F45970"/>
    <w:rsid w:val="00F463B4"/>
    <w:rsid w:val="00F512E2"/>
    <w:rsid w:val="00F5231C"/>
    <w:rsid w:val="00F525EF"/>
    <w:rsid w:val="00F52833"/>
    <w:rsid w:val="00F52D8D"/>
    <w:rsid w:val="00F54A0D"/>
    <w:rsid w:val="00F556BB"/>
    <w:rsid w:val="00F6112B"/>
    <w:rsid w:val="00F61D62"/>
    <w:rsid w:val="00F62A5F"/>
    <w:rsid w:val="00F6351E"/>
    <w:rsid w:val="00F64AA9"/>
    <w:rsid w:val="00F659AB"/>
    <w:rsid w:val="00F66053"/>
    <w:rsid w:val="00F67915"/>
    <w:rsid w:val="00F67E60"/>
    <w:rsid w:val="00F705B9"/>
    <w:rsid w:val="00F70877"/>
    <w:rsid w:val="00F70A0A"/>
    <w:rsid w:val="00F7207D"/>
    <w:rsid w:val="00F73CC4"/>
    <w:rsid w:val="00F740A2"/>
    <w:rsid w:val="00F74EE2"/>
    <w:rsid w:val="00F751A1"/>
    <w:rsid w:val="00F7542E"/>
    <w:rsid w:val="00F755AB"/>
    <w:rsid w:val="00F7618D"/>
    <w:rsid w:val="00F769B6"/>
    <w:rsid w:val="00F7729F"/>
    <w:rsid w:val="00F80981"/>
    <w:rsid w:val="00F80E26"/>
    <w:rsid w:val="00F82980"/>
    <w:rsid w:val="00F82FF3"/>
    <w:rsid w:val="00F83B1A"/>
    <w:rsid w:val="00F844B3"/>
    <w:rsid w:val="00F858B9"/>
    <w:rsid w:val="00F85A43"/>
    <w:rsid w:val="00F86714"/>
    <w:rsid w:val="00F873CA"/>
    <w:rsid w:val="00F87B80"/>
    <w:rsid w:val="00F907EF"/>
    <w:rsid w:val="00F92322"/>
    <w:rsid w:val="00F923F1"/>
    <w:rsid w:val="00F926C0"/>
    <w:rsid w:val="00F92704"/>
    <w:rsid w:val="00F92BEC"/>
    <w:rsid w:val="00F93AC9"/>
    <w:rsid w:val="00F959D5"/>
    <w:rsid w:val="00F96B88"/>
    <w:rsid w:val="00F97FE6"/>
    <w:rsid w:val="00FA1907"/>
    <w:rsid w:val="00FA1A59"/>
    <w:rsid w:val="00FA3574"/>
    <w:rsid w:val="00FA3694"/>
    <w:rsid w:val="00FA41B1"/>
    <w:rsid w:val="00FA557F"/>
    <w:rsid w:val="00FA67F1"/>
    <w:rsid w:val="00FA69F6"/>
    <w:rsid w:val="00FA6F3E"/>
    <w:rsid w:val="00FB15A9"/>
    <w:rsid w:val="00FB1C96"/>
    <w:rsid w:val="00FB2A31"/>
    <w:rsid w:val="00FB3AA8"/>
    <w:rsid w:val="00FB40A5"/>
    <w:rsid w:val="00FB5C69"/>
    <w:rsid w:val="00FB61BA"/>
    <w:rsid w:val="00FB71EF"/>
    <w:rsid w:val="00FB7484"/>
    <w:rsid w:val="00FB7799"/>
    <w:rsid w:val="00FB7B1C"/>
    <w:rsid w:val="00FC0278"/>
    <w:rsid w:val="00FC0623"/>
    <w:rsid w:val="00FC3174"/>
    <w:rsid w:val="00FC35C1"/>
    <w:rsid w:val="00FC66BB"/>
    <w:rsid w:val="00FC7BF2"/>
    <w:rsid w:val="00FD03C9"/>
    <w:rsid w:val="00FD045D"/>
    <w:rsid w:val="00FD0769"/>
    <w:rsid w:val="00FD23F9"/>
    <w:rsid w:val="00FD2768"/>
    <w:rsid w:val="00FD3753"/>
    <w:rsid w:val="00FD5B2B"/>
    <w:rsid w:val="00FD6531"/>
    <w:rsid w:val="00FD670E"/>
    <w:rsid w:val="00FE07D6"/>
    <w:rsid w:val="00FE1F3B"/>
    <w:rsid w:val="00FE2538"/>
    <w:rsid w:val="00FE3E38"/>
    <w:rsid w:val="00FE5796"/>
    <w:rsid w:val="00FE7DCC"/>
    <w:rsid w:val="00FF004F"/>
    <w:rsid w:val="00FF00D4"/>
    <w:rsid w:val="00FF02B1"/>
    <w:rsid w:val="00FF3E0F"/>
    <w:rsid w:val="00FF5064"/>
    <w:rsid w:val="00FF5E85"/>
    <w:rsid w:val="00FF69B7"/>
    <w:rsid w:val="00FF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4932"/>
  <w15:docId w15:val="{CE465C5E-B623-4DB5-8BF9-6E0D31C1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694"/>
  </w:style>
  <w:style w:type="paragraph" w:styleId="Heading1">
    <w:name w:val="heading 1"/>
    <w:basedOn w:val="Normal"/>
    <w:next w:val="Normal"/>
    <w:uiPriority w:val="9"/>
    <w:qFormat/>
    <w:rsid w:val="0091319A"/>
    <w:pPr>
      <w:numPr>
        <w:numId w:val="3"/>
      </w:numPr>
      <w:jc w:val="center"/>
      <w:outlineLvl w:val="0"/>
    </w:pPr>
    <w:rPr>
      <w:b/>
      <w:bCs/>
      <w:sz w:val="28"/>
      <w:szCs w:val="28"/>
    </w:rPr>
  </w:style>
  <w:style w:type="paragraph" w:styleId="Heading2">
    <w:name w:val="heading 2"/>
    <w:basedOn w:val="Normal"/>
    <w:next w:val="Normal"/>
    <w:uiPriority w:val="9"/>
    <w:unhideWhenUsed/>
    <w:qFormat/>
    <w:rsid w:val="00D1391A"/>
    <w:pPr>
      <w:numPr>
        <w:ilvl w:val="1"/>
        <w:numId w:val="3"/>
      </w:numPr>
      <w:jc w:val="center"/>
      <w:outlineLvl w:val="1"/>
    </w:pPr>
    <w:rPr>
      <w:b/>
      <w:bCs/>
      <w:sz w:val="28"/>
      <w:szCs w:val="28"/>
    </w:rPr>
  </w:style>
  <w:style w:type="paragraph" w:styleId="Heading3">
    <w:name w:val="heading 3"/>
    <w:basedOn w:val="Normal"/>
    <w:next w:val="Normal"/>
    <w:uiPriority w:val="9"/>
    <w:unhideWhenUsed/>
    <w:qFormat/>
    <w:rsid w:val="00A4103C"/>
    <w:pPr>
      <w:numPr>
        <w:ilvl w:val="2"/>
        <w:numId w:val="3"/>
      </w:numPr>
      <w:jc w:val="center"/>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037EE9"/>
    <w:pPr>
      <w:keepNext/>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037EE9"/>
    <w:pPr>
      <w:spacing w:after="100"/>
    </w:pPr>
  </w:style>
  <w:style w:type="character" w:styleId="Hyperlink">
    <w:name w:val="Hyperlink"/>
    <w:basedOn w:val="DefaultParagraphFont"/>
    <w:uiPriority w:val="99"/>
    <w:unhideWhenUsed/>
    <w:rsid w:val="00037EE9"/>
    <w:rPr>
      <w:color w:val="0000FF" w:themeColor="hyperlink"/>
      <w:u w:val="single"/>
    </w:rPr>
  </w:style>
  <w:style w:type="paragraph" w:styleId="ListParagraph">
    <w:name w:val="List Paragraph"/>
    <w:basedOn w:val="Normal"/>
    <w:uiPriority w:val="34"/>
    <w:qFormat/>
    <w:rsid w:val="006053BE"/>
    <w:pPr>
      <w:ind w:left="720"/>
      <w:contextualSpacing/>
    </w:pPr>
  </w:style>
  <w:style w:type="paragraph" w:styleId="TOC2">
    <w:name w:val="toc 2"/>
    <w:basedOn w:val="Normal"/>
    <w:next w:val="Normal"/>
    <w:autoRedefine/>
    <w:uiPriority w:val="39"/>
    <w:unhideWhenUsed/>
    <w:rsid w:val="006F6D4B"/>
    <w:pPr>
      <w:spacing w:after="100"/>
      <w:ind w:left="240"/>
    </w:pPr>
  </w:style>
  <w:style w:type="paragraph" w:styleId="TOC3">
    <w:name w:val="toc 3"/>
    <w:basedOn w:val="Normal"/>
    <w:next w:val="Normal"/>
    <w:autoRedefine/>
    <w:uiPriority w:val="39"/>
    <w:unhideWhenUsed/>
    <w:rsid w:val="00EE0B03"/>
    <w:pPr>
      <w:spacing w:after="100"/>
      <w:ind w:left="480"/>
    </w:pPr>
  </w:style>
  <w:style w:type="character" w:styleId="UnresolvedMention">
    <w:name w:val="Unresolved Mention"/>
    <w:basedOn w:val="DefaultParagraphFont"/>
    <w:uiPriority w:val="99"/>
    <w:semiHidden/>
    <w:unhideWhenUsed/>
    <w:rsid w:val="00A96E7A"/>
    <w:rPr>
      <w:color w:val="605E5C"/>
      <w:shd w:val="clear" w:color="auto" w:fill="E1DFDD"/>
    </w:rPr>
  </w:style>
  <w:style w:type="character" w:styleId="PlaceholderText">
    <w:name w:val="Placeholder Text"/>
    <w:basedOn w:val="DefaultParagraphFont"/>
    <w:uiPriority w:val="99"/>
    <w:semiHidden/>
    <w:rsid w:val="00AE35D5"/>
    <w:rPr>
      <w:color w:val="666666"/>
    </w:rPr>
  </w:style>
  <w:style w:type="table" w:styleId="PlainTable2">
    <w:name w:val="Plain Table 2"/>
    <w:basedOn w:val="TableNormal"/>
    <w:uiPriority w:val="42"/>
    <w:rsid w:val="0058690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9A5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377D4"/>
    <w:pPr>
      <w:spacing w:after="200"/>
    </w:pPr>
    <w:rPr>
      <w:i/>
      <w:iCs/>
      <w:color w:val="1F497D" w:themeColor="text2"/>
      <w:sz w:val="18"/>
      <w:szCs w:val="18"/>
    </w:rPr>
  </w:style>
  <w:style w:type="paragraph" w:styleId="NormalWeb">
    <w:name w:val="Normal (Web)"/>
    <w:basedOn w:val="Normal"/>
    <w:uiPriority w:val="99"/>
    <w:unhideWhenUsed/>
    <w:rsid w:val="002D0C10"/>
    <w:pPr>
      <w:spacing w:before="100" w:beforeAutospacing="1" w:after="100" w:afterAutospacing="1"/>
    </w:pPr>
    <w:rPr>
      <w:lang w:val="en-US"/>
    </w:rPr>
  </w:style>
  <w:style w:type="character" w:styleId="Emphasis">
    <w:name w:val="Emphasis"/>
    <w:basedOn w:val="DefaultParagraphFont"/>
    <w:uiPriority w:val="20"/>
    <w:qFormat/>
    <w:rsid w:val="002D0C10"/>
    <w:rPr>
      <w:i/>
      <w:iCs/>
    </w:rPr>
  </w:style>
  <w:style w:type="table" w:styleId="PlainTable1">
    <w:name w:val="Plain Table 1"/>
    <w:basedOn w:val="TableNormal"/>
    <w:uiPriority w:val="41"/>
    <w:rsid w:val="009767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307719"/>
    <w:rPr>
      <w:b/>
      <w:bCs/>
    </w:rPr>
  </w:style>
  <w:style w:type="table" w:styleId="TableGridLight">
    <w:name w:val="Grid Table Light"/>
    <w:basedOn w:val="TableNormal"/>
    <w:uiPriority w:val="40"/>
    <w:rsid w:val="002A5B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653CE"/>
    <w:pPr>
      <w:tabs>
        <w:tab w:val="center" w:pos="4680"/>
        <w:tab w:val="right" w:pos="9360"/>
      </w:tabs>
    </w:pPr>
  </w:style>
  <w:style w:type="character" w:customStyle="1" w:styleId="HeaderChar">
    <w:name w:val="Header Char"/>
    <w:basedOn w:val="DefaultParagraphFont"/>
    <w:link w:val="Header"/>
    <w:uiPriority w:val="99"/>
    <w:rsid w:val="004653CE"/>
  </w:style>
  <w:style w:type="paragraph" w:styleId="Footer">
    <w:name w:val="footer"/>
    <w:basedOn w:val="Normal"/>
    <w:link w:val="FooterChar"/>
    <w:uiPriority w:val="99"/>
    <w:unhideWhenUsed/>
    <w:rsid w:val="004653CE"/>
    <w:pPr>
      <w:tabs>
        <w:tab w:val="center" w:pos="4680"/>
        <w:tab w:val="right" w:pos="9360"/>
      </w:tabs>
    </w:pPr>
  </w:style>
  <w:style w:type="character" w:customStyle="1" w:styleId="FooterChar">
    <w:name w:val="Footer Char"/>
    <w:basedOn w:val="DefaultParagraphFont"/>
    <w:link w:val="Footer"/>
    <w:uiPriority w:val="99"/>
    <w:rsid w:val="004653CE"/>
  </w:style>
  <w:style w:type="paragraph" w:styleId="FootnoteText">
    <w:name w:val="footnote text"/>
    <w:basedOn w:val="Normal"/>
    <w:link w:val="FootnoteTextChar"/>
    <w:uiPriority w:val="99"/>
    <w:semiHidden/>
    <w:unhideWhenUsed/>
    <w:rsid w:val="0079490E"/>
    <w:rPr>
      <w:sz w:val="20"/>
      <w:szCs w:val="20"/>
    </w:rPr>
  </w:style>
  <w:style w:type="character" w:customStyle="1" w:styleId="FootnoteTextChar">
    <w:name w:val="Footnote Text Char"/>
    <w:basedOn w:val="DefaultParagraphFont"/>
    <w:link w:val="FootnoteText"/>
    <w:uiPriority w:val="99"/>
    <w:semiHidden/>
    <w:rsid w:val="0079490E"/>
    <w:rPr>
      <w:sz w:val="20"/>
      <w:szCs w:val="20"/>
    </w:rPr>
  </w:style>
  <w:style w:type="character" w:styleId="FootnoteReference">
    <w:name w:val="footnote reference"/>
    <w:basedOn w:val="DefaultParagraphFont"/>
    <w:uiPriority w:val="99"/>
    <w:semiHidden/>
    <w:unhideWhenUsed/>
    <w:rsid w:val="0079490E"/>
    <w:rPr>
      <w:vertAlign w:val="superscript"/>
    </w:rPr>
  </w:style>
  <w:style w:type="table" w:styleId="GridTable1Light-Accent1">
    <w:name w:val="Grid Table 1 Light Accent 1"/>
    <w:basedOn w:val="TableNormal"/>
    <w:uiPriority w:val="46"/>
    <w:rsid w:val="00860D7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60D79"/>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60D79"/>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60D79"/>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60D7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195">
      <w:marLeft w:val="0"/>
      <w:marRight w:val="0"/>
      <w:marTop w:val="0"/>
      <w:marBottom w:val="0"/>
      <w:divBdr>
        <w:top w:val="none" w:sz="0" w:space="0" w:color="auto"/>
        <w:left w:val="none" w:sz="0" w:space="0" w:color="auto"/>
        <w:bottom w:val="none" w:sz="0" w:space="0" w:color="auto"/>
        <w:right w:val="none" w:sz="0" w:space="0" w:color="auto"/>
      </w:divBdr>
    </w:div>
    <w:div w:id="861941925">
      <w:marLeft w:val="0"/>
      <w:marRight w:val="0"/>
      <w:marTop w:val="0"/>
      <w:marBottom w:val="0"/>
      <w:divBdr>
        <w:top w:val="none" w:sz="0" w:space="0" w:color="auto"/>
        <w:left w:val="none" w:sz="0" w:space="0" w:color="auto"/>
        <w:bottom w:val="none" w:sz="0" w:space="0" w:color="auto"/>
        <w:right w:val="none" w:sz="0" w:space="0" w:color="auto"/>
      </w:divBdr>
    </w:div>
    <w:div w:id="1226067247">
      <w:marLeft w:val="0"/>
      <w:marRight w:val="0"/>
      <w:marTop w:val="0"/>
      <w:marBottom w:val="0"/>
      <w:divBdr>
        <w:top w:val="none" w:sz="0" w:space="0" w:color="auto"/>
        <w:left w:val="none" w:sz="0" w:space="0" w:color="auto"/>
        <w:bottom w:val="none" w:sz="0" w:space="0" w:color="auto"/>
        <w:right w:val="none" w:sz="0" w:space="0" w:color="auto"/>
      </w:divBdr>
    </w:div>
    <w:div w:id="1901287257">
      <w:marLeft w:val="0"/>
      <w:marRight w:val="0"/>
      <w:marTop w:val="0"/>
      <w:marBottom w:val="0"/>
      <w:divBdr>
        <w:top w:val="none" w:sz="0" w:space="0" w:color="auto"/>
        <w:left w:val="none" w:sz="0" w:space="0" w:color="auto"/>
        <w:bottom w:val="none" w:sz="0" w:space="0" w:color="auto"/>
        <w:right w:val="none" w:sz="0" w:space="0" w:color="auto"/>
      </w:divBdr>
    </w:div>
    <w:div w:id="199452350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03094-3304-400E-9F19-C0192F71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11523</Words>
  <Characters>65686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Bloomberg LP</Company>
  <LinksUpToDate>false</LinksUpToDate>
  <CharactersWithSpaces>77055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Siqueira, Thiago</dc:creator>
  <cp:lastModifiedBy>Thiago Siqueira</cp:lastModifiedBy>
  <cp:revision>2</cp:revision>
  <cp:lastPrinted>2026-06-15T16:15:00Z</cp:lastPrinted>
  <dcterms:created xsi:type="dcterms:W3CDTF">2026-06-15T23:34:00Z</dcterms:created>
  <dcterms:modified xsi:type="dcterms:W3CDTF">2026-06-15T23:34:00Z</dcterms:modified>
</cp:coreProperties>
</file>