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1AA6" w14:textId="77777777" w:rsidR="0002722C" w:rsidRPr="009B6C20" w:rsidRDefault="0002722C">
      <w:pPr>
        <w:pBdr>
          <w:top w:val="nil"/>
          <w:left w:val="nil"/>
          <w:bottom w:val="nil"/>
          <w:right w:val="nil"/>
          <w:between w:val="nil"/>
        </w:pBdr>
        <w:ind w:left="720"/>
        <w:jc w:val="both"/>
        <w:rPr>
          <w:lang w:val="en-US"/>
        </w:rPr>
      </w:pPr>
    </w:p>
    <w:p w14:paraId="50DFFCB7" w14:textId="77777777" w:rsidR="0002722C" w:rsidRPr="00CA38ED" w:rsidRDefault="0002722C">
      <w:pPr>
        <w:ind w:firstLine="709"/>
        <w:jc w:val="both"/>
      </w:pPr>
    </w:p>
    <w:p w14:paraId="6B371E62" w14:textId="4664F5A2" w:rsidR="001D1168" w:rsidRPr="001D1168" w:rsidRDefault="00021130" w:rsidP="001D1168">
      <w:pPr>
        <w:pBdr>
          <w:bottom w:val="single" w:sz="8" w:space="4" w:color="4F81BD"/>
        </w:pBdr>
        <w:jc w:val="center"/>
        <w:rPr>
          <w:rFonts w:ascii="Cambria" w:eastAsia="Cambria" w:hAnsi="Cambria" w:cs="Cambria"/>
          <w:sz w:val="52"/>
          <w:szCs w:val="52"/>
          <w:lang w:val="en-US"/>
        </w:rPr>
      </w:pPr>
      <w:r w:rsidRPr="00AE2805">
        <w:rPr>
          <w:rFonts w:ascii="Cambria" w:eastAsia="Cambria" w:hAnsi="Cambria" w:cs="Cambria"/>
          <w:sz w:val="52"/>
          <w:szCs w:val="52"/>
          <w:lang w:val="en-US"/>
        </w:rPr>
        <w:t>U</w:t>
      </w:r>
      <w:r w:rsidR="001D1168" w:rsidRPr="001D1168">
        <w:rPr>
          <w:rFonts w:ascii="Cambria" w:eastAsia="Cambria" w:hAnsi="Cambria" w:cs="Cambria"/>
          <w:sz w:val="52"/>
          <w:szCs w:val="52"/>
          <w:lang w:val="en-US"/>
        </w:rPr>
        <w:t>niversity of Buenos Aires</w:t>
      </w:r>
    </w:p>
    <w:p w14:paraId="52EDB222" w14:textId="3102C2FC" w:rsidR="0002722C" w:rsidRPr="001D1168" w:rsidRDefault="001D1168" w:rsidP="001D1168">
      <w:pPr>
        <w:pBdr>
          <w:bottom w:val="single" w:sz="8" w:space="4" w:color="4F81BD"/>
        </w:pBdr>
        <w:jc w:val="center"/>
        <w:rPr>
          <w:rFonts w:ascii="Cambria" w:eastAsia="Cambria" w:hAnsi="Cambria" w:cs="Cambria"/>
          <w:sz w:val="52"/>
          <w:szCs w:val="52"/>
          <w:lang w:val="en-US"/>
        </w:rPr>
      </w:pPr>
      <w:r w:rsidRPr="001D1168">
        <w:rPr>
          <w:rFonts w:ascii="Cambria" w:eastAsia="Cambria" w:hAnsi="Cambria" w:cs="Cambria"/>
          <w:sz w:val="52"/>
          <w:szCs w:val="52"/>
          <w:lang w:val="en-US"/>
        </w:rPr>
        <w:t>Faculty of Economic Sciences</w:t>
      </w:r>
    </w:p>
    <w:p w14:paraId="03D7AFFA" w14:textId="6C00EC27" w:rsidR="0002722C" w:rsidRPr="003740FF" w:rsidRDefault="003740FF">
      <w:pPr>
        <w:pBdr>
          <w:bottom w:val="single" w:sz="8" w:space="4" w:color="4F81BD"/>
        </w:pBdr>
        <w:jc w:val="center"/>
        <w:rPr>
          <w:rFonts w:ascii="Cambria" w:eastAsia="Cambria" w:hAnsi="Cambria" w:cs="Cambria"/>
          <w:sz w:val="40"/>
          <w:szCs w:val="40"/>
          <w:lang w:val="en-US"/>
        </w:rPr>
      </w:pPr>
      <w:r w:rsidRPr="003740FF">
        <w:rPr>
          <w:rFonts w:ascii="Cambria" w:eastAsia="Cambria" w:hAnsi="Cambria" w:cs="Cambria"/>
          <w:sz w:val="40"/>
          <w:szCs w:val="40"/>
          <w:lang w:val="en-US"/>
        </w:rPr>
        <w:t>School of Business and Public Administration</w:t>
      </w:r>
    </w:p>
    <w:p w14:paraId="0486B356" w14:textId="77777777" w:rsidR="0002722C" w:rsidRPr="003740FF" w:rsidRDefault="0002722C">
      <w:pPr>
        <w:rPr>
          <w:lang w:val="en-US"/>
        </w:rPr>
      </w:pPr>
    </w:p>
    <w:p w14:paraId="3E9A8F7B" w14:textId="77777777" w:rsidR="0002722C" w:rsidRPr="003740FF" w:rsidRDefault="0002722C">
      <w:pPr>
        <w:rPr>
          <w:lang w:val="en-US"/>
        </w:rPr>
      </w:pPr>
    </w:p>
    <w:p w14:paraId="4A7F4616" w14:textId="77777777" w:rsidR="0002722C" w:rsidRPr="003740FF" w:rsidRDefault="0002722C">
      <w:pPr>
        <w:rPr>
          <w:lang w:val="en-US"/>
        </w:rPr>
      </w:pPr>
    </w:p>
    <w:p w14:paraId="0FB0A31F" w14:textId="45F4E794" w:rsidR="0002722C" w:rsidRPr="00162C0F" w:rsidRDefault="001325B9">
      <w:pPr>
        <w:pBdr>
          <w:bottom w:val="single" w:sz="8" w:space="4" w:color="4F81BD"/>
        </w:pBdr>
        <w:jc w:val="center"/>
        <w:rPr>
          <w:rFonts w:ascii="Cambria" w:eastAsia="Cambria" w:hAnsi="Cambria" w:cs="Cambria"/>
          <w:b/>
          <w:bCs/>
          <w:smallCaps/>
          <w:sz w:val="44"/>
          <w:szCs w:val="44"/>
          <w:lang w:val="en-US"/>
        </w:rPr>
      </w:pPr>
      <w:r w:rsidRPr="00162C0F">
        <w:rPr>
          <w:rFonts w:ascii="Cambria" w:eastAsia="Cambria" w:hAnsi="Cambria" w:cs="Cambria"/>
          <w:b/>
          <w:bCs/>
          <w:smallCaps/>
          <w:sz w:val="44"/>
          <w:szCs w:val="44"/>
          <w:lang w:val="en-US"/>
        </w:rPr>
        <w:t>Master’s Degree in Economics</w:t>
      </w:r>
    </w:p>
    <w:p w14:paraId="066E89AC" w14:textId="77777777" w:rsidR="0002722C" w:rsidRPr="00162C0F" w:rsidRDefault="0002722C">
      <w:pPr>
        <w:rPr>
          <w:lang w:val="en-US"/>
        </w:rPr>
      </w:pPr>
    </w:p>
    <w:p w14:paraId="59A441CE" w14:textId="77777777" w:rsidR="0002722C" w:rsidRPr="00162C0F" w:rsidRDefault="0002722C">
      <w:pPr>
        <w:pBdr>
          <w:bottom w:val="single" w:sz="8" w:space="4" w:color="4F81BD"/>
        </w:pBdr>
        <w:rPr>
          <w:rFonts w:ascii="Cambria" w:eastAsia="Cambria" w:hAnsi="Cambria" w:cs="Cambria"/>
          <w:sz w:val="52"/>
          <w:szCs w:val="52"/>
          <w:lang w:val="en-US"/>
        </w:rPr>
      </w:pPr>
    </w:p>
    <w:p w14:paraId="0D7D7021" w14:textId="73DA347B" w:rsidR="0002722C" w:rsidRPr="00162C0F" w:rsidRDefault="00162C0F">
      <w:pPr>
        <w:pBdr>
          <w:bottom w:val="single" w:sz="8" w:space="4" w:color="4F81BD"/>
        </w:pBdr>
        <w:jc w:val="center"/>
        <w:rPr>
          <w:rFonts w:ascii="Cambria" w:eastAsia="Cambria" w:hAnsi="Cambria" w:cs="Cambria"/>
          <w:smallCaps/>
          <w:sz w:val="44"/>
          <w:szCs w:val="44"/>
          <w:lang w:val="en-US"/>
        </w:rPr>
      </w:pPr>
      <w:r w:rsidRPr="00162C0F">
        <w:rPr>
          <w:rFonts w:ascii="Cambria" w:eastAsia="Cambria" w:hAnsi="Cambria" w:cs="Cambria"/>
          <w:smallCaps/>
          <w:sz w:val="44"/>
          <w:szCs w:val="44"/>
          <w:lang w:val="en-US"/>
        </w:rPr>
        <w:t>Working Paper</w:t>
      </w:r>
    </w:p>
    <w:p w14:paraId="204351DF" w14:textId="77777777" w:rsidR="0002722C" w:rsidRPr="00162C0F" w:rsidRDefault="0002722C">
      <w:pPr>
        <w:rPr>
          <w:sz w:val="44"/>
          <w:szCs w:val="44"/>
          <w:lang w:val="en-US"/>
        </w:rPr>
      </w:pPr>
    </w:p>
    <w:p w14:paraId="4A60A78E" w14:textId="4537ECD4" w:rsidR="0002722C" w:rsidRPr="00AE2805" w:rsidRDefault="0030735A">
      <w:pPr>
        <w:pBdr>
          <w:bottom w:val="single" w:sz="8" w:space="4" w:color="4F81BD"/>
        </w:pBdr>
        <w:tabs>
          <w:tab w:val="left" w:pos="2985"/>
        </w:tabs>
        <w:rPr>
          <w:rFonts w:ascii="Cambria" w:eastAsia="Cambria" w:hAnsi="Cambria" w:cs="Cambria"/>
          <w:sz w:val="36"/>
          <w:szCs w:val="36"/>
          <w:lang w:val="pt-BR"/>
        </w:rPr>
      </w:pPr>
      <w:r w:rsidRPr="0030735A">
        <w:rPr>
          <w:rFonts w:ascii="Cambria" w:eastAsia="Cambria" w:hAnsi="Cambria" w:cs="Cambria"/>
          <w:sz w:val="36"/>
          <w:szCs w:val="36"/>
          <w:lang w:val="en-US"/>
        </w:rPr>
        <w:t xml:space="preserve">What Drives Local Currency Corporate Spreads? </w:t>
      </w:r>
      <w:r w:rsidRPr="00AE2805">
        <w:rPr>
          <w:rFonts w:ascii="Cambria" w:eastAsia="Cambria" w:hAnsi="Cambria" w:cs="Cambria"/>
          <w:sz w:val="36"/>
          <w:szCs w:val="36"/>
          <w:lang w:val="pt-BR"/>
        </w:rPr>
        <w:t>Evidence from Brazil</w:t>
      </w:r>
    </w:p>
    <w:p w14:paraId="62E79423" w14:textId="77777777" w:rsidR="0002722C" w:rsidRPr="00AE2805" w:rsidRDefault="0002722C">
      <w:pPr>
        <w:pBdr>
          <w:bottom w:val="single" w:sz="8" w:space="4" w:color="4F81BD"/>
        </w:pBdr>
        <w:tabs>
          <w:tab w:val="left" w:pos="2985"/>
        </w:tabs>
        <w:rPr>
          <w:rFonts w:ascii="Cambria" w:eastAsia="Cambria" w:hAnsi="Cambria" w:cs="Cambria"/>
          <w:sz w:val="36"/>
          <w:szCs w:val="36"/>
          <w:lang w:val="pt-BR"/>
        </w:rPr>
      </w:pPr>
    </w:p>
    <w:p w14:paraId="692AECBC" w14:textId="77777777" w:rsidR="0002722C" w:rsidRPr="00AE2805" w:rsidRDefault="0002722C">
      <w:pPr>
        <w:rPr>
          <w:rFonts w:ascii="Cambria" w:eastAsia="Cambria" w:hAnsi="Cambria" w:cs="Cambria"/>
          <w:i/>
          <w:iCs/>
          <w:lang w:val="pt-BR"/>
        </w:rPr>
      </w:pPr>
    </w:p>
    <w:p w14:paraId="2EC8E953" w14:textId="77777777" w:rsidR="0002722C" w:rsidRPr="00AE2805" w:rsidRDefault="0002722C">
      <w:pPr>
        <w:rPr>
          <w:b/>
          <w:bCs/>
          <w:smallCaps/>
          <w:lang w:val="pt-BR"/>
        </w:rPr>
      </w:pPr>
    </w:p>
    <w:p w14:paraId="0C87623B" w14:textId="77777777" w:rsidR="00315CE5" w:rsidRPr="00AE2805" w:rsidRDefault="00315CE5">
      <w:pPr>
        <w:rPr>
          <w:b/>
          <w:bCs/>
          <w:smallCaps/>
          <w:lang w:val="pt-BR"/>
        </w:rPr>
      </w:pPr>
    </w:p>
    <w:p w14:paraId="6CABE6BF" w14:textId="234C674F" w:rsidR="0002722C" w:rsidRPr="00CA38ED" w:rsidRDefault="00021130">
      <w:pPr>
        <w:rPr>
          <w:smallCaps/>
          <w:sz w:val="28"/>
          <w:szCs w:val="28"/>
          <w:lang w:val="pt-BR"/>
        </w:rPr>
      </w:pPr>
      <w:r w:rsidRPr="00CA38ED">
        <w:rPr>
          <w:smallCaps/>
          <w:sz w:val="28"/>
          <w:szCs w:val="28"/>
          <w:lang w:val="pt-BR"/>
        </w:rPr>
        <w:t>Aut</w:t>
      </w:r>
      <w:r w:rsidR="00114AE6">
        <w:rPr>
          <w:smallCaps/>
          <w:sz w:val="28"/>
          <w:szCs w:val="28"/>
          <w:lang w:val="pt-BR"/>
        </w:rPr>
        <w:t>h</w:t>
      </w:r>
      <w:r w:rsidRPr="00CA38ED">
        <w:rPr>
          <w:smallCaps/>
          <w:sz w:val="28"/>
          <w:szCs w:val="28"/>
          <w:lang w:val="pt-BR"/>
        </w:rPr>
        <w:t>or: Thiago da Silva Siqueira</w:t>
      </w:r>
    </w:p>
    <w:p w14:paraId="19C0262C" w14:textId="77777777" w:rsidR="0002722C" w:rsidRPr="00CA38ED" w:rsidRDefault="0002722C">
      <w:pPr>
        <w:rPr>
          <w:smallCaps/>
          <w:sz w:val="28"/>
          <w:szCs w:val="28"/>
          <w:lang w:val="pt-BR"/>
        </w:rPr>
      </w:pPr>
    </w:p>
    <w:p w14:paraId="7B853854" w14:textId="4B04D547" w:rsidR="0002722C" w:rsidRPr="00AE2805" w:rsidRDefault="00E106A8">
      <w:pPr>
        <w:rPr>
          <w:smallCaps/>
          <w:sz w:val="28"/>
          <w:szCs w:val="28"/>
          <w:lang w:val="en-US"/>
        </w:rPr>
      </w:pPr>
      <w:r w:rsidRPr="00AE2805">
        <w:rPr>
          <w:smallCaps/>
          <w:sz w:val="28"/>
          <w:szCs w:val="28"/>
          <w:lang w:val="en-US"/>
        </w:rPr>
        <w:t>Supervisor</w:t>
      </w:r>
      <w:r w:rsidR="00021130" w:rsidRPr="00AE2805">
        <w:rPr>
          <w:smallCaps/>
          <w:sz w:val="28"/>
          <w:szCs w:val="28"/>
          <w:lang w:val="en-US"/>
        </w:rPr>
        <w:t>: Martin Grandes</w:t>
      </w:r>
    </w:p>
    <w:p w14:paraId="40CEE042" w14:textId="77777777" w:rsidR="0002722C" w:rsidRPr="00AE2805" w:rsidRDefault="0002722C">
      <w:pPr>
        <w:rPr>
          <w:smallCaps/>
          <w:sz w:val="28"/>
          <w:szCs w:val="28"/>
          <w:lang w:val="en-US"/>
        </w:rPr>
      </w:pPr>
    </w:p>
    <w:p w14:paraId="5B7E13A0" w14:textId="77777777" w:rsidR="0002722C" w:rsidRPr="00AE2805" w:rsidRDefault="0002722C">
      <w:pPr>
        <w:rPr>
          <w:smallCaps/>
          <w:sz w:val="28"/>
          <w:szCs w:val="28"/>
          <w:lang w:val="en-US"/>
        </w:rPr>
      </w:pPr>
    </w:p>
    <w:p w14:paraId="0EC3BE30" w14:textId="1BB1CB21" w:rsidR="0002722C" w:rsidRPr="00AE2805" w:rsidRDefault="006C469D">
      <w:pPr>
        <w:rPr>
          <w:smallCaps/>
          <w:sz w:val="22"/>
          <w:szCs w:val="22"/>
          <w:lang w:val="en-US"/>
        </w:rPr>
      </w:pPr>
      <w:r w:rsidRPr="00AE2805">
        <w:rPr>
          <w:b/>
          <w:bCs/>
          <w:smallCaps/>
          <w:sz w:val="22"/>
          <w:szCs w:val="22"/>
          <w:lang w:val="en-US"/>
        </w:rPr>
        <w:tab/>
      </w:r>
    </w:p>
    <w:p w14:paraId="066401D8" w14:textId="77777777" w:rsidR="0002722C" w:rsidRPr="00AE2805" w:rsidRDefault="0002722C">
      <w:pPr>
        <w:rPr>
          <w:smallCaps/>
          <w:sz w:val="22"/>
          <w:szCs w:val="22"/>
          <w:lang w:val="en-US"/>
        </w:rPr>
      </w:pPr>
    </w:p>
    <w:p w14:paraId="0DBD8038" w14:textId="77777777" w:rsidR="0002722C" w:rsidRPr="00AE2805" w:rsidRDefault="0002722C">
      <w:pPr>
        <w:rPr>
          <w:smallCaps/>
          <w:sz w:val="28"/>
          <w:szCs w:val="28"/>
          <w:lang w:val="en-US"/>
        </w:rPr>
      </w:pPr>
    </w:p>
    <w:p w14:paraId="39ECACA6" w14:textId="36912572" w:rsidR="0002722C" w:rsidRPr="00726089" w:rsidRDefault="00125CC0">
      <w:pPr>
        <w:pBdr>
          <w:bottom w:val="single" w:sz="8" w:space="4" w:color="4F81BD"/>
        </w:pBdr>
        <w:jc w:val="center"/>
        <w:rPr>
          <w:rFonts w:ascii="Cambria" w:eastAsia="Cambria" w:hAnsi="Cambria" w:cs="Cambria"/>
          <w:smallCaps/>
          <w:lang w:val="en-US"/>
        </w:rPr>
      </w:pPr>
      <w:r w:rsidRPr="00726089">
        <w:rPr>
          <w:rFonts w:ascii="Cambria" w:eastAsia="Cambria" w:hAnsi="Cambria" w:cs="Cambria"/>
          <w:smallCaps/>
          <w:lang w:val="en-US"/>
        </w:rPr>
        <w:t>April</w:t>
      </w:r>
      <w:r w:rsidR="00021130" w:rsidRPr="00726089">
        <w:rPr>
          <w:rFonts w:ascii="Cambria" w:eastAsia="Cambria" w:hAnsi="Cambria" w:cs="Cambria"/>
          <w:smallCaps/>
          <w:lang w:val="en-US"/>
        </w:rPr>
        <w:t xml:space="preserve"> 202</w:t>
      </w:r>
      <w:r w:rsidRPr="00726089">
        <w:rPr>
          <w:rFonts w:ascii="Cambria" w:eastAsia="Cambria" w:hAnsi="Cambria" w:cs="Cambria"/>
          <w:smallCaps/>
          <w:lang w:val="en-US"/>
        </w:rPr>
        <w:t>6</w:t>
      </w:r>
    </w:p>
    <w:p w14:paraId="47A84102" w14:textId="77777777" w:rsidR="0002722C" w:rsidRPr="00726089" w:rsidRDefault="00021130">
      <w:pPr>
        <w:jc w:val="center"/>
        <w:rPr>
          <w:rFonts w:ascii="Cambria" w:eastAsia="Cambria" w:hAnsi="Cambria" w:cs="Cambria"/>
          <w:smallCaps/>
          <w:lang w:val="en-US"/>
        </w:rPr>
      </w:pPr>
      <w:r w:rsidRPr="00726089">
        <w:rPr>
          <w:lang w:val="en-US"/>
        </w:rPr>
        <w:br w:type="page"/>
      </w:r>
    </w:p>
    <w:p w14:paraId="561CC83A" w14:textId="77777777" w:rsidR="00DB377D" w:rsidRPr="00CA38ED" w:rsidRDefault="00DB377D" w:rsidP="004F03F0">
      <w:pPr>
        <w:pStyle w:val="Heading1"/>
        <w:numPr>
          <w:ilvl w:val="0"/>
          <w:numId w:val="0"/>
        </w:numPr>
        <w:rPr>
          <w:lang w:val="en-US"/>
        </w:rPr>
      </w:pPr>
      <w:bookmarkStart w:id="0" w:name="_Toc228544173"/>
      <w:r w:rsidRPr="00CA38ED">
        <w:rPr>
          <w:lang w:val="en-US"/>
        </w:rPr>
        <w:lastRenderedPageBreak/>
        <w:t>Abstract</w:t>
      </w:r>
      <w:bookmarkEnd w:id="0"/>
    </w:p>
    <w:p w14:paraId="293A493D" w14:textId="77777777" w:rsidR="00DB377D" w:rsidRPr="00CA38ED" w:rsidRDefault="00DB377D" w:rsidP="00E07EC5">
      <w:pPr>
        <w:rPr>
          <w:lang w:val="en-US"/>
        </w:rPr>
      </w:pPr>
    </w:p>
    <w:p w14:paraId="55E66B7E" w14:textId="4ED1545F" w:rsidR="00EB5A1D" w:rsidRDefault="00EB5A1D" w:rsidP="00EB5A1D">
      <w:pPr>
        <w:ind w:firstLine="709"/>
        <w:jc w:val="both"/>
        <w:rPr>
          <w:bCs/>
          <w:lang w:val="en-US" w:eastAsia="es-ES"/>
        </w:rPr>
      </w:pPr>
      <w:r w:rsidRPr="00EB5A1D">
        <w:rPr>
          <w:bCs/>
          <w:lang w:val="en-US" w:eastAsia="es-ES"/>
        </w:rPr>
        <w:t>This paper studies the determinants of local-currency corporate bond spreads in Brazil using a monthly bond-level panel of 103 inflation-linked debentures issued by 48 non-financial firms during 2010-2025, yielding 4,229 bond-month observations. The analysis combines global financial conditions, domestic macroeconomic variables, a synthetic measure of sovereign risk in Brazilian reais, bond and firm</w:t>
      </w:r>
      <w:r w:rsidR="00ED2BA6">
        <w:rPr>
          <w:bCs/>
          <w:lang w:val="en-US" w:eastAsia="es-ES"/>
        </w:rPr>
        <w:t xml:space="preserve"> </w:t>
      </w:r>
      <w:r w:rsidRPr="00EB5A1D">
        <w:rPr>
          <w:bCs/>
          <w:lang w:val="en-US" w:eastAsia="es-ES"/>
        </w:rPr>
        <w:t>level characteristics in a framework that exploits within-bond variation. The spread is measured as the difference between each corporate bond yield to maturity and a maturity-matched real risk-free rate constructed from DAP futures and NTN-B yields. Model selection tests reject pooled OLS and random effects in favor of a static fixed-effects specification with issuer-clustered standard errors; Panel-Corrected Standard Errors and Driscoll-Kraay estimates are used as robustness checks. The results show that tighter US monetary conditions, BRL depreciation, and weaker domestic growth are associated with wider corporate spreads, while larger issues exhibit lower spreads, consistent with a liquidity premium. Accounting-based leverage and operating liquidity are not robust once bond fixed effects are included. A central result is that the local-currency sovereign risk proxy enters with a negative coefficient across specifications, suggesting that sovereign-corporate transmission in Brazil's IPCA-linked market is more complex than the standard sovereign ceiling hypothesis implies. The findings matter for asset pricing, debt management, and financial-stability monitoring in emerging local-currency bond markets.</w:t>
      </w:r>
    </w:p>
    <w:p w14:paraId="34C1B469" w14:textId="77777777" w:rsidR="008551D6" w:rsidRPr="00EB5A1D" w:rsidRDefault="008551D6" w:rsidP="00EB5A1D">
      <w:pPr>
        <w:ind w:firstLine="709"/>
        <w:jc w:val="both"/>
        <w:rPr>
          <w:bCs/>
          <w:lang w:val="en-US" w:eastAsia="es-ES"/>
        </w:rPr>
      </w:pPr>
    </w:p>
    <w:p w14:paraId="36F598AC" w14:textId="03B6ADA6" w:rsidR="008C4FF6" w:rsidRDefault="00EB5A1D" w:rsidP="008551D6">
      <w:pPr>
        <w:jc w:val="both"/>
        <w:rPr>
          <w:bCs/>
          <w:lang w:val="en-US" w:eastAsia="es-ES"/>
        </w:rPr>
      </w:pPr>
      <w:r w:rsidRPr="005030C2">
        <w:rPr>
          <w:b/>
          <w:lang w:val="en-US" w:eastAsia="es-ES"/>
        </w:rPr>
        <w:t>Keywords</w:t>
      </w:r>
      <w:r w:rsidRPr="00EB5A1D">
        <w:rPr>
          <w:bCs/>
          <w:lang w:val="en-US" w:eastAsia="es-ES"/>
        </w:rPr>
        <w:t>: corporate bond spreads; local-currency debt; sovereign risk; Brazil; emerging markets</w:t>
      </w:r>
    </w:p>
    <w:p w14:paraId="670D621A" w14:textId="77777777" w:rsidR="005030C2" w:rsidRPr="00CA38ED" w:rsidRDefault="005030C2" w:rsidP="008551D6">
      <w:pPr>
        <w:jc w:val="both"/>
        <w:rPr>
          <w:lang w:val="en-US"/>
        </w:rPr>
      </w:pPr>
    </w:p>
    <w:p w14:paraId="1BC0B244" w14:textId="165ADDA4" w:rsidR="008C4FF6" w:rsidRDefault="008C4FF6" w:rsidP="00E07EC5">
      <w:pPr>
        <w:jc w:val="both"/>
        <w:rPr>
          <w:lang w:val="en-US"/>
        </w:rPr>
      </w:pPr>
      <w:r w:rsidRPr="00CA38ED">
        <w:rPr>
          <w:b/>
          <w:bCs/>
          <w:lang w:val="en-US"/>
        </w:rPr>
        <w:t>Keywords (JEL codes)</w:t>
      </w:r>
      <w:r w:rsidRPr="00CA38ED">
        <w:rPr>
          <w:lang w:val="en-US"/>
        </w:rPr>
        <w:t>: G12, G15, E44, F34</w:t>
      </w:r>
    </w:p>
    <w:p w14:paraId="779E9B16" w14:textId="77777777" w:rsidR="00942B35" w:rsidRDefault="00942B35" w:rsidP="00E07EC5">
      <w:pPr>
        <w:jc w:val="both"/>
        <w:rPr>
          <w:lang w:val="en-US"/>
        </w:rPr>
      </w:pPr>
    </w:p>
    <w:p w14:paraId="05CE2D03" w14:textId="77777777" w:rsidR="00942B35" w:rsidRDefault="00942B35" w:rsidP="00E07EC5">
      <w:pPr>
        <w:jc w:val="both"/>
        <w:rPr>
          <w:lang w:val="en-US"/>
        </w:rPr>
      </w:pPr>
    </w:p>
    <w:p w14:paraId="3E11B38B" w14:textId="77777777" w:rsidR="00942B35" w:rsidRDefault="00942B35" w:rsidP="00E07EC5">
      <w:pPr>
        <w:jc w:val="both"/>
        <w:rPr>
          <w:lang w:val="en-US"/>
        </w:rPr>
      </w:pPr>
    </w:p>
    <w:p w14:paraId="4F985D07" w14:textId="77777777" w:rsidR="00942B35" w:rsidRDefault="00942B35" w:rsidP="00E07EC5">
      <w:pPr>
        <w:jc w:val="both"/>
        <w:rPr>
          <w:lang w:val="en-US"/>
        </w:rPr>
      </w:pPr>
    </w:p>
    <w:p w14:paraId="5CFDBB20" w14:textId="77777777" w:rsidR="00942B35" w:rsidRDefault="00942B35" w:rsidP="00E07EC5">
      <w:pPr>
        <w:jc w:val="both"/>
        <w:rPr>
          <w:lang w:val="en-US"/>
        </w:rPr>
      </w:pPr>
    </w:p>
    <w:p w14:paraId="6E379DC4" w14:textId="77777777" w:rsidR="00942B35" w:rsidRDefault="00942B35" w:rsidP="00E07EC5">
      <w:pPr>
        <w:jc w:val="both"/>
        <w:rPr>
          <w:lang w:val="en-US"/>
        </w:rPr>
      </w:pPr>
    </w:p>
    <w:p w14:paraId="7C4B70D6" w14:textId="77777777" w:rsidR="00942B35" w:rsidRDefault="00942B35" w:rsidP="00E07EC5">
      <w:pPr>
        <w:jc w:val="both"/>
        <w:rPr>
          <w:lang w:val="en-US"/>
        </w:rPr>
      </w:pPr>
    </w:p>
    <w:p w14:paraId="03C4D575" w14:textId="77777777" w:rsidR="00942B35" w:rsidRDefault="00942B35" w:rsidP="00E07EC5">
      <w:pPr>
        <w:jc w:val="both"/>
        <w:rPr>
          <w:lang w:val="en-US"/>
        </w:rPr>
      </w:pPr>
    </w:p>
    <w:p w14:paraId="217D34B9" w14:textId="77777777" w:rsidR="00942B35" w:rsidRDefault="00942B35" w:rsidP="00E07EC5">
      <w:pPr>
        <w:jc w:val="both"/>
        <w:rPr>
          <w:lang w:val="en-US"/>
        </w:rPr>
      </w:pPr>
    </w:p>
    <w:p w14:paraId="0247BBF4" w14:textId="77777777" w:rsidR="00942B35" w:rsidRDefault="00942B35" w:rsidP="00E07EC5">
      <w:pPr>
        <w:jc w:val="both"/>
        <w:rPr>
          <w:lang w:val="en-US"/>
        </w:rPr>
      </w:pPr>
    </w:p>
    <w:p w14:paraId="10645818" w14:textId="77777777" w:rsidR="00942B35" w:rsidRDefault="00942B35" w:rsidP="00E07EC5">
      <w:pPr>
        <w:jc w:val="both"/>
        <w:rPr>
          <w:lang w:val="en-US"/>
        </w:rPr>
      </w:pPr>
    </w:p>
    <w:p w14:paraId="7722E2AB" w14:textId="77777777" w:rsidR="00942B35" w:rsidRDefault="00942B35" w:rsidP="00E07EC5">
      <w:pPr>
        <w:jc w:val="both"/>
        <w:rPr>
          <w:lang w:val="en-US"/>
        </w:rPr>
      </w:pPr>
    </w:p>
    <w:p w14:paraId="1D41525A" w14:textId="77777777" w:rsidR="00942B35" w:rsidRDefault="00942B35" w:rsidP="00E07EC5">
      <w:pPr>
        <w:jc w:val="both"/>
        <w:rPr>
          <w:lang w:val="en-US"/>
        </w:rPr>
      </w:pPr>
    </w:p>
    <w:p w14:paraId="35DAE38C" w14:textId="77777777" w:rsidR="00942B35" w:rsidRDefault="00942B35" w:rsidP="00E07EC5">
      <w:pPr>
        <w:jc w:val="both"/>
        <w:rPr>
          <w:lang w:val="en-US"/>
        </w:rPr>
      </w:pPr>
    </w:p>
    <w:p w14:paraId="38BC41F6" w14:textId="77777777" w:rsidR="00942B35" w:rsidRDefault="00942B35" w:rsidP="00E07EC5">
      <w:pPr>
        <w:jc w:val="both"/>
        <w:rPr>
          <w:lang w:val="en-US"/>
        </w:rPr>
      </w:pPr>
    </w:p>
    <w:p w14:paraId="64D23EA6" w14:textId="77777777" w:rsidR="00942B35" w:rsidRDefault="00942B35" w:rsidP="00E07EC5">
      <w:pPr>
        <w:jc w:val="both"/>
        <w:rPr>
          <w:lang w:val="en-US"/>
        </w:rPr>
      </w:pPr>
    </w:p>
    <w:p w14:paraId="4247E149" w14:textId="77777777" w:rsidR="003A72BE" w:rsidRDefault="003A72BE" w:rsidP="00E07EC5">
      <w:pPr>
        <w:jc w:val="both"/>
        <w:rPr>
          <w:lang w:val="en-US"/>
        </w:rPr>
      </w:pPr>
    </w:p>
    <w:p w14:paraId="6B5DE070" w14:textId="77777777" w:rsidR="00F37B42" w:rsidRPr="00CA38ED" w:rsidRDefault="00F37B42" w:rsidP="00E07EC5">
      <w:pPr>
        <w:jc w:val="both"/>
        <w:rPr>
          <w:lang w:val="en-US"/>
        </w:rPr>
      </w:pPr>
    </w:p>
    <w:p w14:paraId="3B0BBE99" w14:textId="77777777" w:rsidR="0002722C" w:rsidRPr="00CA38ED" w:rsidRDefault="0002722C">
      <w:pPr>
        <w:pBdr>
          <w:top w:val="nil"/>
          <w:left w:val="nil"/>
          <w:bottom w:val="nil"/>
          <w:right w:val="nil"/>
          <w:between w:val="nil"/>
        </w:pBdr>
        <w:shd w:val="clear" w:color="auto" w:fill="FFFFFF"/>
        <w:tabs>
          <w:tab w:val="left" w:pos="6840"/>
        </w:tabs>
        <w:jc w:val="both"/>
        <w:rPr>
          <w:lang w:val="en-US"/>
        </w:rPr>
      </w:pPr>
    </w:p>
    <w:sdt>
      <w:sdtPr>
        <w:rPr>
          <w:rFonts w:ascii="Times New Roman" w:eastAsia="Times New Roman" w:hAnsi="Times New Roman" w:cs="Times New Roman"/>
          <w:color w:val="auto"/>
          <w:sz w:val="24"/>
          <w:szCs w:val="24"/>
          <w:lang w:val="es"/>
        </w:rPr>
        <w:id w:val="-592163215"/>
        <w:docPartObj>
          <w:docPartGallery w:val="Table of Contents"/>
          <w:docPartUnique/>
        </w:docPartObj>
      </w:sdtPr>
      <w:sdtEndPr>
        <w:rPr>
          <w:b/>
          <w:bCs/>
          <w:noProof/>
        </w:rPr>
      </w:sdtEndPr>
      <w:sdtContent>
        <w:p w14:paraId="5320AB7A" w14:textId="4BE32C6E" w:rsidR="00037EE9" w:rsidRPr="00CA38ED" w:rsidRDefault="000D3904" w:rsidP="00037EE9">
          <w:pPr>
            <w:pStyle w:val="TOCHeading"/>
            <w:jc w:val="center"/>
            <w:rPr>
              <w:rFonts w:ascii="Times New Roman" w:eastAsia="Times New Roman" w:hAnsi="Times New Roman" w:cs="Times New Roman"/>
              <w:b/>
              <w:bCs/>
              <w:color w:val="auto"/>
              <w:sz w:val="28"/>
              <w:szCs w:val="28"/>
              <w:lang w:val="es"/>
            </w:rPr>
          </w:pPr>
          <w:r>
            <w:rPr>
              <w:rFonts w:ascii="Times New Roman" w:eastAsia="Times New Roman" w:hAnsi="Times New Roman" w:cs="Times New Roman"/>
              <w:b/>
              <w:bCs/>
              <w:color w:val="auto"/>
              <w:sz w:val="28"/>
              <w:szCs w:val="28"/>
              <w:lang w:val="es"/>
            </w:rPr>
            <w:t>Index</w:t>
          </w:r>
        </w:p>
        <w:p w14:paraId="6742A997" w14:textId="77777777" w:rsidR="00E06051" w:rsidRPr="00CA38ED" w:rsidRDefault="00E06051" w:rsidP="00E06051"/>
        <w:p w14:paraId="5E769226" w14:textId="7D6F85F6" w:rsidR="00F37B42" w:rsidRDefault="00037EE9">
          <w:pPr>
            <w:pStyle w:val="TOC1"/>
            <w:tabs>
              <w:tab w:val="right" w:leader="dot" w:pos="8787"/>
            </w:tabs>
            <w:rPr>
              <w:rFonts w:asciiTheme="minorHAnsi" w:eastAsiaTheme="minorEastAsia" w:hAnsiTheme="minorHAnsi" w:cstheme="minorBidi"/>
              <w:noProof/>
              <w:kern w:val="2"/>
              <w:lang w:val="en-US"/>
              <w14:ligatures w14:val="standardContextual"/>
            </w:rPr>
          </w:pPr>
          <w:r w:rsidRPr="00CA38ED">
            <w:fldChar w:fldCharType="begin"/>
          </w:r>
          <w:r w:rsidRPr="00CA38ED">
            <w:instrText xml:space="preserve"> TOC \o "1-3" \h \z \u </w:instrText>
          </w:r>
          <w:r w:rsidRPr="00CA38ED">
            <w:fldChar w:fldCharType="separate"/>
          </w:r>
          <w:hyperlink w:anchor="_Toc228544173" w:history="1">
            <w:r w:rsidR="00F37B42" w:rsidRPr="00BE4EA3">
              <w:rPr>
                <w:rStyle w:val="Hyperlink"/>
                <w:noProof/>
                <w:lang w:val="en-US"/>
              </w:rPr>
              <w:t>Abstract</w:t>
            </w:r>
            <w:r w:rsidR="00F37B42">
              <w:rPr>
                <w:noProof/>
                <w:webHidden/>
              </w:rPr>
              <w:tab/>
            </w:r>
            <w:r w:rsidR="00F37B42">
              <w:rPr>
                <w:noProof/>
                <w:webHidden/>
              </w:rPr>
              <w:fldChar w:fldCharType="begin"/>
            </w:r>
            <w:r w:rsidR="00F37B42">
              <w:rPr>
                <w:noProof/>
                <w:webHidden/>
              </w:rPr>
              <w:instrText xml:space="preserve"> PAGEREF _Toc228544173 \h </w:instrText>
            </w:r>
            <w:r w:rsidR="00F37B42">
              <w:rPr>
                <w:noProof/>
                <w:webHidden/>
              </w:rPr>
            </w:r>
            <w:r w:rsidR="00F37B42">
              <w:rPr>
                <w:noProof/>
                <w:webHidden/>
              </w:rPr>
              <w:fldChar w:fldCharType="separate"/>
            </w:r>
            <w:r w:rsidR="00F37B42">
              <w:rPr>
                <w:noProof/>
                <w:webHidden/>
              </w:rPr>
              <w:t>2</w:t>
            </w:r>
            <w:r w:rsidR="00F37B42">
              <w:rPr>
                <w:noProof/>
                <w:webHidden/>
              </w:rPr>
              <w:fldChar w:fldCharType="end"/>
            </w:r>
          </w:hyperlink>
        </w:p>
        <w:p w14:paraId="05D1A9A7" w14:textId="6FABEA56" w:rsidR="00F37B42" w:rsidRDefault="00F37B42">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28544174" w:history="1">
            <w:r w:rsidRPr="00BE4EA3">
              <w:rPr>
                <w:rStyle w:val="Hyperlink"/>
                <w:noProof/>
              </w:rPr>
              <w:t>1.</w:t>
            </w:r>
            <w:r>
              <w:rPr>
                <w:rFonts w:asciiTheme="minorHAnsi" w:eastAsiaTheme="minorEastAsia" w:hAnsiTheme="minorHAnsi" w:cstheme="minorBidi"/>
                <w:noProof/>
                <w:kern w:val="2"/>
                <w:lang w:val="en-US"/>
                <w14:ligatures w14:val="standardContextual"/>
              </w:rPr>
              <w:tab/>
            </w:r>
            <w:r w:rsidRPr="00BE4EA3">
              <w:rPr>
                <w:rStyle w:val="Hyperlink"/>
                <w:noProof/>
              </w:rPr>
              <w:t>Introduction</w:t>
            </w:r>
            <w:r>
              <w:rPr>
                <w:noProof/>
                <w:webHidden/>
              </w:rPr>
              <w:tab/>
            </w:r>
            <w:r>
              <w:rPr>
                <w:noProof/>
                <w:webHidden/>
              </w:rPr>
              <w:fldChar w:fldCharType="begin"/>
            </w:r>
            <w:r>
              <w:rPr>
                <w:noProof/>
                <w:webHidden/>
              </w:rPr>
              <w:instrText xml:space="preserve"> PAGEREF _Toc228544174 \h </w:instrText>
            </w:r>
            <w:r>
              <w:rPr>
                <w:noProof/>
                <w:webHidden/>
              </w:rPr>
            </w:r>
            <w:r>
              <w:rPr>
                <w:noProof/>
                <w:webHidden/>
              </w:rPr>
              <w:fldChar w:fldCharType="separate"/>
            </w:r>
            <w:r>
              <w:rPr>
                <w:noProof/>
                <w:webHidden/>
              </w:rPr>
              <w:t>4</w:t>
            </w:r>
            <w:r>
              <w:rPr>
                <w:noProof/>
                <w:webHidden/>
              </w:rPr>
              <w:fldChar w:fldCharType="end"/>
            </w:r>
          </w:hyperlink>
        </w:p>
        <w:p w14:paraId="57662A15" w14:textId="77D7DC0E" w:rsidR="00F37B42" w:rsidRDefault="00F37B42">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28544175" w:history="1">
            <w:r w:rsidRPr="00BE4EA3">
              <w:rPr>
                <w:rStyle w:val="Hyperlink"/>
                <w:noProof/>
              </w:rPr>
              <w:t>2.</w:t>
            </w:r>
            <w:r>
              <w:rPr>
                <w:rFonts w:asciiTheme="minorHAnsi" w:eastAsiaTheme="minorEastAsia" w:hAnsiTheme="minorHAnsi" w:cstheme="minorBidi"/>
                <w:noProof/>
                <w:kern w:val="2"/>
                <w:lang w:val="en-US"/>
                <w14:ligatures w14:val="standardContextual"/>
              </w:rPr>
              <w:tab/>
            </w:r>
            <w:r w:rsidRPr="00BE4EA3">
              <w:rPr>
                <w:rStyle w:val="Hyperlink"/>
                <w:noProof/>
              </w:rPr>
              <w:t>Literature Review</w:t>
            </w:r>
            <w:r>
              <w:rPr>
                <w:noProof/>
                <w:webHidden/>
              </w:rPr>
              <w:tab/>
            </w:r>
            <w:r>
              <w:rPr>
                <w:noProof/>
                <w:webHidden/>
              </w:rPr>
              <w:fldChar w:fldCharType="begin"/>
            </w:r>
            <w:r>
              <w:rPr>
                <w:noProof/>
                <w:webHidden/>
              </w:rPr>
              <w:instrText xml:space="preserve"> PAGEREF _Toc228544175 \h </w:instrText>
            </w:r>
            <w:r>
              <w:rPr>
                <w:noProof/>
                <w:webHidden/>
              </w:rPr>
            </w:r>
            <w:r>
              <w:rPr>
                <w:noProof/>
                <w:webHidden/>
              </w:rPr>
              <w:fldChar w:fldCharType="separate"/>
            </w:r>
            <w:r>
              <w:rPr>
                <w:noProof/>
                <w:webHidden/>
              </w:rPr>
              <w:t>6</w:t>
            </w:r>
            <w:r>
              <w:rPr>
                <w:noProof/>
                <w:webHidden/>
              </w:rPr>
              <w:fldChar w:fldCharType="end"/>
            </w:r>
          </w:hyperlink>
        </w:p>
        <w:p w14:paraId="05694D3C" w14:textId="47CFD297" w:rsidR="00F37B42" w:rsidRDefault="00F37B42">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28544176" w:history="1">
            <w:r w:rsidRPr="00BE4EA3">
              <w:rPr>
                <w:rStyle w:val="Hyperlink"/>
                <w:noProof/>
              </w:rPr>
              <w:t>3.</w:t>
            </w:r>
            <w:r>
              <w:rPr>
                <w:rFonts w:asciiTheme="minorHAnsi" w:eastAsiaTheme="minorEastAsia" w:hAnsiTheme="minorHAnsi" w:cstheme="minorBidi"/>
                <w:noProof/>
                <w:kern w:val="2"/>
                <w:lang w:val="en-US"/>
                <w14:ligatures w14:val="standardContextual"/>
              </w:rPr>
              <w:tab/>
            </w:r>
            <w:r w:rsidRPr="00BE4EA3">
              <w:rPr>
                <w:rStyle w:val="Hyperlink"/>
                <w:noProof/>
              </w:rPr>
              <w:t>Methodology / Empirical Strategy</w:t>
            </w:r>
            <w:r>
              <w:rPr>
                <w:noProof/>
                <w:webHidden/>
              </w:rPr>
              <w:tab/>
            </w:r>
            <w:r>
              <w:rPr>
                <w:noProof/>
                <w:webHidden/>
              </w:rPr>
              <w:fldChar w:fldCharType="begin"/>
            </w:r>
            <w:r>
              <w:rPr>
                <w:noProof/>
                <w:webHidden/>
              </w:rPr>
              <w:instrText xml:space="preserve"> PAGEREF _Toc228544176 \h </w:instrText>
            </w:r>
            <w:r>
              <w:rPr>
                <w:noProof/>
                <w:webHidden/>
              </w:rPr>
            </w:r>
            <w:r>
              <w:rPr>
                <w:noProof/>
                <w:webHidden/>
              </w:rPr>
              <w:fldChar w:fldCharType="separate"/>
            </w:r>
            <w:r>
              <w:rPr>
                <w:noProof/>
                <w:webHidden/>
              </w:rPr>
              <w:t>9</w:t>
            </w:r>
            <w:r>
              <w:rPr>
                <w:noProof/>
                <w:webHidden/>
              </w:rPr>
              <w:fldChar w:fldCharType="end"/>
            </w:r>
          </w:hyperlink>
        </w:p>
        <w:p w14:paraId="33C4B5F6" w14:textId="3BE934FB"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77" w:history="1">
            <w:r w:rsidRPr="00BE4EA3">
              <w:rPr>
                <w:rStyle w:val="Hyperlink"/>
                <w:noProof/>
                <w:lang w:val="en-US"/>
              </w:rPr>
              <w:t>3.1.</w:t>
            </w:r>
            <w:r>
              <w:rPr>
                <w:rFonts w:asciiTheme="minorHAnsi" w:eastAsiaTheme="minorEastAsia" w:hAnsiTheme="minorHAnsi" w:cstheme="minorBidi"/>
                <w:noProof/>
                <w:kern w:val="2"/>
                <w:lang w:val="en-US"/>
                <w14:ligatures w14:val="standardContextual"/>
              </w:rPr>
              <w:tab/>
            </w:r>
            <w:r w:rsidRPr="00BE4EA3">
              <w:rPr>
                <w:rStyle w:val="Hyperlink"/>
                <w:noProof/>
                <w:lang w:val="en-US"/>
              </w:rPr>
              <w:t>Data and empirical setting</w:t>
            </w:r>
            <w:r>
              <w:rPr>
                <w:noProof/>
                <w:webHidden/>
              </w:rPr>
              <w:tab/>
            </w:r>
            <w:r>
              <w:rPr>
                <w:noProof/>
                <w:webHidden/>
              </w:rPr>
              <w:fldChar w:fldCharType="begin"/>
            </w:r>
            <w:r>
              <w:rPr>
                <w:noProof/>
                <w:webHidden/>
              </w:rPr>
              <w:instrText xml:space="preserve"> PAGEREF _Toc228544177 \h </w:instrText>
            </w:r>
            <w:r>
              <w:rPr>
                <w:noProof/>
                <w:webHidden/>
              </w:rPr>
            </w:r>
            <w:r>
              <w:rPr>
                <w:noProof/>
                <w:webHidden/>
              </w:rPr>
              <w:fldChar w:fldCharType="separate"/>
            </w:r>
            <w:r>
              <w:rPr>
                <w:noProof/>
                <w:webHidden/>
              </w:rPr>
              <w:t>9</w:t>
            </w:r>
            <w:r>
              <w:rPr>
                <w:noProof/>
                <w:webHidden/>
              </w:rPr>
              <w:fldChar w:fldCharType="end"/>
            </w:r>
          </w:hyperlink>
        </w:p>
        <w:p w14:paraId="1C857CEE" w14:textId="7943411A"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78" w:history="1">
            <w:r w:rsidRPr="00BE4EA3">
              <w:rPr>
                <w:rStyle w:val="Hyperlink"/>
                <w:noProof/>
                <w:lang w:val="en-US"/>
              </w:rPr>
              <w:t>3.2.</w:t>
            </w:r>
            <w:r>
              <w:rPr>
                <w:rFonts w:asciiTheme="minorHAnsi" w:eastAsiaTheme="minorEastAsia" w:hAnsiTheme="minorHAnsi" w:cstheme="minorBidi"/>
                <w:noProof/>
                <w:kern w:val="2"/>
                <w:lang w:val="en-US"/>
                <w14:ligatures w14:val="standardContextual"/>
              </w:rPr>
              <w:tab/>
            </w:r>
            <w:r w:rsidRPr="00BE4EA3">
              <w:rPr>
                <w:rStyle w:val="Hyperlink"/>
                <w:noProof/>
                <w:lang w:val="en-US"/>
              </w:rPr>
              <w:t>Measuring the dependent variable</w:t>
            </w:r>
            <w:r>
              <w:rPr>
                <w:noProof/>
                <w:webHidden/>
              </w:rPr>
              <w:tab/>
            </w:r>
            <w:r>
              <w:rPr>
                <w:noProof/>
                <w:webHidden/>
              </w:rPr>
              <w:fldChar w:fldCharType="begin"/>
            </w:r>
            <w:r>
              <w:rPr>
                <w:noProof/>
                <w:webHidden/>
              </w:rPr>
              <w:instrText xml:space="preserve"> PAGEREF _Toc228544178 \h </w:instrText>
            </w:r>
            <w:r>
              <w:rPr>
                <w:noProof/>
                <w:webHidden/>
              </w:rPr>
            </w:r>
            <w:r>
              <w:rPr>
                <w:noProof/>
                <w:webHidden/>
              </w:rPr>
              <w:fldChar w:fldCharType="separate"/>
            </w:r>
            <w:r>
              <w:rPr>
                <w:noProof/>
                <w:webHidden/>
              </w:rPr>
              <w:t>9</w:t>
            </w:r>
            <w:r>
              <w:rPr>
                <w:noProof/>
                <w:webHidden/>
              </w:rPr>
              <w:fldChar w:fldCharType="end"/>
            </w:r>
          </w:hyperlink>
        </w:p>
        <w:p w14:paraId="481672C7" w14:textId="4CE6F980"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79" w:history="1">
            <w:r w:rsidRPr="00BE4EA3">
              <w:rPr>
                <w:rStyle w:val="Hyperlink"/>
                <w:noProof/>
                <w:lang w:val="es-AR"/>
              </w:rPr>
              <w:t>3.3.</w:t>
            </w:r>
            <w:r>
              <w:rPr>
                <w:rFonts w:asciiTheme="minorHAnsi" w:eastAsiaTheme="minorEastAsia" w:hAnsiTheme="minorHAnsi" w:cstheme="minorBidi"/>
                <w:noProof/>
                <w:kern w:val="2"/>
                <w:lang w:val="en-US"/>
                <w14:ligatures w14:val="standardContextual"/>
              </w:rPr>
              <w:tab/>
            </w:r>
            <w:r w:rsidRPr="00BE4EA3">
              <w:rPr>
                <w:rStyle w:val="Hyperlink"/>
                <w:noProof/>
                <w:lang w:val="es-AR"/>
              </w:rPr>
              <w:t>Explanatory variables</w:t>
            </w:r>
            <w:r>
              <w:rPr>
                <w:noProof/>
                <w:webHidden/>
              </w:rPr>
              <w:tab/>
            </w:r>
            <w:r>
              <w:rPr>
                <w:noProof/>
                <w:webHidden/>
              </w:rPr>
              <w:fldChar w:fldCharType="begin"/>
            </w:r>
            <w:r>
              <w:rPr>
                <w:noProof/>
                <w:webHidden/>
              </w:rPr>
              <w:instrText xml:space="preserve"> PAGEREF _Toc228544179 \h </w:instrText>
            </w:r>
            <w:r>
              <w:rPr>
                <w:noProof/>
                <w:webHidden/>
              </w:rPr>
            </w:r>
            <w:r>
              <w:rPr>
                <w:noProof/>
                <w:webHidden/>
              </w:rPr>
              <w:fldChar w:fldCharType="separate"/>
            </w:r>
            <w:r>
              <w:rPr>
                <w:noProof/>
                <w:webHidden/>
              </w:rPr>
              <w:t>10</w:t>
            </w:r>
            <w:r>
              <w:rPr>
                <w:noProof/>
                <w:webHidden/>
              </w:rPr>
              <w:fldChar w:fldCharType="end"/>
            </w:r>
          </w:hyperlink>
        </w:p>
        <w:p w14:paraId="203E1E9A" w14:textId="67124DA5"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80" w:history="1">
            <w:r w:rsidRPr="00BE4EA3">
              <w:rPr>
                <w:rStyle w:val="Hyperlink"/>
                <w:noProof/>
              </w:rPr>
              <w:t>3.4.</w:t>
            </w:r>
            <w:r>
              <w:rPr>
                <w:rFonts w:asciiTheme="minorHAnsi" w:eastAsiaTheme="minorEastAsia" w:hAnsiTheme="minorHAnsi" w:cstheme="minorBidi"/>
                <w:noProof/>
                <w:kern w:val="2"/>
                <w:lang w:val="en-US"/>
                <w14:ligatures w14:val="standardContextual"/>
              </w:rPr>
              <w:tab/>
            </w:r>
            <w:r w:rsidRPr="00BE4EA3">
              <w:rPr>
                <w:rStyle w:val="Hyperlink"/>
                <w:noProof/>
              </w:rPr>
              <w:t>Econometric specification</w:t>
            </w:r>
            <w:r>
              <w:rPr>
                <w:noProof/>
                <w:webHidden/>
              </w:rPr>
              <w:tab/>
            </w:r>
            <w:r>
              <w:rPr>
                <w:noProof/>
                <w:webHidden/>
              </w:rPr>
              <w:fldChar w:fldCharType="begin"/>
            </w:r>
            <w:r>
              <w:rPr>
                <w:noProof/>
                <w:webHidden/>
              </w:rPr>
              <w:instrText xml:space="preserve"> PAGEREF _Toc228544180 \h </w:instrText>
            </w:r>
            <w:r>
              <w:rPr>
                <w:noProof/>
                <w:webHidden/>
              </w:rPr>
            </w:r>
            <w:r>
              <w:rPr>
                <w:noProof/>
                <w:webHidden/>
              </w:rPr>
              <w:fldChar w:fldCharType="separate"/>
            </w:r>
            <w:r>
              <w:rPr>
                <w:noProof/>
                <w:webHidden/>
              </w:rPr>
              <w:t>11</w:t>
            </w:r>
            <w:r>
              <w:rPr>
                <w:noProof/>
                <w:webHidden/>
              </w:rPr>
              <w:fldChar w:fldCharType="end"/>
            </w:r>
          </w:hyperlink>
        </w:p>
        <w:p w14:paraId="0A28B96A" w14:textId="6FF179C8"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81" w:history="1">
            <w:r w:rsidRPr="00BE4EA3">
              <w:rPr>
                <w:rStyle w:val="Hyperlink"/>
                <w:noProof/>
              </w:rPr>
              <w:t>3.5.</w:t>
            </w:r>
            <w:r>
              <w:rPr>
                <w:rFonts w:asciiTheme="minorHAnsi" w:eastAsiaTheme="minorEastAsia" w:hAnsiTheme="minorHAnsi" w:cstheme="minorBidi"/>
                <w:noProof/>
                <w:kern w:val="2"/>
                <w:lang w:val="en-US"/>
                <w14:ligatures w14:val="standardContextual"/>
              </w:rPr>
              <w:tab/>
            </w:r>
            <w:r w:rsidRPr="00BE4EA3">
              <w:rPr>
                <w:rStyle w:val="Hyperlink"/>
                <w:noProof/>
              </w:rPr>
              <w:t>Model selection and inference</w:t>
            </w:r>
            <w:r>
              <w:rPr>
                <w:noProof/>
                <w:webHidden/>
              </w:rPr>
              <w:tab/>
            </w:r>
            <w:r>
              <w:rPr>
                <w:noProof/>
                <w:webHidden/>
              </w:rPr>
              <w:fldChar w:fldCharType="begin"/>
            </w:r>
            <w:r>
              <w:rPr>
                <w:noProof/>
                <w:webHidden/>
              </w:rPr>
              <w:instrText xml:space="preserve"> PAGEREF _Toc228544181 \h </w:instrText>
            </w:r>
            <w:r>
              <w:rPr>
                <w:noProof/>
                <w:webHidden/>
              </w:rPr>
            </w:r>
            <w:r>
              <w:rPr>
                <w:noProof/>
                <w:webHidden/>
              </w:rPr>
              <w:fldChar w:fldCharType="separate"/>
            </w:r>
            <w:r>
              <w:rPr>
                <w:noProof/>
                <w:webHidden/>
              </w:rPr>
              <w:t>12</w:t>
            </w:r>
            <w:r>
              <w:rPr>
                <w:noProof/>
                <w:webHidden/>
              </w:rPr>
              <w:fldChar w:fldCharType="end"/>
            </w:r>
          </w:hyperlink>
        </w:p>
        <w:p w14:paraId="575DC537" w14:textId="4A0B9F53" w:rsidR="00F37B42" w:rsidRDefault="00F37B42">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28544182" w:history="1">
            <w:r w:rsidRPr="00BE4EA3">
              <w:rPr>
                <w:rStyle w:val="Hyperlink"/>
                <w:noProof/>
              </w:rPr>
              <w:t>4.</w:t>
            </w:r>
            <w:r>
              <w:rPr>
                <w:rFonts w:asciiTheme="minorHAnsi" w:eastAsiaTheme="minorEastAsia" w:hAnsiTheme="minorHAnsi" w:cstheme="minorBidi"/>
                <w:noProof/>
                <w:kern w:val="2"/>
                <w:lang w:val="en-US"/>
                <w14:ligatures w14:val="standardContextual"/>
              </w:rPr>
              <w:tab/>
            </w:r>
            <w:r w:rsidRPr="00BE4EA3">
              <w:rPr>
                <w:rStyle w:val="Hyperlink"/>
                <w:noProof/>
              </w:rPr>
              <w:t>Results</w:t>
            </w:r>
            <w:r>
              <w:rPr>
                <w:noProof/>
                <w:webHidden/>
              </w:rPr>
              <w:tab/>
            </w:r>
            <w:r>
              <w:rPr>
                <w:noProof/>
                <w:webHidden/>
              </w:rPr>
              <w:fldChar w:fldCharType="begin"/>
            </w:r>
            <w:r>
              <w:rPr>
                <w:noProof/>
                <w:webHidden/>
              </w:rPr>
              <w:instrText xml:space="preserve"> PAGEREF _Toc228544182 \h </w:instrText>
            </w:r>
            <w:r>
              <w:rPr>
                <w:noProof/>
                <w:webHidden/>
              </w:rPr>
            </w:r>
            <w:r>
              <w:rPr>
                <w:noProof/>
                <w:webHidden/>
              </w:rPr>
              <w:fldChar w:fldCharType="separate"/>
            </w:r>
            <w:r>
              <w:rPr>
                <w:noProof/>
                <w:webHidden/>
              </w:rPr>
              <w:t>13</w:t>
            </w:r>
            <w:r>
              <w:rPr>
                <w:noProof/>
                <w:webHidden/>
              </w:rPr>
              <w:fldChar w:fldCharType="end"/>
            </w:r>
          </w:hyperlink>
        </w:p>
        <w:p w14:paraId="4363A12D" w14:textId="0D4257DF"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83" w:history="1">
            <w:r w:rsidRPr="00BE4EA3">
              <w:rPr>
                <w:rStyle w:val="Hyperlink"/>
                <w:noProof/>
              </w:rPr>
              <w:t>4.1.</w:t>
            </w:r>
            <w:r>
              <w:rPr>
                <w:rFonts w:asciiTheme="minorHAnsi" w:eastAsiaTheme="minorEastAsia" w:hAnsiTheme="minorHAnsi" w:cstheme="minorBidi"/>
                <w:noProof/>
                <w:kern w:val="2"/>
                <w:lang w:val="en-US"/>
                <w14:ligatures w14:val="standardContextual"/>
              </w:rPr>
              <w:tab/>
            </w:r>
            <w:r w:rsidRPr="00BE4EA3">
              <w:rPr>
                <w:rStyle w:val="Hyperlink"/>
                <w:noProof/>
              </w:rPr>
              <w:t>Model selection diagnostics</w:t>
            </w:r>
            <w:r>
              <w:rPr>
                <w:noProof/>
                <w:webHidden/>
              </w:rPr>
              <w:tab/>
            </w:r>
            <w:r>
              <w:rPr>
                <w:noProof/>
                <w:webHidden/>
              </w:rPr>
              <w:fldChar w:fldCharType="begin"/>
            </w:r>
            <w:r>
              <w:rPr>
                <w:noProof/>
                <w:webHidden/>
              </w:rPr>
              <w:instrText xml:space="preserve"> PAGEREF _Toc228544183 \h </w:instrText>
            </w:r>
            <w:r>
              <w:rPr>
                <w:noProof/>
                <w:webHidden/>
              </w:rPr>
            </w:r>
            <w:r>
              <w:rPr>
                <w:noProof/>
                <w:webHidden/>
              </w:rPr>
              <w:fldChar w:fldCharType="separate"/>
            </w:r>
            <w:r>
              <w:rPr>
                <w:noProof/>
                <w:webHidden/>
              </w:rPr>
              <w:t>13</w:t>
            </w:r>
            <w:r>
              <w:rPr>
                <w:noProof/>
                <w:webHidden/>
              </w:rPr>
              <w:fldChar w:fldCharType="end"/>
            </w:r>
          </w:hyperlink>
        </w:p>
        <w:p w14:paraId="602B1F27" w14:textId="1F4CA618"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84" w:history="1">
            <w:r w:rsidRPr="00BE4EA3">
              <w:rPr>
                <w:rStyle w:val="Hyperlink"/>
                <w:noProof/>
              </w:rPr>
              <w:t>4.2.</w:t>
            </w:r>
            <w:r>
              <w:rPr>
                <w:rFonts w:asciiTheme="minorHAnsi" w:eastAsiaTheme="minorEastAsia" w:hAnsiTheme="minorHAnsi" w:cstheme="minorBidi"/>
                <w:noProof/>
                <w:kern w:val="2"/>
                <w:lang w:val="en-US"/>
                <w14:ligatures w14:val="standardContextual"/>
              </w:rPr>
              <w:tab/>
            </w:r>
            <w:r w:rsidRPr="00BE4EA3">
              <w:rPr>
                <w:rStyle w:val="Hyperlink"/>
                <w:noProof/>
              </w:rPr>
              <w:t>Baseline estimates</w:t>
            </w:r>
            <w:r>
              <w:rPr>
                <w:noProof/>
                <w:webHidden/>
              </w:rPr>
              <w:tab/>
            </w:r>
            <w:r>
              <w:rPr>
                <w:noProof/>
                <w:webHidden/>
              </w:rPr>
              <w:fldChar w:fldCharType="begin"/>
            </w:r>
            <w:r>
              <w:rPr>
                <w:noProof/>
                <w:webHidden/>
              </w:rPr>
              <w:instrText xml:space="preserve"> PAGEREF _Toc228544184 \h </w:instrText>
            </w:r>
            <w:r>
              <w:rPr>
                <w:noProof/>
                <w:webHidden/>
              </w:rPr>
            </w:r>
            <w:r>
              <w:rPr>
                <w:noProof/>
                <w:webHidden/>
              </w:rPr>
              <w:fldChar w:fldCharType="separate"/>
            </w:r>
            <w:r>
              <w:rPr>
                <w:noProof/>
                <w:webHidden/>
              </w:rPr>
              <w:t>14</w:t>
            </w:r>
            <w:r>
              <w:rPr>
                <w:noProof/>
                <w:webHidden/>
              </w:rPr>
              <w:fldChar w:fldCharType="end"/>
            </w:r>
          </w:hyperlink>
        </w:p>
        <w:p w14:paraId="7156F2E8" w14:textId="60D8CCC1"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85" w:history="1">
            <w:r w:rsidRPr="00BE4EA3">
              <w:rPr>
                <w:rStyle w:val="Hyperlink"/>
                <w:noProof/>
              </w:rPr>
              <w:t>4.3.</w:t>
            </w:r>
            <w:r>
              <w:rPr>
                <w:rFonts w:asciiTheme="minorHAnsi" w:eastAsiaTheme="minorEastAsia" w:hAnsiTheme="minorHAnsi" w:cstheme="minorBidi"/>
                <w:noProof/>
                <w:kern w:val="2"/>
                <w:lang w:val="en-US"/>
                <w14:ligatures w14:val="standardContextual"/>
              </w:rPr>
              <w:tab/>
            </w:r>
            <w:r w:rsidRPr="00BE4EA3">
              <w:rPr>
                <w:rStyle w:val="Hyperlink"/>
                <w:noProof/>
              </w:rPr>
              <w:t>Magnitudes and robustness</w:t>
            </w:r>
            <w:r>
              <w:rPr>
                <w:noProof/>
                <w:webHidden/>
              </w:rPr>
              <w:tab/>
            </w:r>
            <w:r>
              <w:rPr>
                <w:noProof/>
                <w:webHidden/>
              </w:rPr>
              <w:fldChar w:fldCharType="begin"/>
            </w:r>
            <w:r>
              <w:rPr>
                <w:noProof/>
                <w:webHidden/>
              </w:rPr>
              <w:instrText xml:space="preserve"> PAGEREF _Toc228544185 \h </w:instrText>
            </w:r>
            <w:r>
              <w:rPr>
                <w:noProof/>
                <w:webHidden/>
              </w:rPr>
            </w:r>
            <w:r>
              <w:rPr>
                <w:noProof/>
                <w:webHidden/>
              </w:rPr>
              <w:fldChar w:fldCharType="separate"/>
            </w:r>
            <w:r>
              <w:rPr>
                <w:noProof/>
                <w:webHidden/>
              </w:rPr>
              <w:t>16</w:t>
            </w:r>
            <w:r>
              <w:rPr>
                <w:noProof/>
                <w:webHidden/>
              </w:rPr>
              <w:fldChar w:fldCharType="end"/>
            </w:r>
          </w:hyperlink>
        </w:p>
        <w:p w14:paraId="2FB1A305" w14:textId="7C305FA0" w:rsidR="00F37B42" w:rsidRDefault="00F37B42">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28544186" w:history="1">
            <w:r w:rsidRPr="00BE4EA3">
              <w:rPr>
                <w:rStyle w:val="Hyperlink"/>
                <w:noProof/>
              </w:rPr>
              <w:t>5.</w:t>
            </w:r>
            <w:r>
              <w:rPr>
                <w:rFonts w:asciiTheme="minorHAnsi" w:eastAsiaTheme="minorEastAsia" w:hAnsiTheme="minorHAnsi" w:cstheme="minorBidi"/>
                <w:noProof/>
                <w:kern w:val="2"/>
                <w:lang w:val="en-US"/>
                <w14:ligatures w14:val="standardContextual"/>
              </w:rPr>
              <w:tab/>
            </w:r>
            <w:r w:rsidRPr="00BE4EA3">
              <w:rPr>
                <w:rStyle w:val="Hyperlink"/>
                <w:noProof/>
              </w:rPr>
              <w:t>Discussion</w:t>
            </w:r>
            <w:r>
              <w:rPr>
                <w:noProof/>
                <w:webHidden/>
              </w:rPr>
              <w:tab/>
            </w:r>
            <w:r>
              <w:rPr>
                <w:noProof/>
                <w:webHidden/>
              </w:rPr>
              <w:fldChar w:fldCharType="begin"/>
            </w:r>
            <w:r>
              <w:rPr>
                <w:noProof/>
                <w:webHidden/>
              </w:rPr>
              <w:instrText xml:space="preserve"> PAGEREF _Toc228544186 \h </w:instrText>
            </w:r>
            <w:r>
              <w:rPr>
                <w:noProof/>
                <w:webHidden/>
              </w:rPr>
            </w:r>
            <w:r>
              <w:rPr>
                <w:noProof/>
                <w:webHidden/>
              </w:rPr>
              <w:fldChar w:fldCharType="separate"/>
            </w:r>
            <w:r>
              <w:rPr>
                <w:noProof/>
                <w:webHidden/>
              </w:rPr>
              <w:t>16</w:t>
            </w:r>
            <w:r>
              <w:rPr>
                <w:noProof/>
                <w:webHidden/>
              </w:rPr>
              <w:fldChar w:fldCharType="end"/>
            </w:r>
          </w:hyperlink>
        </w:p>
        <w:p w14:paraId="4CC7D0A8" w14:textId="0BDEE6FE"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87" w:history="1">
            <w:r w:rsidRPr="00BE4EA3">
              <w:rPr>
                <w:rStyle w:val="Hyperlink"/>
                <w:noProof/>
                <w:lang w:val="en-US"/>
              </w:rPr>
              <w:t>5.1.</w:t>
            </w:r>
            <w:r>
              <w:rPr>
                <w:rFonts w:asciiTheme="minorHAnsi" w:eastAsiaTheme="minorEastAsia" w:hAnsiTheme="minorHAnsi" w:cstheme="minorBidi"/>
                <w:noProof/>
                <w:kern w:val="2"/>
                <w:lang w:val="en-US"/>
                <w14:ligatures w14:val="standardContextual"/>
              </w:rPr>
              <w:tab/>
            </w:r>
            <w:r w:rsidRPr="00BE4EA3">
              <w:rPr>
                <w:rStyle w:val="Hyperlink"/>
                <w:noProof/>
                <w:lang w:val="en-US"/>
              </w:rPr>
              <w:t>Global transmission to local-currency corporate debt</w:t>
            </w:r>
            <w:r>
              <w:rPr>
                <w:noProof/>
                <w:webHidden/>
              </w:rPr>
              <w:tab/>
            </w:r>
            <w:r>
              <w:rPr>
                <w:noProof/>
                <w:webHidden/>
              </w:rPr>
              <w:fldChar w:fldCharType="begin"/>
            </w:r>
            <w:r>
              <w:rPr>
                <w:noProof/>
                <w:webHidden/>
              </w:rPr>
              <w:instrText xml:space="preserve"> PAGEREF _Toc228544187 \h </w:instrText>
            </w:r>
            <w:r>
              <w:rPr>
                <w:noProof/>
                <w:webHidden/>
              </w:rPr>
            </w:r>
            <w:r>
              <w:rPr>
                <w:noProof/>
                <w:webHidden/>
              </w:rPr>
              <w:fldChar w:fldCharType="separate"/>
            </w:r>
            <w:r>
              <w:rPr>
                <w:noProof/>
                <w:webHidden/>
              </w:rPr>
              <w:t>16</w:t>
            </w:r>
            <w:r>
              <w:rPr>
                <w:noProof/>
                <w:webHidden/>
              </w:rPr>
              <w:fldChar w:fldCharType="end"/>
            </w:r>
          </w:hyperlink>
        </w:p>
        <w:p w14:paraId="289C8EB4" w14:textId="029C1612"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88" w:history="1">
            <w:r w:rsidRPr="00BE4EA3">
              <w:rPr>
                <w:rStyle w:val="Hyperlink"/>
                <w:noProof/>
                <w:lang w:val="en-US"/>
              </w:rPr>
              <w:t>5.2.</w:t>
            </w:r>
            <w:r>
              <w:rPr>
                <w:rFonts w:asciiTheme="minorHAnsi" w:eastAsiaTheme="minorEastAsia" w:hAnsiTheme="minorHAnsi" w:cstheme="minorBidi"/>
                <w:noProof/>
                <w:kern w:val="2"/>
                <w:lang w:val="en-US"/>
                <w14:ligatures w14:val="standardContextual"/>
              </w:rPr>
              <w:tab/>
            </w:r>
            <w:r w:rsidRPr="00BE4EA3">
              <w:rPr>
                <w:rStyle w:val="Hyperlink"/>
                <w:noProof/>
                <w:lang w:val="en-US"/>
              </w:rPr>
              <w:t>Rethinking the sovereign ceiling in local currency</w:t>
            </w:r>
            <w:r>
              <w:rPr>
                <w:noProof/>
                <w:webHidden/>
              </w:rPr>
              <w:tab/>
            </w:r>
            <w:r>
              <w:rPr>
                <w:noProof/>
                <w:webHidden/>
              </w:rPr>
              <w:fldChar w:fldCharType="begin"/>
            </w:r>
            <w:r>
              <w:rPr>
                <w:noProof/>
                <w:webHidden/>
              </w:rPr>
              <w:instrText xml:space="preserve"> PAGEREF _Toc228544188 \h </w:instrText>
            </w:r>
            <w:r>
              <w:rPr>
                <w:noProof/>
                <w:webHidden/>
              </w:rPr>
            </w:r>
            <w:r>
              <w:rPr>
                <w:noProof/>
                <w:webHidden/>
              </w:rPr>
              <w:fldChar w:fldCharType="separate"/>
            </w:r>
            <w:r>
              <w:rPr>
                <w:noProof/>
                <w:webHidden/>
              </w:rPr>
              <w:t>17</w:t>
            </w:r>
            <w:r>
              <w:rPr>
                <w:noProof/>
                <w:webHidden/>
              </w:rPr>
              <w:fldChar w:fldCharType="end"/>
            </w:r>
          </w:hyperlink>
        </w:p>
        <w:p w14:paraId="191B68C8" w14:textId="6BF3A65B"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89" w:history="1">
            <w:r w:rsidRPr="00BE4EA3">
              <w:rPr>
                <w:rStyle w:val="Hyperlink"/>
                <w:noProof/>
                <w:lang w:val="en-US"/>
              </w:rPr>
              <w:t>5.3.</w:t>
            </w:r>
            <w:r>
              <w:rPr>
                <w:rFonts w:asciiTheme="minorHAnsi" w:eastAsiaTheme="minorEastAsia" w:hAnsiTheme="minorHAnsi" w:cstheme="minorBidi"/>
                <w:noProof/>
                <w:kern w:val="2"/>
                <w:lang w:val="en-US"/>
                <w14:ligatures w14:val="standardContextual"/>
              </w:rPr>
              <w:tab/>
            </w:r>
            <w:r w:rsidRPr="00BE4EA3">
              <w:rPr>
                <w:rStyle w:val="Hyperlink"/>
                <w:noProof/>
                <w:lang w:val="en-US"/>
              </w:rPr>
              <w:t>Liquidity, issue size, and the limited role of accounting variables</w:t>
            </w:r>
            <w:r>
              <w:rPr>
                <w:noProof/>
                <w:webHidden/>
              </w:rPr>
              <w:tab/>
            </w:r>
            <w:r>
              <w:rPr>
                <w:noProof/>
                <w:webHidden/>
              </w:rPr>
              <w:fldChar w:fldCharType="begin"/>
            </w:r>
            <w:r>
              <w:rPr>
                <w:noProof/>
                <w:webHidden/>
              </w:rPr>
              <w:instrText xml:space="preserve"> PAGEREF _Toc228544189 \h </w:instrText>
            </w:r>
            <w:r>
              <w:rPr>
                <w:noProof/>
                <w:webHidden/>
              </w:rPr>
            </w:r>
            <w:r>
              <w:rPr>
                <w:noProof/>
                <w:webHidden/>
              </w:rPr>
              <w:fldChar w:fldCharType="separate"/>
            </w:r>
            <w:r>
              <w:rPr>
                <w:noProof/>
                <w:webHidden/>
              </w:rPr>
              <w:t>18</w:t>
            </w:r>
            <w:r>
              <w:rPr>
                <w:noProof/>
                <w:webHidden/>
              </w:rPr>
              <w:fldChar w:fldCharType="end"/>
            </w:r>
          </w:hyperlink>
        </w:p>
        <w:p w14:paraId="4B8F8EE2" w14:textId="615F1C4C" w:rsidR="00F37B42" w:rsidRDefault="00F37B42">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28544190" w:history="1">
            <w:r w:rsidRPr="00BE4EA3">
              <w:rPr>
                <w:rStyle w:val="Hyperlink"/>
                <w:noProof/>
                <w:lang w:val="en-US"/>
              </w:rPr>
              <w:t>5.4.</w:t>
            </w:r>
            <w:r>
              <w:rPr>
                <w:rFonts w:asciiTheme="minorHAnsi" w:eastAsiaTheme="minorEastAsia" w:hAnsiTheme="minorHAnsi" w:cstheme="minorBidi"/>
                <w:noProof/>
                <w:kern w:val="2"/>
                <w:lang w:val="en-US"/>
                <w14:ligatures w14:val="standardContextual"/>
              </w:rPr>
              <w:tab/>
            </w:r>
            <w:r w:rsidRPr="00BE4EA3">
              <w:rPr>
                <w:rStyle w:val="Hyperlink"/>
                <w:noProof/>
                <w:lang w:val="en-US"/>
              </w:rPr>
              <w:t>Implications for policy and market practice</w:t>
            </w:r>
            <w:r>
              <w:rPr>
                <w:noProof/>
                <w:webHidden/>
              </w:rPr>
              <w:tab/>
            </w:r>
            <w:r>
              <w:rPr>
                <w:noProof/>
                <w:webHidden/>
              </w:rPr>
              <w:fldChar w:fldCharType="begin"/>
            </w:r>
            <w:r>
              <w:rPr>
                <w:noProof/>
                <w:webHidden/>
              </w:rPr>
              <w:instrText xml:space="preserve"> PAGEREF _Toc228544190 \h </w:instrText>
            </w:r>
            <w:r>
              <w:rPr>
                <w:noProof/>
                <w:webHidden/>
              </w:rPr>
            </w:r>
            <w:r>
              <w:rPr>
                <w:noProof/>
                <w:webHidden/>
              </w:rPr>
              <w:fldChar w:fldCharType="separate"/>
            </w:r>
            <w:r>
              <w:rPr>
                <w:noProof/>
                <w:webHidden/>
              </w:rPr>
              <w:t>19</w:t>
            </w:r>
            <w:r>
              <w:rPr>
                <w:noProof/>
                <w:webHidden/>
              </w:rPr>
              <w:fldChar w:fldCharType="end"/>
            </w:r>
          </w:hyperlink>
        </w:p>
        <w:p w14:paraId="5D693FDA" w14:textId="1F698360" w:rsidR="00F37B42" w:rsidRDefault="00F37B42">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28544191" w:history="1">
            <w:r w:rsidRPr="00BE4EA3">
              <w:rPr>
                <w:rStyle w:val="Hyperlink"/>
                <w:noProof/>
              </w:rPr>
              <w:t>6.</w:t>
            </w:r>
            <w:r>
              <w:rPr>
                <w:rFonts w:asciiTheme="minorHAnsi" w:eastAsiaTheme="minorEastAsia" w:hAnsiTheme="minorHAnsi" w:cstheme="minorBidi"/>
                <w:noProof/>
                <w:kern w:val="2"/>
                <w:lang w:val="en-US"/>
                <w14:ligatures w14:val="standardContextual"/>
              </w:rPr>
              <w:tab/>
            </w:r>
            <w:r w:rsidRPr="00BE4EA3">
              <w:rPr>
                <w:rStyle w:val="Hyperlink"/>
                <w:noProof/>
              </w:rPr>
              <w:t>Conclusion</w:t>
            </w:r>
            <w:r>
              <w:rPr>
                <w:noProof/>
                <w:webHidden/>
              </w:rPr>
              <w:tab/>
            </w:r>
            <w:r>
              <w:rPr>
                <w:noProof/>
                <w:webHidden/>
              </w:rPr>
              <w:fldChar w:fldCharType="begin"/>
            </w:r>
            <w:r>
              <w:rPr>
                <w:noProof/>
                <w:webHidden/>
              </w:rPr>
              <w:instrText xml:space="preserve"> PAGEREF _Toc228544191 \h </w:instrText>
            </w:r>
            <w:r>
              <w:rPr>
                <w:noProof/>
                <w:webHidden/>
              </w:rPr>
            </w:r>
            <w:r>
              <w:rPr>
                <w:noProof/>
                <w:webHidden/>
              </w:rPr>
              <w:fldChar w:fldCharType="separate"/>
            </w:r>
            <w:r>
              <w:rPr>
                <w:noProof/>
                <w:webHidden/>
              </w:rPr>
              <w:t>19</w:t>
            </w:r>
            <w:r>
              <w:rPr>
                <w:noProof/>
                <w:webHidden/>
              </w:rPr>
              <w:fldChar w:fldCharType="end"/>
            </w:r>
          </w:hyperlink>
        </w:p>
        <w:p w14:paraId="29C3808A" w14:textId="4ADD2CA7" w:rsidR="00F37B42" w:rsidRDefault="00F37B42">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28544192" w:history="1">
            <w:r w:rsidRPr="00BE4EA3">
              <w:rPr>
                <w:rStyle w:val="Hyperlink"/>
                <w:noProof/>
              </w:rPr>
              <w:t>7.</w:t>
            </w:r>
            <w:r>
              <w:rPr>
                <w:rFonts w:asciiTheme="minorHAnsi" w:eastAsiaTheme="minorEastAsia" w:hAnsiTheme="minorHAnsi" w:cstheme="minorBidi"/>
                <w:noProof/>
                <w:kern w:val="2"/>
                <w:lang w:val="en-US"/>
                <w14:ligatures w14:val="standardContextual"/>
              </w:rPr>
              <w:tab/>
            </w:r>
            <w:r w:rsidRPr="00BE4EA3">
              <w:rPr>
                <w:rStyle w:val="Hyperlink"/>
                <w:noProof/>
              </w:rPr>
              <w:t>Referencias bibliográficas</w:t>
            </w:r>
            <w:r>
              <w:rPr>
                <w:noProof/>
                <w:webHidden/>
              </w:rPr>
              <w:tab/>
            </w:r>
            <w:r>
              <w:rPr>
                <w:noProof/>
                <w:webHidden/>
              </w:rPr>
              <w:fldChar w:fldCharType="begin"/>
            </w:r>
            <w:r>
              <w:rPr>
                <w:noProof/>
                <w:webHidden/>
              </w:rPr>
              <w:instrText xml:space="preserve"> PAGEREF _Toc228544192 \h </w:instrText>
            </w:r>
            <w:r>
              <w:rPr>
                <w:noProof/>
                <w:webHidden/>
              </w:rPr>
            </w:r>
            <w:r>
              <w:rPr>
                <w:noProof/>
                <w:webHidden/>
              </w:rPr>
              <w:fldChar w:fldCharType="separate"/>
            </w:r>
            <w:r>
              <w:rPr>
                <w:noProof/>
                <w:webHidden/>
              </w:rPr>
              <w:t>21</w:t>
            </w:r>
            <w:r>
              <w:rPr>
                <w:noProof/>
                <w:webHidden/>
              </w:rPr>
              <w:fldChar w:fldCharType="end"/>
            </w:r>
          </w:hyperlink>
        </w:p>
        <w:p w14:paraId="441463BC" w14:textId="4C26E8A7" w:rsidR="0035040D" w:rsidRPr="00CA38ED" w:rsidRDefault="00037EE9" w:rsidP="0035040D">
          <w:pPr>
            <w:rPr>
              <w:b/>
              <w:bCs/>
              <w:noProof/>
            </w:rPr>
          </w:pPr>
          <w:r w:rsidRPr="00CA38ED">
            <w:rPr>
              <w:b/>
              <w:bCs/>
              <w:noProof/>
            </w:rPr>
            <w:fldChar w:fldCharType="end"/>
          </w:r>
        </w:p>
      </w:sdtContent>
    </w:sdt>
    <w:p w14:paraId="3DA9ABEA" w14:textId="77777777" w:rsidR="00742691" w:rsidRDefault="00742691" w:rsidP="0035040D">
      <w:pPr>
        <w:rPr>
          <w:b/>
          <w:bCs/>
          <w:noProof/>
        </w:rPr>
      </w:pPr>
    </w:p>
    <w:p w14:paraId="482A015E" w14:textId="77777777" w:rsidR="00472CE8" w:rsidRDefault="00472CE8" w:rsidP="0035040D">
      <w:pPr>
        <w:rPr>
          <w:b/>
          <w:bCs/>
          <w:noProof/>
        </w:rPr>
      </w:pPr>
    </w:p>
    <w:p w14:paraId="1155D12A" w14:textId="77777777" w:rsidR="00472CE8" w:rsidRDefault="00472CE8" w:rsidP="0035040D">
      <w:pPr>
        <w:rPr>
          <w:b/>
          <w:bCs/>
          <w:noProof/>
        </w:rPr>
      </w:pPr>
    </w:p>
    <w:p w14:paraId="0408E075" w14:textId="77777777" w:rsidR="00472CE8" w:rsidRDefault="00472CE8" w:rsidP="0035040D">
      <w:pPr>
        <w:rPr>
          <w:b/>
          <w:bCs/>
          <w:noProof/>
        </w:rPr>
      </w:pPr>
    </w:p>
    <w:p w14:paraId="16D81A60" w14:textId="77777777" w:rsidR="00472CE8" w:rsidRDefault="00472CE8" w:rsidP="0035040D">
      <w:pPr>
        <w:rPr>
          <w:b/>
          <w:bCs/>
          <w:noProof/>
        </w:rPr>
      </w:pPr>
    </w:p>
    <w:p w14:paraId="0D13FC8B" w14:textId="77777777" w:rsidR="00472CE8" w:rsidRDefault="00472CE8" w:rsidP="0035040D">
      <w:pPr>
        <w:rPr>
          <w:b/>
          <w:bCs/>
          <w:noProof/>
        </w:rPr>
      </w:pPr>
    </w:p>
    <w:p w14:paraId="0CDFBD60" w14:textId="77777777" w:rsidR="00472CE8" w:rsidRDefault="00472CE8" w:rsidP="0035040D">
      <w:pPr>
        <w:rPr>
          <w:b/>
          <w:bCs/>
          <w:noProof/>
        </w:rPr>
      </w:pPr>
    </w:p>
    <w:p w14:paraId="2798D27B" w14:textId="77777777" w:rsidR="00472CE8" w:rsidRDefault="00472CE8" w:rsidP="0035040D">
      <w:pPr>
        <w:rPr>
          <w:b/>
          <w:bCs/>
          <w:noProof/>
        </w:rPr>
      </w:pPr>
    </w:p>
    <w:p w14:paraId="26ABF3C9" w14:textId="77777777" w:rsidR="00472CE8" w:rsidRDefault="00472CE8" w:rsidP="0035040D">
      <w:pPr>
        <w:rPr>
          <w:b/>
          <w:bCs/>
          <w:noProof/>
        </w:rPr>
      </w:pPr>
    </w:p>
    <w:p w14:paraId="4771CD33" w14:textId="77777777" w:rsidR="00472CE8" w:rsidRDefault="00472CE8" w:rsidP="0035040D">
      <w:pPr>
        <w:rPr>
          <w:b/>
          <w:bCs/>
          <w:noProof/>
        </w:rPr>
      </w:pPr>
    </w:p>
    <w:p w14:paraId="15AF1180" w14:textId="77777777" w:rsidR="00472CE8" w:rsidRDefault="00472CE8" w:rsidP="0035040D">
      <w:pPr>
        <w:rPr>
          <w:b/>
          <w:bCs/>
          <w:noProof/>
        </w:rPr>
      </w:pPr>
    </w:p>
    <w:p w14:paraId="4C8D38EA" w14:textId="77777777" w:rsidR="00472CE8" w:rsidRDefault="00472CE8" w:rsidP="0035040D">
      <w:pPr>
        <w:rPr>
          <w:b/>
          <w:bCs/>
          <w:noProof/>
        </w:rPr>
      </w:pPr>
    </w:p>
    <w:p w14:paraId="61364C84" w14:textId="77777777" w:rsidR="00472CE8" w:rsidRDefault="00472CE8" w:rsidP="0035040D">
      <w:pPr>
        <w:rPr>
          <w:b/>
          <w:bCs/>
          <w:noProof/>
        </w:rPr>
      </w:pPr>
    </w:p>
    <w:p w14:paraId="2BDEC044" w14:textId="77777777" w:rsidR="00472CE8" w:rsidRDefault="00472CE8" w:rsidP="0035040D">
      <w:pPr>
        <w:rPr>
          <w:b/>
          <w:bCs/>
          <w:noProof/>
        </w:rPr>
      </w:pPr>
    </w:p>
    <w:p w14:paraId="7BA2C35F" w14:textId="77777777" w:rsidR="00472CE8" w:rsidRDefault="00472CE8" w:rsidP="0035040D">
      <w:pPr>
        <w:rPr>
          <w:b/>
          <w:bCs/>
          <w:noProof/>
        </w:rPr>
      </w:pPr>
    </w:p>
    <w:p w14:paraId="7C019946" w14:textId="77777777" w:rsidR="007E7F17" w:rsidRPr="00CA38ED" w:rsidRDefault="007E7F17" w:rsidP="0035040D">
      <w:pPr>
        <w:rPr>
          <w:b/>
          <w:bCs/>
          <w:noProof/>
        </w:rPr>
      </w:pPr>
    </w:p>
    <w:p w14:paraId="09364820" w14:textId="104F0B5D" w:rsidR="0002722C" w:rsidRPr="00CA38ED" w:rsidRDefault="00021130" w:rsidP="0091319A">
      <w:pPr>
        <w:pStyle w:val="Heading1"/>
      </w:pPr>
      <w:bookmarkStart w:id="1" w:name="_Toc228544174"/>
      <w:r w:rsidRPr="00CA38ED">
        <w:lastRenderedPageBreak/>
        <w:t>Introdu</w:t>
      </w:r>
      <w:r w:rsidR="00B1746B">
        <w:t>ction</w:t>
      </w:r>
      <w:bookmarkEnd w:id="1"/>
    </w:p>
    <w:p w14:paraId="0279A814" w14:textId="77777777" w:rsidR="0002722C" w:rsidRPr="00CA38ED" w:rsidRDefault="0002722C">
      <w:pPr>
        <w:ind w:left="360"/>
        <w:rPr>
          <w:b/>
          <w:bCs/>
          <w:sz w:val="28"/>
          <w:szCs w:val="28"/>
        </w:rPr>
      </w:pPr>
    </w:p>
    <w:p w14:paraId="0CC2E311" w14:textId="511DAE6B" w:rsidR="00012BFC" w:rsidRDefault="00012BFC" w:rsidP="00012BFC">
      <w:pPr>
        <w:ind w:firstLine="709"/>
        <w:jc w:val="both"/>
        <w:rPr>
          <w:bCs/>
          <w:lang w:val="en-US" w:eastAsia="es-ES"/>
        </w:rPr>
      </w:pPr>
      <w:r w:rsidRPr="00012BFC">
        <w:rPr>
          <w:bCs/>
          <w:lang w:val="en-US" w:eastAsia="es-ES"/>
        </w:rPr>
        <w:t>The expansion of local-currency bond markets has changed the way firms in emerging economies finance long-term investment. As domestic capital markets deepen, corporate borrowing becomes less dependent on bank credit and foreign-currency liabilities, but more exposed to the pricing of domestic fixed-income markets. In that environment, corporate bond spreads become a central indicator of the cost of financing, the allocation of capital, and the transmission of macro-financial shocks to the private sector. Understanding the determinants of these spreads is therefore important not only for asset pricing, but also for financial stability and for the design of public policies aimed at capital-market development.</w:t>
      </w:r>
    </w:p>
    <w:p w14:paraId="110AF851" w14:textId="77777777" w:rsidR="00E21EE9" w:rsidRPr="00012BFC" w:rsidRDefault="00E21EE9" w:rsidP="00012BFC">
      <w:pPr>
        <w:ind w:firstLine="709"/>
        <w:jc w:val="both"/>
        <w:rPr>
          <w:bCs/>
          <w:lang w:val="en-US" w:eastAsia="es-ES"/>
        </w:rPr>
      </w:pPr>
    </w:p>
    <w:p w14:paraId="2B8DBDC5" w14:textId="77777777" w:rsidR="00012BFC" w:rsidRDefault="00012BFC" w:rsidP="00012BFC">
      <w:pPr>
        <w:ind w:firstLine="709"/>
        <w:jc w:val="both"/>
        <w:rPr>
          <w:bCs/>
          <w:lang w:val="en-US" w:eastAsia="es-ES"/>
        </w:rPr>
      </w:pPr>
      <w:r w:rsidRPr="00012BFC">
        <w:rPr>
          <w:bCs/>
          <w:lang w:val="en-US" w:eastAsia="es-ES"/>
        </w:rPr>
        <w:t>Brazil provides a particularly useful setting for this question. During the last decade and a half, the Brazilian local-currency corporate bond market expanded rapidly and became the deepest in Latin America. Measured against GDP, domestic corporate bonds increased from roughly 1.3 percent of GDP in 2010 to close to 10 percent in 2024 in the thesis dataset, while the broader market reached around 14 percent of GDP by 2025. The market is organized predominantly over the counter, is heavily intermediated by domestic institutional investors, and is concentrated in large non-financial issuers from regulated and capital-intensive sectors such as electricity, transport, infrastructure, and commodities. These features make Brazil an informative laboratory for studying how global shocks, domestic macroeconomic conditions, sovereign risk, and bond-specific characteristics jointly shape the pricing of private debt in local currency.</w:t>
      </w:r>
    </w:p>
    <w:p w14:paraId="296B1A87" w14:textId="77777777" w:rsidR="00E21EE9" w:rsidRPr="00012BFC" w:rsidRDefault="00E21EE9" w:rsidP="00012BFC">
      <w:pPr>
        <w:ind w:firstLine="709"/>
        <w:jc w:val="both"/>
        <w:rPr>
          <w:bCs/>
          <w:lang w:val="en-US" w:eastAsia="es-ES"/>
        </w:rPr>
      </w:pPr>
    </w:p>
    <w:p w14:paraId="77B60A0D" w14:textId="77777777" w:rsidR="00012BFC" w:rsidRDefault="00012BFC" w:rsidP="00012BFC">
      <w:pPr>
        <w:ind w:firstLine="709"/>
        <w:jc w:val="both"/>
        <w:rPr>
          <w:bCs/>
          <w:lang w:val="en-US" w:eastAsia="es-ES"/>
        </w:rPr>
      </w:pPr>
      <w:r w:rsidRPr="00012BFC">
        <w:rPr>
          <w:bCs/>
          <w:lang w:val="en-US" w:eastAsia="es-ES"/>
        </w:rPr>
        <w:t>Despite the market's growing size, the empirical literature remains incomplete. One branch of research explains credit spreads through structural firm characteristics and liquidity conditions, emphasizing default risk and market microstructure (Merton, 1974; Duffie, 1999; Collin-Dufresne et al., 2001; Longstaff et al., 2005). A second branch documents the importance of global push factors such as risk aversion, global liquidity, and US monetary policy for sovereign and corporate spreads in emerging markets (Gonzalez-Rozada and Levy Yeyati, 2008; Liu and Spencer, 2013; Gomez-Gonzalez et al., 2022). A third branch studies the transmission of sovereign risk to the private sector through the sovereign ceiling mechanism, according to which sovereign risk acts as an upper bound on corporate credit quality and therefore on corporate spreads (Durbin and Ng, 2001; Grandes and Peter, 2005; Grandes et al., 2017). Yet most existing studies focus on sovereign spreads, foreign-currency corporate debt, shorter samples, or pooled cross-country settings. Evidence for Brazil's local-currency corporate bond market, especially for inflation-linked instruments, remains scarce.</w:t>
      </w:r>
    </w:p>
    <w:p w14:paraId="57F69181" w14:textId="77777777" w:rsidR="00E21EE9" w:rsidRPr="00012BFC" w:rsidRDefault="00E21EE9" w:rsidP="00012BFC">
      <w:pPr>
        <w:ind w:firstLine="709"/>
        <w:jc w:val="both"/>
        <w:rPr>
          <w:bCs/>
          <w:lang w:val="en-US" w:eastAsia="es-ES"/>
        </w:rPr>
      </w:pPr>
    </w:p>
    <w:p w14:paraId="1DAC8C9C" w14:textId="77777777" w:rsidR="00012BFC" w:rsidRPr="00012BFC" w:rsidRDefault="00012BFC" w:rsidP="00012BFC">
      <w:pPr>
        <w:ind w:firstLine="709"/>
        <w:jc w:val="both"/>
        <w:rPr>
          <w:bCs/>
          <w:lang w:val="en-US" w:eastAsia="es-ES"/>
        </w:rPr>
      </w:pPr>
      <w:r w:rsidRPr="00012BFC">
        <w:rPr>
          <w:bCs/>
          <w:lang w:val="en-US" w:eastAsia="es-ES"/>
        </w:rPr>
        <w:t>This paper addresses that gap with an original bond-level panel of Brazilian IPCA-linked corporate bonds between 2010 and 2025. The focus on inflation-linked debentures is substantively important. In Brazil, these securities are a large and mature segment of the domestic market because they match the preferences of long-horizon institutional investors seeking real returns and inflation protection. They also offer a cleaner measure of real financing costs than nominal or CDI-linked bonds, since both the corporate yields and the benchmark real curve are indexed to inflation. That makes them well suited for analyzing how macro-financial forces are transmitted to corporate borrowing costs in real terms.</w:t>
      </w:r>
    </w:p>
    <w:p w14:paraId="7F9B081F" w14:textId="77777777" w:rsidR="00012BFC" w:rsidRDefault="00012BFC" w:rsidP="00012BFC">
      <w:pPr>
        <w:ind w:firstLine="709"/>
        <w:jc w:val="both"/>
        <w:rPr>
          <w:bCs/>
          <w:lang w:val="en-US" w:eastAsia="es-ES"/>
        </w:rPr>
      </w:pPr>
      <w:r w:rsidRPr="00012BFC">
        <w:rPr>
          <w:bCs/>
          <w:lang w:val="en-US" w:eastAsia="es-ES"/>
        </w:rPr>
        <w:lastRenderedPageBreak/>
        <w:t>The paper makes three contributions. First, it constructs a new monthly panel of 103 non-financial IPCA-linked bonds issued by 48 firms, for a total of 4,229 bond-month observations. The data were assembled from Bloomberg and official Brazilian sources and required a specific cleaning and consolidation procedure adapted to an OTC market in which prices are fragmented across providers. Second, the paper jointly estimates the roles of global factors, domestic macroeconomic conditions, sovereign risk in local currency, and bond- and firm-level characteristics within a unified empirical framework. This matters because these determinants are often studied separately, even though market participants price them simultaneously. Third, the paper provides evidence that, while international monetary tightening, currency depreciation, slower growth, and lower issue size widen corporate spreads, the synthetic measure of sovereign risk in reais is negatively related to corporate spreads. That result is at odds with the simplest version of the sovereign ceiling hypothesis and suggests that sovereign-corporate transmission in local-currency markets may differ from that observed in external debt markets.</w:t>
      </w:r>
    </w:p>
    <w:p w14:paraId="05121CE9" w14:textId="77777777" w:rsidR="00E21EE9" w:rsidRPr="00012BFC" w:rsidRDefault="00E21EE9" w:rsidP="00012BFC">
      <w:pPr>
        <w:ind w:firstLine="709"/>
        <w:jc w:val="both"/>
        <w:rPr>
          <w:bCs/>
          <w:lang w:val="en-US" w:eastAsia="es-ES"/>
        </w:rPr>
      </w:pPr>
    </w:p>
    <w:p w14:paraId="79938A17" w14:textId="77777777" w:rsidR="00012BFC" w:rsidRDefault="00012BFC" w:rsidP="00012BFC">
      <w:pPr>
        <w:ind w:firstLine="709"/>
        <w:jc w:val="both"/>
        <w:rPr>
          <w:bCs/>
          <w:lang w:val="en-US" w:eastAsia="es-ES"/>
        </w:rPr>
      </w:pPr>
      <w:r w:rsidRPr="00012BFC">
        <w:rPr>
          <w:bCs/>
          <w:lang w:val="en-US" w:eastAsia="es-ES"/>
        </w:rPr>
        <w:t>Methodologically, the paper estimates a static fixed-effects model at the bond-month level. The identifying variation comes from changes over time within each bond, while fixed effects absorb time-invariant heterogeneity linked to issuers, contracts, sectoral risk, and other structural features. A sequence of model-selection tests rejects pooled OLS and random effects, and the preferred specification uses issuer-clustered standard errors. Because the panel also exhibits heteroskedasticity, cross-sectional dependence, and serial correlation, the paper reports Panel-Corrected Standard Errors and Driscoll-Kraay estimates as robustness checks.</w:t>
      </w:r>
    </w:p>
    <w:p w14:paraId="4CBB41A8" w14:textId="77777777" w:rsidR="00E21EE9" w:rsidRPr="00012BFC" w:rsidRDefault="00E21EE9" w:rsidP="00012BFC">
      <w:pPr>
        <w:ind w:firstLine="709"/>
        <w:jc w:val="both"/>
        <w:rPr>
          <w:bCs/>
          <w:lang w:val="en-US" w:eastAsia="es-ES"/>
        </w:rPr>
      </w:pPr>
    </w:p>
    <w:p w14:paraId="2C2585E0" w14:textId="77777777" w:rsidR="00012BFC" w:rsidRDefault="00012BFC" w:rsidP="00012BFC">
      <w:pPr>
        <w:ind w:firstLine="709"/>
        <w:jc w:val="both"/>
        <w:rPr>
          <w:bCs/>
          <w:lang w:val="en-US" w:eastAsia="es-ES"/>
        </w:rPr>
      </w:pPr>
      <w:r w:rsidRPr="00012BFC">
        <w:rPr>
          <w:bCs/>
          <w:lang w:val="en-US" w:eastAsia="es-ES"/>
        </w:rPr>
        <w:t>The main findings are clear. Tighter US monetary conditions are associated with wider corporate spreads, consistent with the idea that global liquidity conditions affect local borrowing costs even when debt is denominated in domestic currency. BRL depreciation is also linked to wider spreads, indicating that exchange-rate movements remain an informative indicator of macro-financial stress for real-denominated corporate debt. Stronger domestic growth reduces spreads, while a higher public-debt ratio increases them. On the micro side, larger issues are priced at lower spreads, which points to a liquidity premium in Brazil's OTC corporate bond market. By contrast, accounting measures such as leverage and operating cash flow are not robust once bond fixed effects are included. Finally, the sovereign-risk proxy in local currency carries a negative sign across specifications, suggesting a more segmented and institutionally specific sovereign-corporate nexus than implied by a linear ceiling effect.</w:t>
      </w:r>
    </w:p>
    <w:p w14:paraId="17E5CAB5" w14:textId="77777777" w:rsidR="00E21EE9" w:rsidRPr="00012BFC" w:rsidRDefault="00E21EE9" w:rsidP="00012BFC">
      <w:pPr>
        <w:ind w:firstLine="709"/>
        <w:jc w:val="both"/>
        <w:rPr>
          <w:bCs/>
          <w:lang w:val="en-US" w:eastAsia="es-ES"/>
        </w:rPr>
      </w:pPr>
    </w:p>
    <w:p w14:paraId="4B8FBDA2" w14:textId="368D9D0B" w:rsidR="00110EB5" w:rsidRPr="0004735D" w:rsidRDefault="00012BFC" w:rsidP="00012BFC">
      <w:pPr>
        <w:ind w:firstLine="709"/>
        <w:jc w:val="both"/>
        <w:rPr>
          <w:lang w:val="en-US"/>
        </w:rPr>
      </w:pPr>
      <w:r w:rsidRPr="00012BFC">
        <w:rPr>
          <w:bCs/>
          <w:lang w:val="en-US" w:eastAsia="es-ES"/>
        </w:rPr>
        <w:t>The remainder of the paper proceeds as follows. Section 2 reviews the literature and states the gap addressed by the paper. Section 3 presents the data, measurement strategy, and econometric specification. Section 4 reports the empirical results. Section 5 discusses the economic interpretation of the findings and their relation to the literature. Section 6 concludes with implications, limitations, and directions for future research.</w:t>
      </w:r>
    </w:p>
    <w:p w14:paraId="6EEEB36C" w14:textId="77777777" w:rsidR="0002722C" w:rsidRPr="0004735D" w:rsidRDefault="0002722C">
      <w:pPr>
        <w:pBdr>
          <w:top w:val="nil"/>
          <w:left w:val="nil"/>
          <w:bottom w:val="nil"/>
          <w:right w:val="nil"/>
          <w:between w:val="nil"/>
        </w:pBdr>
        <w:ind w:left="788"/>
        <w:jc w:val="both"/>
        <w:rPr>
          <w:lang w:val="en-US"/>
        </w:rPr>
      </w:pPr>
    </w:p>
    <w:p w14:paraId="6D40E188" w14:textId="77777777" w:rsidR="0035040D" w:rsidRDefault="0035040D">
      <w:pPr>
        <w:jc w:val="both"/>
        <w:rPr>
          <w:lang w:val="en-US"/>
        </w:rPr>
      </w:pPr>
    </w:p>
    <w:p w14:paraId="3C7481CC" w14:textId="77777777" w:rsidR="007E7F17" w:rsidRPr="0004735D" w:rsidRDefault="007E7F17">
      <w:pPr>
        <w:jc w:val="both"/>
        <w:rPr>
          <w:lang w:val="en-US"/>
        </w:rPr>
      </w:pPr>
    </w:p>
    <w:p w14:paraId="62A2B85F" w14:textId="77777777" w:rsidR="000E1AF3" w:rsidRPr="00012BFC" w:rsidRDefault="000E1AF3">
      <w:pPr>
        <w:jc w:val="center"/>
        <w:rPr>
          <w:b/>
          <w:bCs/>
          <w:sz w:val="28"/>
          <w:szCs w:val="28"/>
          <w:lang w:val="en-US"/>
        </w:rPr>
      </w:pPr>
    </w:p>
    <w:p w14:paraId="2E736054" w14:textId="77777777" w:rsidR="005177AC" w:rsidRPr="00012BFC" w:rsidRDefault="005177AC">
      <w:pPr>
        <w:jc w:val="center"/>
        <w:rPr>
          <w:b/>
          <w:bCs/>
          <w:sz w:val="28"/>
          <w:szCs w:val="28"/>
          <w:lang w:val="en-US"/>
        </w:rPr>
      </w:pPr>
    </w:p>
    <w:p w14:paraId="2F5CE719" w14:textId="76238922" w:rsidR="0002722C" w:rsidRPr="00CA38ED" w:rsidRDefault="008B4FE5" w:rsidP="00400F1D">
      <w:pPr>
        <w:pStyle w:val="Heading1"/>
      </w:pPr>
      <w:bookmarkStart w:id="2" w:name="_Toc228544175"/>
      <w:r w:rsidRPr="008B4FE5">
        <w:lastRenderedPageBreak/>
        <w:t>Literature Review</w:t>
      </w:r>
      <w:bookmarkEnd w:id="2"/>
    </w:p>
    <w:p w14:paraId="76E08439" w14:textId="77777777" w:rsidR="00C81E81" w:rsidRPr="00CA38ED" w:rsidRDefault="00C81E81" w:rsidP="007C43DB">
      <w:pPr>
        <w:rPr>
          <w:b/>
          <w:bCs/>
          <w:sz w:val="28"/>
          <w:szCs w:val="28"/>
        </w:rPr>
      </w:pPr>
    </w:p>
    <w:p w14:paraId="2C61BA9F" w14:textId="5F42475E" w:rsidR="00715091" w:rsidRDefault="00715091" w:rsidP="00715091">
      <w:pPr>
        <w:ind w:firstLine="709"/>
        <w:jc w:val="both"/>
        <w:rPr>
          <w:bCs/>
          <w:lang w:val="en-US" w:eastAsia="es-ES"/>
        </w:rPr>
      </w:pPr>
      <w:r w:rsidRPr="00715091">
        <w:rPr>
          <w:bCs/>
          <w:lang w:val="en-US" w:eastAsia="es-ES"/>
        </w:rPr>
        <w:t>The determinants of corporate bond spreads have traditionally been studied through two broad lenses: default risk and liquidity. In structural credit-risk models, spreads compensate investors for the probability that the value of the firm will fall below its debt obligations; leverage, asset volatility, and maturity therefore play central roles in pricing corporate debt (Merton, 1974). Later empirical work showed that firm fundamentals matter, but also that a substantial share of spread variation remains unexplained by traditional default variables alone (Collin-Dufresne et al., 2001). Market liquidity, trading frictions, and the functioning of dealer markets became increasingly important in this literature, particularly for securities traded in less transparent or less active markets (Duffie, 1999; Longstaff et al., 2005). These insights are highly relevant for Brazil, where corporate bonds are predominantly traded OTC and secondary-market turnover is uneven across issuers and instruments.</w:t>
      </w:r>
    </w:p>
    <w:p w14:paraId="1DE2561A" w14:textId="77777777" w:rsidR="00150DB0" w:rsidRPr="00715091" w:rsidRDefault="00150DB0" w:rsidP="00715091">
      <w:pPr>
        <w:ind w:firstLine="709"/>
        <w:jc w:val="both"/>
        <w:rPr>
          <w:bCs/>
          <w:lang w:val="en-US" w:eastAsia="es-ES"/>
        </w:rPr>
      </w:pPr>
    </w:p>
    <w:p w14:paraId="3C412574" w14:textId="77777777" w:rsidR="00715091" w:rsidRDefault="00715091" w:rsidP="00715091">
      <w:pPr>
        <w:ind w:firstLine="709"/>
        <w:jc w:val="both"/>
        <w:rPr>
          <w:bCs/>
          <w:lang w:val="en-US" w:eastAsia="es-ES"/>
        </w:rPr>
      </w:pPr>
      <w:r w:rsidRPr="00715091">
        <w:rPr>
          <w:bCs/>
          <w:lang w:val="en-US" w:eastAsia="es-ES"/>
        </w:rPr>
        <w:t>In emerging markets, however, corporate spreads reflect more than idiosyncratic firm characteristics. A large literature shows that global factors account for a sizable fraction of movement in sovereign and corporate risk premia. Gonzalez-Rozada and Levy Yeyati (2008) emphasize the role of global conditions in explaining emerging-market spreads, while Liu and Spencer (2013) show for Brazil that sovereign credit spreads respond strongly to international macro-financial variables. Gomez-Gonzalez et al. (2022) document cross-border risk spillovers between global corporations and Latin American sovereigns, again underscoring the importance of external push factors. The core insight from this literature is that even domestically issued debt can be repriced by shocks originating abroad because global investors, local portfolio managers, and domestic yield curves are embedded in an international financial environment.</w:t>
      </w:r>
    </w:p>
    <w:p w14:paraId="26059357" w14:textId="77777777" w:rsidR="00150DB0" w:rsidRPr="00715091" w:rsidRDefault="00150DB0" w:rsidP="00715091">
      <w:pPr>
        <w:ind w:firstLine="709"/>
        <w:jc w:val="both"/>
        <w:rPr>
          <w:bCs/>
          <w:lang w:val="en-US" w:eastAsia="es-ES"/>
        </w:rPr>
      </w:pPr>
    </w:p>
    <w:p w14:paraId="2A4695C1" w14:textId="77777777" w:rsidR="00715091" w:rsidRDefault="00715091" w:rsidP="00715091">
      <w:pPr>
        <w:ind w:firstLine="709"/>
        <w:jc w:val="both"/>
        <w:rPr>
          <w:bCs/>
          <w:lang w:val="en-US" w:eastAsia="es-ES"/>
        </w:rPr>
      </w:pPr>
      <w:r w:rsidRPr="00715091">
        <w:rPr>
          <w:bCs/>
          <w:lang w:val="en-US" w:eastAsia="es-ES"/>
        </w:rPr>
        <w:t>The mechanism is straightforward. When US monetary policy tightens, global funding conditions become less favorable, risk-free rates rise, and emerging-market assets face portfolio rebalancing pressures. When global risk aversion increases, capital tends to retreat from riskier jurisdictions and market liquidity becomes more selective. For sovereign bonds, these channels are well established. For corporate bonds in local currency, the evidence is thinner and in some cases more nuanced. Local institutional investors may not react in exactly the same way as international investors in hard-currency markets; in addition, domestic market segmentation can produce non-linear or even counterintuitive pricing patterns. This is one reason why separate evidence from local-currency corporate debt markets is needed.</w:t>
      </w:r>
    </w:p>
    <w:p w14:paraId="6EB77940" w14:textId="77777777" w:rsidR="00150DB0" w:rsidRPr="00715091" w:rsidRDefault="00150DB0" w:rsidP="00715091">
      <w:pPr>
        <w:ind w:firstLine="709"/>
        <w:jc w:val="both"/>
        <w:rPr>
          <w:bCs/>
          <w:lang w:val="en-US" w:eastAsia="es-ES"/>
        </w:rPr>
      </w:pPr>
    </w:p>
    <w:p w14:paraId="70EBD2F2" w14:textId="77777777" w:rsidR="00715091" w:rsidRDefault="00715091" w:rsidP="00715091">
      <w:pPr>
        <w:ind w:firstLine="709"/>
        <w:jc w:val="both"/>
        <w:rPr>
          <w:bCs/>
          <w:lang w:val="en-US" w:eastAsia="es-ES"/>
        </w:rPr>
      </w:pPr>
      <w:r w:rsidRPr="00715091">
        <w:rPr>
          <w:bCs/>
          <w:lang w:val="en-US" w:eastAsia="es-ES"/>
        </w:rPr>
        <w:t xml:space="preserve">A second relevant body of research concerns the transmission of sovereign risk to the corporate sector. Durbin and Ng (2001) provide a seminal formulation of the sovereign ceiling hypothesis for emerging-market corporate bonds, arguing that private-sector risk is partly bounded by sovereign risk because the sovereign conditions the legal, regulatory, external-financing, and macroeconomic environment in which firms operate. Grandes and Peter (2005) and Grandes et al. (2017) extend this logic to Latin America and South Africa, showing that sovereign risk often plays an important role in shaping corporate default premia. Espinoza and Prasad (2012) also show that sovereign ratings and spreads influence </w:t>
      </w:r>
      <w:r w:rsidRPr="00715091">
        <w:rPr>
          <w:bCs/>
          <w:lang w:val="en-US" w:eastAsia="es-ES"/>
        </w:rPr>
        <w:lastRenderedPageBreak/>
        <w:t>corporate financing conditions in emerging markets. The general message is that the sovereign acts as a reference borrower and as a carrier of macroeconomic risk.</w:t>
      </w:r>
    </w:p>
    <w:p w14:paraId="72C4967A" w14:textId="77777777" w:rsidR="00150DB0" w:rsidRPr="00715091" w:rsidRDefault="00150DB0" w:rsidP="00715091">
      <w:pPr>
        <w:ind w:firstLine="709"/>
        <w:jc w:val="both"/>
        <w:rPr>
          <w:bCs/>
          <w:lang w:val="en-US" w:eastAsia="es-ES"/>
        </w:rPr>
      </w:pPr>
    </w:p>
    <w:p w14:paraId="220872D8" w14:textId="77777777" w:rsidR="00715091" w:rsidRDefault="00715091" w:rsidP="00715091">
      <w:pPr>
        <w:ind w:firstLine="709"/>
        <w:jc w:val="both"/>
        <w:rPr>
          <w:bCs/>
          <w:lang w:val="en-US" w:eastAsia="es-ES"/>
        </w:rPr>
      </w:pPr>
      <w:r w:rsidRPr="00715091">
        <w:rPr>
          <w:bCs/>
          <w:lang w:val="en-US" w:eastAsia="es-ES"/>
        </w:rPr>
        <w:t>Yet the sovereign-corporate relationship is unlikely to be invariant across currencies, market structures, and investor bases. In foreign-currency debt markets, sovereign risk directly affects access to external funding and the availability of foreign exchange. In local-currency markets, especially those dominated by domestic institutional investors, the relevant transmission channels may be more indirect and more dependent on portfolio allocation, benchmark structure, and monetary policy. Grandes et al. (2017) note that the ceiling effect can vary by firm type, maturity, and market segment. This point is particularly important for Brazil's inflation-linked corporate bond market, where benchmark construction, inflation indexation, and investor clientele differ from those in hard-currency bond markets.</w:t>
      </w:r>
    </w:p>
    <w:p w14:paraId="43E3ED63" w14:textId="77777777" w:rsidR="00150DB0" w:rsidRPr="00715091" w:rsidRDefault="00150DB0" w:rsidP="00715091">
      <w:pPr>
        <w:ind w:firstLine="709"/>
        <w:jc w:val="both"/>
        <w:rPr>
          <w:bCs/>
          <w:lang w:val="en-US" w:eastAsia="es-ES"/>
        </w:rPr>
      </w:pPr>
    </w:p>
    <w:p w14:paraId="392A95B8" w14:textId="77777777" w:rsidR="00715091" w:rsidRDefault="00715091" w:rsidP="00715091">
      <w:pPr>
        <w:ind w:firstLine="709"/>
        <w:jc w:val="both"/>
        <w:rPr>
          <w:bCs/>
          <w:lang w:val="en-US" w:eastAsia="es-ES"/>
        </w:rPr>
      </w:pPr>
      <w:r w:rsidRPr="00715091">
        <w:rPr>
          <w:bCs/>
          <w:lang w:val="en-US" w:eastAsia="es-ES"/>
        </w:rPr>
        <w:t>The third line of literature concerns bond-level and firm-level heterogeneity. Corporate spreads are shaped by liquidity, issue size, maturity, leverage, profitability, and sector-specific characteristics. In developed markets, larger and more liquid issues tend to trade at lower spreads because they are easier to price and transact, while higher leverage tends to raise spreads through higher expected default risk (Collin-Dufresne et al., 2001; Longstaff et al., 2005). For emerging markets, the same mechanisms apply, but they often interact with institutional frictions, lower transparency, and thinner secondary markets. Carvalho and Marques (2020) show that the microstructure of the Brazilian corporate bond market matters for price formation and liquidity. Their evidence is especially relevant for the present paper because it points to issue-level liquidity as a key determinant of prices in a market where observable turnover measures are limited and quotations are fragmented.</w:t>
      </w:r>
    </w:p>
    <w:p w14:paraId="79B1BB05" w14:textId="77777777" w:rsidR="00150DB0" w:rsidRPr="00715091" w:rsidRDefault="00150DB0" w:rsidP="00715091">
      <w:pPr>
        <w:ind w:firstLine="709"/>
        <w:jc w:val="both"/>
        <w:rPr>
          <w:bCs/>
          <w:lang w:val="en-US" w:eastAsia="es-ES"/>
        </w:rPr>
      </w:pPr>
    </w:p>
    <w:p w14:paraId="31BE9819" w14:textId="77777777" w:rsidR="00715091" w:rsidRDefault="00715091" w:rsidP="00715091">
      <w:pPr>
        <w:ind w:firstLine="709"/>
        <w:jc w:val="both"/>
        <w:rPr>
          <w:bCs/>
          <w:lang w:val="en-US" w:eastAsia="es-ES"/>
        </w:rPr>
      </w:pPr>
      <w:r w:rsidRPr="00715091">
        <w:rPr>
          <w:bCs/>
          <w:lang w:val="en-US" w:eastAsia="es-ES"/>
        </w:rPr>
        <w:t>The literature on Brazil itself is uneven. Several papers examine sovereign spreads, CDS, or the role of macro-financial variables in the pricing of Brazilian sovereign risk (Liu and Spencer, 2013; Silva and Paulo, 2015). Other studies discuss corporate spreads in broader emerging-market settings or in Latin America, but they rarely focus on local-currency Brazilian corporate debt over a long sample. Work specifically devoted to inflation-linked debentures is even more limited. This leaves at least three gaps.</w:t>
      </w:r>
    </w:p>
    <w:p w14:paraId="3F4185EE" w14:textId="77777777" w:rsidR="00150DB0" w:rsidRPr="00715091" w:rsidRDefault="00150DB0" w:rsidP="00715091">
      <w:pPr>
        <w:ind w:firstLine="709"/>
        <w:jc w:val="both"/>
        <w:rPr>
          <w:bCs/>
          <w:lang w:val="en-US" w:eastAsia="es-ES"/>
        </w:rPr>
      </w:pPr>
    </w:p>
    <w:p w14:paraId="77DDD244" w14:textId="77777777" w:rsidR="00715091" w:rsidRDefault="00715091" w:rsidP="00715091">
      <w:pPr>
        <w:ind w:firstLine="709"/>
        <w:jc w:val="both"/>
        <w:rPr>
          <w:bCs/>
          <w:lang w:val="en-US" w:eastAsia="es-ES"/>
        </w:rPr>
      </w:pPr>
      <w:r w:rsidRPr="00715091">
        <w:rPr>
          <w:bCs/>
          <w:lang w:val="en-US" w:eastAsia="es-ES"/>
        </w:rPr>
        <w:t>First, there is little bond-level evidence for Brazilian local-currency corporate debt over a period long enough to encompass major macro-financial regimes, including the fiscal deterioration and sovereign downgrades of 2014-2016, the COVID-19 shock, and the post-2021 global monetary tightening cycle. Second, existing studies often examine only one dimension of risk at a time, such as global factors or sovereign spreads, even though investors price macro, sovereign, and idiosyncratic risks jointly. Third, the sovereign ceiling hypothesis has rarely been tested with a local-currency sovereign-risk proxy tailored to the Brazilian real curve and to inflation-linked corporate bonds.</w:t>
      </w:r>
    </w:p>
    <w:p w14:paraId="73492446" w14:textId="77777777" w:rsidR="00150DB0" w:rsidRPr="00715091" w:rsidRDefault="00150DB0" w:rsidP="00715091">
      <w:pPr>
        <w:ind w:firstLine="709"/>
        <w:jc w:val="both"/>
        <w:rPr>
          <w:bCs/>
          <w:lang w:val="en-US" w:eastAsia="es-ES"/>
        </w:rPr>
      </w:pPr>
    </w:p>
    <w:p w14:paraId="13D87D15" w14:textId="77777777" w:rsidR="00715091" w:rsidRDefault="00715091" w:rsidP="00715091">
      <w:pPr>
        <w:ind w:firstLine="709"/>
        <w:jc w:val="both"/>
        <w:rPr>
          <w:bCs/>
          <w:lang w:val="en-US" w:eastAsia="es-ES"/>
        </w:rPr>
      </w:pPr>
      <w:r w:rsidRPr="00715091">
        <w:rPr>
          <w:bCs/>
          <w:lang w:val="en-US" w:eastAsia="es-ES"/>
        </w:rPr>
        <w:t xml:space="preserve">This paper contributes to the literature by addressing these three gaps simultaneously. It combines bond-level data for Brazil's IPCA-linked market with a broad set of macro-financial covariates and an original synthetic measure of local-currency sovereign risk. This design makes it possible to ask whether the standard global-factor and sovereign-ceiling predictions continue to hold in a domestic inflation-linked market dominated by local </w:t>
      </w:r>
      <w:r w:rsidRPr="00715091">
        <w:rPr>
          <w:bCs/>
          <w:lang w:val="en-US" w:eastAsia="es-ES"/>
        </w:rPr>
        <w:lastRenderedPageBreak/>
        <w:t>institutional investors. It also clarifies which firm and bond characteristics remain relevant once time-invariant issuer and contract heterogeneity are absorbed by bond fixed effects.</w:t>
      </w:r>
    </w:p>
    <w:p w14:paraId="4B5D124A" w14:textId="77777777" w:rsidR="00150DB0" w:rsidRPr="00715091" w:rsidRDefault="00150DB0" w:rsidP="00715091">
      <w:pPr>
        <w:ind w:firstLine="709"/>
        <w:jc w:val="both"/>
        <w:rPr>
          <w:bCs/>
          <w:lang w:val="en-US" w:eastAsia="es-ES"/>
        </w:rPr>
      </w:pPr>
    </w:p>
    <w:p w14:paraId="65CD9C6C" w14:textId="73434433" w:rsidR="006F3F1E" w:rsidRPr="00715091" w:rsidRDefault="00715091" w:rsidP="00715091">
      <w:pPr>
        <w:ind w:firstLine="709"/>
        <w:jc w:val="both"/>
        <w:rPr>
          <w:bCs/>
          <w:lang w:val="en-US" w:eastAsia="es-ES"/>
        </w:rPr>
      </w:pPr>
      <w:r w:rsidRPr="00715091">
        <w:rPr>
          <w:bCs/>
          <w:lang w:val="en-US" w:eastAsia="es-ES"/>
        </w:rPr>
        <w:t>The paper's priors are consistent with the literature but leave room for market-specific departures. Global risk aversion and tighter US monetary conditions should increase corporate spreads. Currency depreciation and a higher public debt burden should also raise spreads by worsening macro-financial conditions. Stronger output growth should narrow spreads by improving expected repayment capacity. Larger issues should carry lower spreads because of greater liquidity. Leverage should raise spreads, while operating liquidity should reduce them. Maturity is theoretically ambiguous because longer bonds can embed greater duration and uncertainty, but also greater investor demand when long-horizon liabilities are matched with real-return assets. The empirical question is whether these expected signs survive in Brazil's IPCA-linked market and whether sovereign risk behaves as the sovereign-ceiling literature would predict.</w:t>
      </w:r>
    </w:p>
    <w:p w14:paraId="0E28E982" w14:textId="77777777" w:rsidR="00715091" w:rsidRPr="00715091" w:rsidRDefault="00715091" w:rsidP="00715091">
      <w:pPr>
        <w:ind w:firstLine="709"/>
        <w:jc w:val="both"/>
        <w:rPr>
          <w:lang w:val="en-US"/>
        </w:rPr>
      </w:pPr>
    </w:p>
    <w:p w14:paraId="0F2575C6" w14:textId="77777777" w:rsidR="007A3B94" w:rsidRPr="00715091" w:rsidRDefault="007A3B94" w:rsidP="006F3F1E">
      <w:pPr>
        <w:rPr>
          <w:lang w:val="en-US"/>
        </w:rPr>
      </w:pPr>
    </w:p>
    <w:p w14:paraId="797C3439" w14:textId="549085B3" w:rsidR="00BD1BE1" w:rsidRPr="00CA38ED" w:rsidRDefault="001D5078" w:rsidP="00132AFA">
      <w:pPr>
        <w:pStyle w:val="Heading1"/>
        <w:spacing w:after="200" w:line="276" w:lineRule="auto"/>
        <w:ind w:firstLine="720"/>
      </w:pPr>
      <w:bookmarkStart w:id="3" w:name="_Toc228544176"/>
      <w:r w:rsidRPr="001D5078">
        <w:t>Methodology / Empirical Strategy</w:t>
      </w:r>
      <w:bookmarkEnd w:id="3"/>
    </w:p>
    <w:p w14:paraId="7115E2D7" w14:textId="6400F578" w:rsidR="0016548A" w:rsidRPr="00777D30" w:rsidRDefault="00777D30" w:rsidP="0016548A">
      <w:pPr>
        <w:pStyle w:val="Heading2"/>
        <w:rPr>
          <w:lang w:val="en-US"/>
        </w:rPr>
      </w:pPr>
      <w:bookmarkStart w:id="4" w:name="_Toc228544177"/>
      <w:r w:rsidRPr="00777D30">
        <w:rPr>
          <w:lang w:val="en-US"/>
        </w:rPr>
        <w:t>Data and empirical setting</w:t>
      </w:r>
      <w:bookmarkEnd w:id="4"/>
    </w:p>
    <w:p w14:paraId="13C89276" w14:textId="77777777" w:rsidR="0016548A" w:rsidRPr="00777D30" w:rsidRDefault="0016548A" w:rsidP="0016548A">
      <w:pPr>
        <w:jc w:val="both"/>
        <w:rPr>
          <w:lang w:val="en-US"/>
        </w:rPr>
      </w:pPr>
    </w:p>
    <w:p w14:paraId="5700AFFF" w14:textId="13DC00A6" w:rsidR="00AA74C2" w:rsidRDefault="00AA74C2" w:rsidP="00AA74C2">
      <w:pPr>
        <w:ind w:firstLine="709"/>
        <w:jc w:val="both"/>
        <w:rPr>
          <w:bCs/>
          <w:lang w:val="en-US" w:eastAsia="es-ES"/>
        </w:rPr>
      </w:pPr>
      <w:r w:rsidRPr="00AA74C2">
        <w:rPr>
          <w:bCs/>
          <w:lang w:val="en-US" w:eastAsia="es-ES"/>
        </w:rPr>
        <w:t>The empirical analysis uses a monthly unbalanced panel of Brazilian inflation-linked corporate bonds issued by non-financial corporations between 2010 and 2025. After cleaning and filtering the initial universe of local-currency debentures, the final sample contains 103 valid IPCA-linked bonds issued by 48 firms, for a total of 4,229 bond-month observations. The average bond is observed for about 41 months, with substantial heterogeneity in coverage because bonds enter and leave the sample as they are issued, mature, or fail market-quality filters. This unbalanced structure is a natural feature of the primary and secondary corporate bond market and is common in bond-level datasets.</w:t>
      </w:r>
    </w:p>
    <w:p w14:paraId="136722E7" w14:textId="77777777" w:rsidR="00AA74C2" w:rsidRPr="00AA74C2" w:rsidRDefault="00AA74C2" w:rsidP="00AA74C2">
      <w:pPr>
        <w:ind w:firstLine="709"/>
        <w:jc w:val="both"/>
        <w:rPr>
          <w:bCs/>
          <w:lang w:val="en-US" w:eastAsia="es-ES"/>
        </w:rPr>
      </w:pPr>
    </w:p>
    <w:p w14:paraId="506CBA8E" w14:textId="77777777" w:rsidR="00AA74C2" w:rsidRDefault="00AA74C2" w:rsidP="00AA74C2">
      <w:pPr>
        <w:ind w:firstLine="709"/>
        <w:jc w:val="both"/>
        <w:rPr>
          <w:bCs/>
          <w:lang w:val="en-US" w:eastAsia="es-ES"/>
        </w:rPr>
      </w:pPr>
      <w:r w:rsidRPr="00AA74C2">
        <w:rPr>
          <w:bCs/>
          <w:lang w:val="en-US" w:eastAsia="es-ES"/>
        </w:rPr>
        <w:t>The sample focuses on IPCA-linked instruments for two reasons. First, these bonds represent a large and economically important segment of Brazil's local-currency corporate debt market. Second, they allow the paper to measure the real cost of financing by comparing corporate yields with a real risk-free benchmark that shares the same inflation indexation. This is preferable to mixing nominal and real instruments in a single dependent variable. The sample is concentrated in sectors such as electricity, transport, infrastructure-related services, iron and steel, and alternative energy, which is consistent with the broader structure of the Brazilian debenture market and with the needs of capital-intensive firms that seek long-term funding.</w:t>
      </w:r>
    </w:p>
    <w:p w14:paraId="41D8B72C" w14:textId="77777777" w:rsidR="00AA74C2" w:rsidRPr="00AA74C2" w:rsidRDefault="00AA74C2" w:rsidP="00AA74C2">
      <w:pPr>
        <w:ind w:firstLine="709"/>
        <w:jc w:val="both"/>
        <w:rPr>
          <w:bCs/>
          <w:lang w:val="en-US" w:eastAsia="es-ES"/>
        </w:rPr>
      </w:pPr>
    </w:p>
    <w:p w14:paraId="1C80C9C0" w14:textId="763DA928" w:rsidR="0016548A" w:rsidRPr="00AA74C2" w:rsidRDefault="00AA74C2" w:rsidP="00AA74C2">
      <w:pPr>
        <w:ind w:firstLine="709"/>
        <w:jc w:val="both"/>
        <w:rPr>
          <w:lang w:val="en-US"/>
        </w:rPr>
      </w:pPr>
      <w:r w:rsidRPr="00AA74C2">
        <w:rPr>
          <w:bCs/>
          <w:lang w:val="en-US" w:eastAsia="es-ES"/>
        </w:rPr>
        <w:t xml:space="preserve">The Brazilian corporate bond market is predominantly OTC. Secondary prices are not formed in a centralized limit-order book, and quotes are dispersed across market makers, pricing services, and data vendors. For that reason, the construction of the panel required a specific consolidation procedure aimed at selecting the most representative price and yield for each bond-month observation. The original thesis describes the filtering steps in detail, but the core principle is simple: retain only those bond-month observations for which metadata, maturity information, pricing history, and benchmark matching are sufficiently </w:t>
      </w:r>
      <w:r w:rsidRPr="00AA74C2">
        <w:rPr>
          <w:bCs/>
          <w:lang w:val="en-US" w:eastAsia="es-ES"/>
        </w:rPr>
        <w:lastRenderedPageBreak/>
        <w:t>consistent to produce a credible spread series. The resulting dataset is designed for empirical inference rather than for exhaustive market coverage.</w:t>
      </w:r>
    </w:p>
    <w:p w14:paraId="21CB7C45" w14:textId="77777777" w:rsidR="0090339C" w:rsidRDefault="0090339C" w:rsidP="0016548A">
      <w:pPr>
        <w:rPr>
          <w:lang w:val="en-US"/>
        </w:rPr>
      </w:pPr>
    </w:p>
    <w:p w14:paraId="0E586C7F" w14:textId="77777777" w:rsidR="009C5A0F" w:rsidRPr="00AA74C2" w:rsidRDefault="009C5A0F" w:rsidP="0016548A">
      <w:pPr>
        <w:rPr>
          <w:lang w:val="en-US"/>
        </w:rPr>
      </w:pPr>
    </w:p>
    <w:p w14:paraId="176332A1" w14:textId="581406A9" w:rsidR="0016548A" w:rsidRPr="009C5A0F" w:rsidRDefault="009C5A0F" w:rsidP="0016548A">
      <w:pPr>
        <w:pStyle w:val="Heading2"/>
        <w:rPr>
          <w:lang w:val="en-US"/>
        </w:rPr>
      </w:pPr>
      <w:bookmarkStart w:id="5" w:name="_Toc228544178"/>
      <w:r w:rsidRPr="009C5A0F">
        <w:rPr>
          <w:lang w:val="en-US"/>
        </w:rPr>
        <w:t>Measuring the dependent variable</w:t>
      </w:r>
      <w:bookmarkEnd w:id="5"/>
    </w:p>
    <w:p w14:paraId="171170F9" w14:textId="77777777" w:rsidR="00E654CA" w:rsidRPr="009C5A0F" w:rsidRDefault="00E654CA" w:rsidP="00E654CA">
      <w:pPr>
        <w:rPr>
          <w:lang w:val="en-US"/>
        </w:rPr>
      </w:pPr>
    </w:p>
    <w:p w14:paraId="6C07F4C7" w14:textId="63A51595" w:rsidR="009525F6" w:rsidRDefault="008278C8" w:rsidP="008278C8">
      <w:pPr>
        <w:spacing w:after="200" w:line="276" w:lineRule="auto"/>
        <w:ind w:firstLine="720"/>
        <w:jc w:val="both"/>
        <w:rPr>
          <w:bCs/>
          <w:lang w:val="en-US" w:eastAsia="es-ES"/>
        </w:rPr>
      </w:pPr>
      <w:r w:rsidRPr="008278C8">
        <w:rPr>
          <w:bCs/>
          <w:lang w:val="en-US" w:eastAsia="es-ES"/>
        </w:rPr>
        <w:t>The dependent variable is the corporate bond spread measured in real terms. For bond i at month t, the spread is defined as the yield to maturity on the corporate bond minus the yield on a maturity-matched real risk-free benchmark:</w:t>
      </w:r>
    </w:p>
    <w:p w14:paraId="0F2EE822" w14:textId="073E982C" w:rsidR="004A1D99" w:rsidRPr="00CD501F" w:rsidRDefault="009525F6" w:rsidP="004A1D99">
      <w:pPr>
        <w:spacing w:after="200" w:line="276" w:lineRule="auto"/>
        <w:jc w:val="both"/>
      </w:pPr>
      <m:oMathPara>
        <m:oMath>
          <m:r>
            <w:rPr>
              <w:rFonts w:ascii="Cambria Math" w:hAnsi="Cambria Math"/>
            </w:rPr>
            <m:t>Sprea</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i,t</m:t>
                  </m:r>
                </m:e>
              </m:d>
            </m:sub>
          </m:sSub>
          <m:r>
            <w:rPr>
              <w:rFonts w:ascii="Cambria Math" w:hAnsi="Cambria Math"/>
            </w:rPr>
            <m:t>= YT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i,t</m:t>
                  </m:r>
                </m:e>
              </m:d>
            </m:sub>
          </m:sSub>
          <m:r>
            <w:rPr>
              <w:rFonts w:ascii="Cambria Math" w:hAnsi="Cambria Math"/>
            </w:rPr>
            <m:t xml:space="preserve">  -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i</m:t>
                      </m:r>
                    </m:sub>
                  </m:sSub>
                </m:e>
              </m:d>
            </m:sup>
          </m:sSup>
        </m:oMath>
      </m:oMathPara>
    </w:p>
    <w:p w14:paraId="1A05358C" w14:textId="31AB6E4C" w:rsidR="00CD501F" w:rsidRDefault="003A71E7" w:rsidP="00CD501F">
      <w:pPr>
        <w:spacing w:after="200" w:line="276" w:lineRule="auto"/>
        <w:jc w:val="both"/>
        <w:rPr>
          <w:bCs/>
          <w:lang w:val="en-US" w:eastAsia="es-ES"/>
        </w:rPr>
      </w:pPr>
      <w:r w:rsidRPr="008278C8">
        <w:rPr>
          <w:bCs/>
          <w:lang w:val="en-US" w:eastAsia="es-ES"/>
        </w:rPr>
        <w:t>W</w:t>
      </w:r>
      <w:r w:rsidR="008278C8" w:rsidRPr="008278C8">
        <w:rPr>
          <w:bCs/>
          <w:lang w:val="en-US" w:eastAsia="es-ES"/>
        </w:rPr>
        <w:t>here</w:t>
      </w:r>
      <w:r>
        <w:rPr>
          <w:bCs/>
          <w:lang w:val="en-US" w:eastAsia="es-ES"/>
        </w:rPr>
        <w:t>:</w:t>
      </w:r>
    </w:p>
    <w:p w14:paraId="6E468E7E" w14:textId="77777777" w:rsidR="008A26EA" w:rsidRDefault="009E5CD6" w:rsidP="009E5CD6">
      <w:pPr>
        <w:pStyle w:val="ListParagraph"/>
        <w:numPr>
          <w:ilvl w:val="0"/>
          <w:numId w:val="50"/>
        </w:numPr>
        <w:spacing w:after="200" w:line="276" w:lineRule="auto"/>
        <w:jc w:val="both"/>
        <w:rPr>
          <w:bCs/>
          <w:lang w:val="en-US" w:eastAsia="es-ES"/>
        </w:rPr>
      </w:pPr>
      <m:oMath>
        <m:r>
          <w:rPr>
            <w:rFonts w:ascii="Cambria Math" w:hAnsi="Cambria Math"/>
          </w:rPr>
          <m:t>YT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i</m:t>
                </m:r>
                <m:r>
                  <w:rPr>
                    <w:rFonts w:ascii="Cambria Math" w:hAnsi="Cambria Math"/>
                    <w:lang w:val="en-US"/>
                  </w:rPr>
                  <m:t>,</m:t>
                </m:r>
                <m:r>
                  <w:rPr>
                    <w:rFonts w:ascii="Cambria Math" w:hAnsi="Cambria Math"/>
                  </w:rPr>
                  <m:t>t</m:t>
                </m:r>
              </m:e>
            </m:d>
          </m:sub>
        </m:sSub>
      </m:oMath>
      <w:r w:rsidRPr="009E5CD6">
        <w:rPr>
          <w:lang w:val="en-US"/>
        </w:rPr>
        <w:t xml:space="preserve"> </w:t>
      </w:r>
      <w:r w:rsidR="008278C8" w:rsidRPr="009E5CD6">
        <w:rPr>
          <w:bCs/>
          <w:lang w:val="en-US" w:eastAsia="es-ES"/>
        </w:rPr>
        <w:t>is the observed yield to maturity of the corporate bond and</w:t>
      </w:r>
    </w:p>
    <w:p w14:paraId="0C156C81" w14:textId="38A910C3" w:rsidR="008278C8" w:rsidRPr="009E5CD6" w:rsidRDefault="008278C8" w:rsidP="009E5CD6">
      <w:pPr>
        <w:pStyle w:val="ListParagraph"/>
        <w:numPr>
          <w:ilvl w:val="0"/>
          <w:numId w:val="50"/>
        </w:numPr>
        <w:spacing w:after="200" w:line="276" w:lineRule="auto"/>
        <w:jc w:val="both"/>
        <w:rPr>
          <w:bCs/>
          <w:lang w:val="en-US" w:eastAsia="es-ES"/>
        </w:rPr>
      </w:pPr>
      <w:r w:rsidRPr="009E5CD6">
        <w:rPr>
          <w:bCs/>
          <w:lang w:val="en-US" w:eastAsia="es-ES"/>
        </w:rPr>
        <w:t xml:space="preserve"> </w:t>
      </w:r>
      <m:oMath>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t</m:t>
                </m:r>
                <m:r>
                  <w:rPr>
                    <w:rFonts w:ascii="Cambria Math" w:hAnsi="Cambria Math"/>
                    <w:lang w:val="en-US"/>
                  </w:rPr>
                  <m:t>,</m:t>
                </m:r>
                <m:sSub>
                  <m:sSubPr>
                    <m:ctrlPr>
                      <w:rPr>
                        <w:rFonts w:ascii="Cambria Math" w:hAnsi="Cambria Math"/>
                        <w:i/>
                      </w:rPr>
                    </m:ctrlPr>
                  </m:sSubPr>
                  <m:e>
                    <m:r>
                      <w:rPr>
                        <w:rFonts w:ascii="Cambria Math" w:hAnsi="Cambria Math"/>
                      </w:rPr>
                      <m:t>τ</m:t>
                    </m:r>
                  </m:e>
                  <m:sub>
                    <m:r>
                      <w:rPr>
                        <w:rFonts w:ascii="Cambria Math" w:hAnsi="Cambria Math"/>
                      </w:rPr>
                      <m:t>i</m:t>
                    </m:r>
                  </m:sub>
                </m:sSub>
              </m:e>
            </m:d>
          </m:sup>
        </m:sSup>
      </m:oMath>
      <w:r w:rsidRPr="009E5CD6">
        <w:rPr>
          <w:bCs/>
          <w:lang w:val="en-US" w:eastAsia="es-ES"/>
        </w:rPr>
        <w:t xml:space="preserve"> is the interpolated real risk-free rate at the same date and residual maturity. Because the corporate bonds in the sample are indexed to the IPCA, the benchmark curve must also be real and IPCA-consistent.</w:t>
      </w:r>
    </w:p>
    <w:p w14:paraId="2CF04E15" w14:textId="77777777" w:rsidR="008278C8" w:rsidRPr="008278C8" w:rsidRDefault="008278C8" w:rsidP="008278C8">
      <w:pPr>
        <w:spacing w:after="200" w:line="276" w:lineRule="auto"/>
        <w:ind w:firstLine="720"/>
        <w:jc w:val="both"/>
        <w:rPr>
          <w:bCs/>
          <w:lang w:val="en-US" w:eastAsia="es-ES"/>
        </w:rPr>
      </w:pPr>
      <w:r w:rsidRPr="008278C8">
        <w:rPr>
          <w:bCs/>
          <w:lang w:val="en-US" w:eastAsia="es-ES"/>
        </w:rPr>
        <w:t>Constructing that benchmark is non-trivial because no single instrument provides a fully liquid real risk-free curve across all maturities. The strategy therefore combines two sources. For the short end, from zero to roughly five years, the paper uses rates implied by DAP futures, which are relatively more liquid in that segment. For the medium and long end, from about five to fifteen years, the paper uses yields on Brazilian Treasury inflation-linked bonds (NTN-B). To smooth the term structure and interpolate across maturities, the benchmark curves are fitted with a Nelson-Siegel specification. This hybrid approach aims to minimize distortions from illiquidity at long maturities while preserving consistency across the term structure. The result is a monthly real yield curve that can be matched to each corporate bond by residual maturity.</w:t>
      </w:r>
    </w:p>
    <w:p w14:paraId="6F3C998B" w14:textId="19F03E78" w:rsidR="00E654CA" w:rsidRDefault="008278C8" w:rsidP="008278C8">
      <w:pPr>
        <w:spacing w:after="200" w:line="276" w:lineRule="auto"/>
        <w:ind w:firstLine="720"/>
        <w:jc w:val="both"/>
        <w:rPr>
          <w:bCs/>
          <w:lang w:val="en-US" w:eastAsia="es-ES"/>
        </w:rPr>
      </w:pPr>
      <w:r w:rsidRPr="008278C8">
        <w:rPr>
          <w:bCs/>
          <w:lang w:val="en-US" w:eastAsia="es-ES"/>
        </w:rPr>
        <w:t>The spread defined in this way is conceptually appealing because it isolates the compensation investors require above a real sovereign benchmark of comparable maturity. It therefore captures a combination of expected default risk, liquidity premia, tax and contract effects, and market segmentation. In practice, the OTC nature of the market means that part of the measured spread also reflects pricing frictions, which reinforces the importance of controlling for issue size and other liquidity-related characteristics.</w:t>
      </w:r>
    </w:p>
    <w:p w14:paraId="7ABCAF9F" w14:textId="77777777" w:rsidR="00401B39" w:rsidRPr="008278C8" w:rsidRDefault="00401B39" w:rsidP="008278C8">
      <w:pPr>
        <w:spacing w:after="200" w:line="276" w:lineRule="auto"/>
        <w:ind w:firstLine="720"/>
        <w:jc w:val="both"/>
        <w:rPr>
          <w:lang w:val="en-US"/>
        </w:rPr>
      </w:pPr>
    </w:p>
    <w:p w14:paraId="14DDCDB3" w14:textId="77777777" w:rsidR="004440FB" w:rsidRPr="008278C8" w:rsidRDefault="004440FB" w:rsidP="0064035A">
      <w:pPr>
        <w:jc w:val="both"/>
        <w:rPr>
          <w:lang w:val="en-US"/>
        </w:rPr>
      </w:pPr>
    </w:p>
    <w:p w14:paraId="5ADB6E60" w14:textId="512570CD" w:rsidR="00CB0BE9" w:rsidRPr="0056305B" w:rsidRDefault="0056305B" w:rsidP="00CB0BE9">
      <w:pPr>
        <w:pStyle w:val="Heading2"/>
        <w:rPr>
          <w:lang w:val="es-AR"/>
        </w:rPr>
      </w:pPr>
      <w:bookmarkStart w:id="6" w:name="_Toc228544179"/>
      <w:r w:rsidRPr="0056305B">
        <w:rPr>
          <w:lang w:val="es-AR"/>
        </w:rPr>
        <w:t>Explanatory variables</w:t>
      </w:r>
      <w:bookmarkEnd w:id="6"/>
    </w:p>
    <w:p w14:paraId="2F264945" w14:textId="77777777" w:rsidR="00CB0BE9" w:rsidRPr="0056305B" w:rsidRDefault="00CB0BE9" w:rsidP="00CB0BE9">
      <w:pPr>
        <w:jc w:val="both"/>
        <w:rPr>
          <w:sz w:val="28"/>
          <w:szCs w:val="28"/>
          <w:lang w:val="es-AR"/>
        </w:rPr>
      </w:pPr>
    </w:p>
    <w:p w14:paraId="59E3C9CF" w14:textId="456ABFB3" w:rsidR="00BB6037" w:rsidRDefault="00BB6037" w:rsidP="00BB6037">
      <w:pPr>
        <w:ind w:firstLine="709"/>
        <w:jc w:val="both"/>
        <w:rPr>
          <w:bCs/>
          <w:lang w:val="en-US" w:eastAsia="es-ES"/>
        </w:rPr>
      </w:pPr>
      <w:r w:rsidRPr="00BB6037">
        <w:rPr>
          <w:bCs/>
          <w:lang w:val="en-US" w:eastAsia="es-ES"/>
        </w:rPr>
        <w:t>The covariates are grouped into four blocks: global factors, domestic macroeconomic conditions, sovereign risk, and idiosyncratic bond- and firm-level variables.</w:t>
      </w:r>
    </w:p>
    <w:p w14:paraId="3707F873" w14:textId="77777777" w:rsidR="00223C58" w:rsidRPr="00BB6037" w:rsidRDefault="00223C58" w:rsidP="00BB6037">
      <w:pPr>
        <w:ind w:firstLine="709"/>
        <w:jc w:val="both"/>
        <w:rPr>
          <w:bCs/>
          <w:lang w:val="en-US" w:eastAsia="es-ES"/>
        </w:rPr>
      </w:pPr>
    </w:p>
    <w:p w14:paraId="12C1E5EA" w14:textId="77777777" w:rsidR="00BB6037" w:rsidRDefault="00BB6037" w:rsidP="00BB6037">
      <w:pPr>
        <w:ind w:firstLine="709"/>
        <w:jc w:val="both"/>
        <w:rPr>
          <w:bCs/>
          <w:lang w:val="en-US" w:eastAsia="es-ES"/>
        </w:rPr>
      </w:pPr>
      <w:r w:rsidRPr="00BB6037">
        <w:rPr>
          <w:bCs/>
          <w:lang w:val="en-US" w:eastAsia="es-ES"/>
        </w:rPr>
        <w:t>Global factors are represented by the VIX index and a three-month forward measure of US monetary policy based on the US rate curve. The VIX captures global risk aversion and the risk-off environment faced by emerging-market assets. The forward US monetary-policy indicator is intended to capture changes in expected international funding conditions more effectively than a spot policy rate. A tightening in expected US policy should raise Brazilian corporate spreads if local borrowing costs remain sensitive to global liquidity.</w:t>
      </w:r>
    </w:p>
    <w:p w14:paraId="0B7898DA" w14:textId="77777777" w:rsidR="00223C58" w:rsidRPr="00BB6037" w:rsidRDefault="00223C58" w:rsidP="00BB6037">
      <w:pPr>
        <w:ind w:firstLine="709"/>
        <w:jc w:val="both"/>
        <w:rPr>
          <w:bCs/>
          <w:lang w:val="en-US" w:eastAsia="es-ES"/>
        </w:rPr>
      </w:pPr>
    </w:p>
    <w:p w14:paraId="339E0213" w14:textId="77777777" w:rsidR="00BB6037" w:rsidRDefault="00BB6037" w:rsidP="00BB6037">
      <w:pPr>
        <w:ind w:firstLine="709"/>
        <w:jc w:val="both"/>
        <w:rPr>
          <w:bCs/>
          <w:lang w:val="en-US" w:eastAsia="es-ES"/>
        </w:rPr>
      </w:pPr>
      <w:r w:rsidRPr="00BB6037">
        <w:rPr>
          <w:bCs/>
          <w:lang w:val="en-US" w:eastAsia="es-ES"/>
        </w:rPr>
        <w:t>Domestic macroeconomic conditions are proxied by the BRL/USD exchange rate, real GDP growth, and the public-debt-to-GDP ratio. Exchange-rate depreciation is expected to raise spreads because it signals external vulnerability, inflationary pressure, and tighter domestic financial conditions, even when bonds are denominated in local currency. Higher real growth should narrow spreads by improving expected cash flows and reducing perceived default risk. A higher public-debt ratio should widen spreads through the macro-fiscal channel by worsening the sovereign backdrop against which private issuers are priced.</w:t>
      </w:r>
    </w:p>
    <w:p w14:paraId="2660AE79" w14:textId="77777777" w:rsidR="00223C58" w:rsidRPr="00BB6037" w:rsidRDefault="00223C58" w:rsidP="00BB6037">
      <w:pPr>
        <w:ind w:firstLine="709"/>
        <w:jc w:val="both"/>
        <w:rPr>
          <w:bCs/>
          <w:lang w:val="en-US" w:eastAsia="es-ES"/>
        </w:rPr>
      </w:pPr>
    </w:p>
    <w:p w14:paraId="4FC251FE" w14:textId="77777777" w:rsidR="00BB6037" w:rsidRDefault="00BB6037" w:rsidP="00BB6037">
      <w:pPr>
        <w:ind w:firstLine="709"/>
        <w:jc w:val="both"/>
        <w:rPr>
          <w:bCs/>
          <w:lang w:val="en-US" w:eastAsia="es-ES"/>
        </w:rPr>
      </w:pPr>
      <w:r w:rsidRPr="00BB6037">
        <w:rPr>
          <w:bCs/>
          <w:lang w:val="en-US" w:eastAsia="es-ES"/>
        </w:rPr>
        <w:t>Sovereign risk is measured with a synthetic local-currency spread rather than with a standard hard-currency CDS series. The motivation is straightforward: the paper studies local-currency corporate bonds and therefore requires a sovereign-risk proxy relevant to the pricing of Brazilian real-denominated instruments. The synthetic measure is built from sovereign securities in local currency. For nominal sovereign bonds, yields are compared with the DI curve; for inflation-linked sovereign bonds, yields are compared with the corresponding real benchmark curve. The resulting spread is interpreted as a proxy for sovereign risk in BRL. It is not equivalent to an international risk-country measure, but it is better aligned with the valuation of domestic corporate bonds.</w:t>
      </w:r>
    </w:p>
    <w:p w14:paraId="5E5BA6D7" w14:textId="77777777" w:rsidR="00223C58" w:rsidRPr="00BB6037" w:rsidRDefault="00223C58" w:rsidP="00BB6037">
      <w:pPr>
        <w:ind w:firstLine="709"/>
        <w:jc w:val="both"/>
        <w:rPr>
          <w:bCs/>
          <w:lang w:val="en-US" w:eastAsia="es-ES"/>
        </w:rPr>
      </w:pPr>
    </w:p>
    <w:p w14:paraId="72FE75C5" w14:textId="6CD054DD" w:rsidR="00CB0BE9" w:rsidRDefault="00BB6037" w:rsidP="00BB6037">
      <w:pPr>
        <w:ind w:firstLine="709"/>
        <w:jc w:val="both"/>
        <w:rPr>
          <w:bCs/>
          <w:lang w:val="en-US" w:eastAsia="es-ES"/>
        </w:rPr>
      </w:pPr>
      <w:r w:rsidRPr="00BB6037">
        <w:rPr>
          <w:bCs/>
          <w:lang w:val="en-US" w:eastAsia="es-ES"/>
        </w:rPr>
        <w:t>Idiosyncratic determinants include three bond- or firm-level variables. The first is the ratio of amount issued to total assets, which serves as a proxy for the relative size and liquidity of the issue. The intuition is that larger issues are easier to place, attract more investors, and may trade with narrower spreads in an OTC market. The second is operating cash flow over total assets, which proxies for internal liquidity and short-term financial strength. The third is debt to EBITDA, a standard leverage measure. The paper also includes residual maturity in business days, normalized by the 252-day convention used in Brazilian financial markets.</w:t>
      </w:r>
    </w:p>
    <w:p w14:paraId="1A69AA46" w14:textId="77777777" w:rsidR="00A76DB0" w:rsidRDefault="00A76DB0" w:rsidP="00BB6037">
      <w:pPr>
        <w:ind w:firstLine="709"/>
        <w:jc w:val="both"/>
        <w:rPr>
          <w:bCs/>
          <w:lang w:val="en-US" w:eastAsia="es-ES"/>
        </w:rPr>
      </w:pPr>
    </w:p>
    <w:p w14:paraId="7D54AD8A" w14:textId="77777777" w:rsidR="00A76DB0" w:rsidRPr="0083007D" w:rsidRDefault="00A76DB0" w:rsidP="00A76DB0">
      <w:pPr>
        <w:spacing w:after="120"/>
        <w:rPr>
          <w:lang w:val="en-US"/>
        </w:rPr>
      </w:pPr>
      <w:r w:rsidRPr="0083007D">
        <w:rPr>
          <w:lang w:val="en-US"/>
        </w:rPr>
        <w:t>Table 1 summarizes the variables, their interpretation, and the expected sign suggested by the literature.</w:t>
      </w:r>
    </w:p>
    <w:p w14:paraId="3492749B" w14:textId="6AB20C09" w:rsidR="00A76DB0" w:rsidRDefault="00A76DB0" w:rsidP="00350E19">
      <w:pPr>
        <w:spacing w:before="120" w:after="60"/>
        <w:rPr>
          <w:bCs/>
          <w:lang w:val="en-US"/>
        </w:rPr>
      </w:pPr>
    </w:p>
    <w:p w14:paraId="75AE761F" w14:textId="63F28A57" w:rsidR="00515552" w:rsidRPr="00515552" w:rsidRDefault="00515552" w:rsidP="00515552">
      <w:pPr>
        <w:pStyle w:val="Caption"/>
        <w:keepNext/>
        <w:rPr>
          <w:lang w:val="en-US"/>
        </w:rPr>
      </w:pPr>
      <w:r w:rsidRPr="00522C2F">
        <w:rPr>
          <w:lang w:val="en-US"/>
        </w:rPr>
        <w:t xml:space="preserve">Table </w:t>
      </w:r>
      <w:r w:rsidR="00EE1A44">
        <w:rPr>
          <w:lang w:val="en-US"/>
        </w:rPr>
        <w:t>1</w:t>
      </w:r>
      <w:r w:rsidRPr="00522C2F">
        <w:rPr>
          <w:lang w:val="en-US"/>
        </w:rPr>
        <w:t xml:space="preserve">: </w:t>
      </w:r>
      <w:r w:rsidR="00EE1A44" w:rsidRPr="00EE1A44">
        <w:rPr>
          <w:lang w:val="en-US"/>
        </w:rPr>
        <w:t>Variables, definitions, and expected signs</w:t>
      </w:r>
    </w:p>
    <w:tbl>
      <w:tblPr>
        <w:tblStyle w:val="TableGrid"/>
        <w:tblW w:w="0" w:type="auto"/>
        <w:jc w:val="center"/>
        <w:tblLook w:val="04A0" w:firstRow="1" w:lastRow="0" w:firstColumn="1" w:lastColumn="0" w:noHBand="0" w:noVBand="1"/>
      </w:tblPr>
      <w:tblGrid>
        <w:gridCol w:w="2926"/>
        <w:gridCol w:w="2948"/>
        <w:gridCol w:w="2913"/>
      </w:tblGrid>
      <w:tr w:rsidR="00A76DB0" w:rsidRPr="0083007D" w14:paraId="306263DD" w14:textId="77777777" w:rsidTr="00350E19">
        <w:trPr>
          <w:jc w:val="center"/>
        </w:trPr>
        <w:tc>
          <w:tcPr>
            <w:tcW w:w="2926" w:type="dxa"/>
          </w:tcPr>
          <w:p w14:paraId="71902051" w14:textId="77777777" w:rsidR="00A76DB0" w:rsidRPr="0083007D" w:rsidRDefault="00A76DB0" w:rsidP="004566CA">
            <w:pPr>
              <w:jc w:val="center"/>
            </w:pPr>
            <w:r w:rsidRPr="0083007D">
              <w:t>Variable</w:t>
            </w:r>
          </w:p>
        </w:tc>
        <w:tc>
          <w:tcPr>
            <w:tcW w:w="2948" w:type="dxa"/>
          </w:tcPr>
          <w:p w14:paraId="4134C49A" w14:textId="77777777" w:rsidR="00A76DB0" w:rsidRPr="0083007D" w:rsidRDefault="00A76DB0" w:rsidP="004566CA">
            <w:r w:rsidRPr="0083007D">
              <w:t>Definition</w:t>
            </w:r>
          </w:p>
        </w:tc>
        <w:tc>
          <w:tcPr>
            <w:tcW w:w="2913" w:type="dxa"/>
          </w:tcPr>
          <w:p w14:paraId="2067277B" w14:textId="77777777" w:rsidR="00A76DB0" w:rsidRPr="0083007D" w:rsidRDefault="00A76DB0" w:rsidP="004566CA">
            <w:pPr>
              <w:jc w:val="center"/>
            </w:pPr>
            <w:r w:rsidRPr="0083007D">
              <w:t>Expected sign</w:t>
            </w:r>
          </w:p>
        </w:tc>
      </w:tr>
      <w:tr w:rsidR="00A76DB0" w:rsidRPr="0083007D" w14:paraId="179FB4FB" w14:textId="77777777" w:rsidTr="00350E19">
        <w:trPr>
          <w:jc w:val="center"/>
        </w:trPr>
        <w:tc>
          <w:tcPr>
            <w:tcW w:w="2926" w:type="dxa"/>
          </w:tcPr>
          <w:p w14:paraId="499DE861" w14:textId="77777777" w:rsidR="00A76DB0" w:rsidRPr="0083007D" w:rsidRDefault="00A76DB0" w:rsidP="004566CA">
            <w:pPr>
              <w:jc w:val="center"/>
            </w:pPr>
            <w:r w:rsidRPr="0083007D">
              <w:t>VIX</w:t>
            </w:r>
          </w:p>
        </w:tc>
        <w:tc>
          <w:tcPr>
            <w:tcW w:w="2948" w:type="dxa"/>
          </w:tcPr>
          <w:p w14:paraId="49E8BBF0" w14:textId="77777777" w:rsidR="00A76DB0" w:rsidRPr="0083007D" w:rsidRDefault="00A76DB0" w:rsidP="004566CA">
            <w:r w:rsidRPr="0083007D">
              <w:t>Global risk aversion</w:t>
            </w:r>
          </w:p>
        </w:tc>
        <w:tc>
          <w:tcPr>
            <w:tcW w:w="2913" w:type="dxa"/>
          </w:tcPr>
          <w:p w14:paraId="007EB2D8" w14:textId="77777777" w:rsidR="00A76DB0" w:rsidRPr="0083007D" w:rsidRDefault="00A76DB0" w:rsidP="004566CA">
            <w:pPr>
              <w:jc w:val="center"/>
            </w:pPr>
            <w:r w:rsidRPr="0083007D">
              <w:t>+</w:t>
            </w:r>
          </w:p>
        </w:tc>
      </w:tr>
      <w:tr w:rsidR="00A76DB0" w:rsidRPr="0083007D" w14:paraId="0C63EE3D" w14:textId="77777777" w:rsidTr="00350E19">
        <w:trPr>
          <w:jc w:val="center"/>
        </w:trPr>
        <w:tc>
          <w:tcPr>
            <w:tcW w:w="2926" w:type="dxa"/>
          </w:tcPr>
          <w:p w14:paraId="64EEB09D" w14:textId="77777777" w:rsidR="00A76DB0" w:rsidRPr="0083007D" w:rsidRDefault="00A76DB0" w:rsidP="004566CA">
            <w:pPr>
              <w:jc w:val="center"/>
            </w:pPr>
            <w:r w:rsidRPr="0083007D">
              <w:t>Fed 3M Forward</w:t>
            </w:r>
          </w:p>
        </w:tc>
        <w:tc>
          <w:tcPr>
            <w:tcW w:w="2948" w:type="dxa"/>
          </w:tcPr>
          <w:p w14:paraId="33FA5B8D" w14:textId="77777777" w:rsidR="00A76DB0" w:rsidRPr="0083007D" w:rsidRDefault="00A76DB0" w:rsidP="004566CA">
            <w:r w:rsidRPr="0083007D">
              <w:t>Expected US monetary tightening</w:t>
            </w:r>
          </w:p>
        </w:tc>
        <w:tc>
          <w:tcPr>
            <w:tcW w:w="2913" w:type="dxa"/>
          </w:tcPr>
          <w:p w14:paraId="26971095" w14:textId="77777777" w:rsidR="00A76DB0" w:rsidRPr="0083007D" w:rsidRDefault="00A76DB0" w:rsidP="004566CA">
            <w:pPr>
              <w:jc w:val="center"/>
            </w:pPr>
            <w:r w:rsidRPr="0083007D">
              <w:t>+</w:t>
            </w:r>
          </w:p>
        </w:tc>
      </w:tr>
      <w:tr w:rsidR="00A76DB0" w:rsidRPr="0083007D" w14:paraId="0437A28D" w14:textId="77777777" w:rsidTr="00350E19">
        <w:trPr>
          <w:jc w:val="center"/>
        </w:trPr>
        <w:tc>
          <w:tcPr>
            <w:tcW w:w="2926" w:type="dxa"/>
          </w:tcPr>
          <w:p w14:paraId="70B73FEC" w14:textId="77777777" w:rsidR="00A76DB0" w:rsidRPr="0083007D" w:rsidRDefault="00A76DB0" w:rsidP="004566CA">
            <w:pPr>
              <w:jc w:val="center"/>
            </w:pPr>
            <w:r w:rsidRPr="0083007D">
              <w:t>USD/BRL</w:t>
            </w:r>
          </w:p>
        </w:tc>
        <w:tc>
          <w:tcPr>
            <w:tcW w:w="2948" w:type="dxa"/>
          </w:tcPr>
          <w:p w14:paraId="411C2F8E" w14:textId="77777777" w:rsidR="00A76DB0" w:rsidRPr="0083007D" w:rsidRDefault="00A76DB0" w:rsidP="004566CA">
            <w:r w:rsidRPr="0083007D">
              <w:t>Exchange-rate depreciation</w:t>
            </w:r>
          </w:p>
        </w:tc>
        <w:tc>
          <w:tcPr>
            <w:tcW w:w="2913" w:type="dxa"/>
          </w:tcPr>
          <w:p w14:paraId="715926EF" w14:textId="77777777" w:rsidR="00A76DB0" w:rsidRPr="0083007D" w:rsidRDefault="00A76DB0" w:rsidP="004566CA">
            <w:pPr>
              <w:jc w:val="center"/>
            </w:pPr>
            <w:r w:rsidRPr="0083007D">
              <w:t>+</w:t>
            </w:r>
          </w:p>
        </w:tc>
      </w:tr>
      <w:tr w:rsidR="00A76DB0" w:rsidRPr="0083007D" w14:paraId="3D391F29" w14:textId="77777777" w:rsidTr="00350E19">
        <w:trPr>
          <w:jc w:val="center"/>
        </w:trPr>
        <w:tc>
          <w:tcPr>
            <w:tcW w:w="2926" w:type="dxa"/>
          </w:tcPr>
          <w:p w14:paraId="6563BB49" w14:textId="77777777" w:rsidR="00A76DB0" w:rsidRPr="0083007D" w:rsidRDefault="00A76DB0" w:rsidP="004566CA">
            <w:pPr>
              <w:jc w:val="center"/>
            </w:pPr>
            <w:r w:rsidRPr="0083007D">
              <w:t>GDP growth (YoY)</w:t>
            </w:r>
          </w:p>
        </w:tc>
        <w:tc>
          <w:tcPr>
            <w:tcW w:w="2948" w:type="dxa"/>
          </w:tcPr>
          <w:p w14:paraId="3E14C4F9" w14:textId="77777777" w:rsidR="00A76DB0" w:rsidRPr="0083007D" w:rsidRDefault="00A76DB0" w:rsidP="004566CA">
            <w:r w:rsidRPr="0083007D">
              <w:t>Domestic economic activity</w:t>
            </w:r>
          </w:p>
        </w:tc>
        <w:tc>
          <w:tcPr>
            <w:tcW w:w="2913" w:type="dxa"/>
          </w:tcPr>
          <w:p w14:paraId="3DD55C0C" w14:textId="77777777" w:rsidR="00A76DB0" w:rsidRPr="0083007D" w:rsidRDefault="00A76DB0" w:rsidP="004566CA">
            <w:pPr>
              <w:jc w:val="center"/>
            </w:pPr>
            <w:r w:rsidRPr="0083007D">
              <w:t>-</w:t>
            </w:r>
          </w:p>
        </w:tc>
      </w:tr>
      <w:tr w:rsidR="00A76DB0" w:rsidRPr="0083007D" w14:paraId="34D03A2C" w14:textId="77777777" w:rsidTr="00350E19">
        <w:trPr>
          <w:jc w:val="center"/>
        </w:trPr>
        <w:tc>
          <w:tcPr>
            <w:tcW w:w="2926" w:type="dxa"/>
          </w:tcPr>
          <w:p w14:paraId="536D49D3" w14:textId="77777777" w:rsidR="00A76DB0" w:rsidRPr="0083007D" w:rsidRDefault="00A76DB0" w:rsidP="004566CA">
            <w:pPr>
              <w:jc w:val="center"/>
            </w:pPr>
            <w:r w:rsidRPr="0083007D">
              <w:t>Public debt / GDP</w:t>
            </w:r>
          </w:p>
        </w:tc>
        <w:tc>
          <w:tcPr>
            <w:tcW w:w="2948" w:type="dxa"/>
          </w:tcPr>
          <w:p w14:paraId="22B60D01" w14:textId="77777777" w:rsidR="00A76DB0" w:rsidRPr="0083007D" w:rsidRDefault="00A76DB0" w:rsidP="004566CA">
            <w:r w:rsidRPr="0083007D">
              <w:t>Fiscal vulnerability</w:t>
            </w:r>
          </w:p>
        </w:tc>
        <w:tc>
          <w:tcPr>
            <w:tcW w:w="2913" w:type="dxa"/>
          </w:tcPr>
          <w:p w14:paraId="3D1DA1AD" w14:textId="77777777" w:rsidR="00A76DB0" w:rsidRPr="0083007D" w:rsidRDefault="00A76DB0" w:rsidP="004566CA">
            <w:pPr>
              <w:jc w:val="center"/>
            </w:pPr>
            <w:r w:rsidRPr="0083007D">
              <w:t>+</w:t>
            </w:r>
          </w:p>
        </w:tc>
      </w:tr>
      <w:tr w:rsidR="00A76DB0" w:rsidRPr="0083007D" w14:paraId="0DCC8987" w14:textId="77777777" w:rsidTr="00350E19">
        <w:trPr>
          <w:jc w:val="center"/>
        </w:trPr>
        <w:tc>
          <w:tcPr>
            <w:tcW w:w="2926" w:type="dxa"/>
          </w:tcPr>
          <w:p w14:paraId="33547909" w14:textId="77777777" w:rsidR="00A76DB0" w:rsidRPr="0083007D" w:rsidRDefault="00A76DB0" w:rsidP="004566CA">
            <w:pPr>
              <w:jc w:val="center"/>
            </w:pPr>
            <w:r w:rsidRPr="0083007D">
              <w:lastRenderedPageBreak/>
              <w:t>Synthetic sovereign risk (BRL)</w:t>
            </w:r>
          </w:p>
        </w:tc>
        <w:tc>
          <w:tcPr>
            <w:tcW w:w="2948" w:type="dxa"/>
          </w:tcPr>
          <w:p w14:paraId="4AB419F2" w14:textId="77777777" w:rsidR="00A76DB0" w:rsidRPr="0083007D" w:rsidRDefault="00A76DB0" w:rsidP="004566CA">
            <w:pPr>
              <w:rPr>
                <w:lang w:val="en-US"/>
              </w:rPr>
            </w:pPr>
            <w:r w:rsidRPr="0083007D">
              <w:rPr>
                <w:lang w:val="en-US"/>
              </w:rPr>
              <w:t>Local-currency sovereign spread proxy</w:t>
            </w:r>
          </w:p>
        </w:tc>
        <w:tc>
          <w:tcPr>
            <w:tcW w:w="2913" w:type="dxa"/>
          </w:tcPr>
          <w:p w14:paraId="7A544448" w14:textId="77777777" w:rsidR="00A76DB0" w:rsidRPr="0083007D" w:rsidRDefault="00A76DB0" w:rsidP="004566CA">
            <w:pPr>
              <w:jc w:val="center"/>
            </w:pPr>
            <w:r w:rsidRPr="0083007D">
              <w:t>+</w:t>
            </w:r>
          </w:p>
        </w:tc>
      </w:tr>
      <w:tr w:rsidR="00A76DB0" w:rsidRPr="0083007D" w14:paraId="20419588" w14:textId="77777777" w:rsidTr="00350E19">
        <w:trPr>
          <w:jc w:val="center"/>
        </w:trPr>
        <w:tc>
          <w:tcPr>
            <w:tcW w:w="2926" w:type="dxa"/>
          </w:tcPr>
          <w:p w14:paraId="7AC4ADD2" w14:textId="77777777" w:rsidR="00A76DB0" w:rsidRPr="0083007D" w:rsidRDefault="00A76DB0" w:rsidP="004566CA">
            <w:pPr>
              <w:jc w:val="center"/>
            </w:pPr>
            <w:r w:rsidRPr="0083007D">
              <w:t>Amount issued / assets</w:t>
            </w:r>
          </w:p>
        </w:tc>
        <w:tc>
          <w:tcPr>
            <w:tcW w:w="2948" w:type="dxa"/>
          </w:tcPr>
          <w:p w14:paraId="664D50D1" w14:textId="77777777" w:rsidR="00A76DB0" w:rsidRPr="0083007D" w:rsidRDefault="00A76DB0" w:rsidP="004566CA">
            <w:pPr>
              <w:rPr>
                <w:lang w:val="en-US"/>
              </w:rPr>
            </w:pPr>
            <w:r w:rsidRPr="0083007D">
              <w:rPr>
                <w:lang w:val="en-US"/>
              </w:rPr>
              <w:t>Relative issue size and liquidity</w:t>
            </w:r>
          </w:p>
        </w:tc>
        <w:tc>
          <w:tcPr>
            <w:tcW w:w="2913" w:type="dxa"/>
          </w:tcPr>
          <w:p w14:paraId="3F2241C2" w14:textId="77777777" w:rsidR="00A76DB0" w:rsidRPr="0083007D" w:rsidRDefault="00A76DB0" w:rsidP="004566CA">
            <w:pPr>
              <w:jc w:val="center"/>
            </w:pPr>
            <w:r w:rsidRPr="0083007D">
              <w:t>-</w:t>
            </w:r>
          </w:p>
        </w:tc>
      </w:tr>
      <w:tr w:rsidR="00A76DB0" w:rsidRPr="0083007D" w14:paraId="771E21F8" w14:textId="77777777" w:rsidTr="00350E19">
        <w:trPr>
          <w:jc w:val="center"/>
        </w:trPr>
        <w:tc>
          <w:tcPr>
            <w:tcW w:w="2926" w:type="dxa"/>
          </w:tcPr>
          <w:p w14:paraId="0F124505" w14:textId="77777777" w:rsidR="00A76DB0" w:rsidRPr="0083007D" w:rsidRDefault="00A76DB0" w:rsidP="004566CA">
            <w:pPr>
              <w:jc w:val="center"/>
            </w:pPr>
            <w:r w:rsidRPr="0083007D">
              <w:t>Cash flow / assets</w:t>
            </w:r>
          </w:p>
        </w:tc>
        <w:tc>
          <w:tcPr>
            <w:tcW w:w="2948" w:type="dxa"/>
          </w:tcPr>
          <w:p w14:paraId="4AEE96A6" w14:textId="77777777" w:rsidR="00A76DB0" w:rsidRPr="0083007D" w:rsidRDefault="00A76DB0" w:rsidP="004566CA">
            <w:r w:rsidRPr="0083007D">
              <w:t>Operating liquidity</w:t>
            </w:r>
          </w:p>
        </w:tc>
        <w:tc>
          <w:tcPr>
            <w:tcW w:w="2913" w:type="dxa"/>
          </w:tcPr>
          <w:p w14:paraId="3E16433C" w14:textId="77777777" w:rsidR="00A76DB0" w:rsidRPr="0083007D" w:rsidRDefault="00A76DB0" w:rsidP="004566CA">
            <w:pPr>
              <w:jc w:val="center"/>
            </w:pPr>
            <w:r w:rsidRPr="0083007D">
              <w:t>-</w:t>
            </w:r>
          </w:p>
        </w:tc>
      </w:tr>
      <w:tr w:rsidR="00A76DB0" w:rsidRPr="0083007D" w14:paraId="00B4334E" w14:textId="77777777" w:rsidTr="00350E19">
        <w:trPr>
          <w:jc w:val="center"/>
        </w:trPr>
        <w:tc>
          <w:tcPr>
            <w:tcW w:w="2926" w:type="dxa"/>
          </w:tcPr>
          <w:p w14:paraId="5A0A2ABE" w14:textId="77777777" w:rsidR="00A76DB0" w:rsidRPr="0083007D" w:rsidRDefault="00A76DB0" w:rsidP="004566CA">
            <w:pPr>
              <w:jc w:val="center"/>
            </w:pPr>
            <w:r w:rsidRPr="0083007D">
              <w:t>Debt / EBITDA</w:t>
            </w:r>
          </w:p>
        </w:tc>
        <w:tc>
          <w:tcPr>
            <w:tcW w:w="2948" w:type="dxa"/>
          </w:tcPr>
          <w:p w14:paraId="53169A68" w14:textId="77777777" w:rsidR="00A76DB0" w:rsidRPr="0083007D" w:rsidRDefault="00A76DB0" w:rsidP="004566CA">
            <w:r w:rsidRPr="0083007D">
              <w:t>Leverage</w:t>
            </w:r>
          </w:p>
        </w:tc>
        <w:tc>
          <w:tcPr>
            <w:tcW w:w="2913" w:type="dxa"/>
          </w:tcPr>
          <w:p w14:paraId="252E6A64" w14:textId="77777777" w:rsidR="00A76DB0" w:rsidRPr="0083007D" w:rsidRDefault="00A76DB0" w:rsidP="004566CA">
            <w:pPr>
              <w:jc w:val="center"/>
            </w:pPr>
            <w:r w:rsidRPr="0083007D">
              <w:t>+</w:t>
            </w:r>
          </w:p>
        </w:tc>
      </w:tr>
      <w:tr w:rsidR="00A76DB0" w:rsidRPr="0083007D" w14:paraId="2A84E95F" w14:textId="77777777" w:rsidTr="00350E19">
        <w:trPr>
          <w:jc w:val="center"/>
        </w:trPr>
        <w:tc>
          <w:tcPr>
            <w:tcW w:w="2926" w:type="dxa"/>
          </w:tcPr>
          <w:p w14:paraId="1C20FAEC" w14:textId="77777777" w:rsidR="00A76DB0" w:rsidRPr="0083007D" w:rsidRDefault="00A76DB0" w:rsidP="004566CA">
            <w:pPr>
              <w:jc w:val="center"/>
            </w:pPr>
            <w:r w:rsidRPr="0083007D">
              <w:t>Residual maturity</w:t>
            </w:r>
          </w:p>
        </w:tc>
        <w:tc>
          <w:tcPr>
            <w:tcW w:w="2948" w:type="dxa"/>
          </w:tcPr>
          <w:p w14:paraId="3847036E" w14:textId="77777777" w:rsidR="00A76DB0" w:rsidRPr="0083007D" w:rsidRDefault="00A76DB0" w:rsidP="004566CA">
            <w:r w:rsidRPr="0083007D">
              <w:t>Time to maturity</w:t>
            </w:r>
          </w:p>
        </w:tc>
        <w:tc>
          <w:tcPr>
            <w:tcW w:w="2913" w:type="dxa"/>
          </w:tcPr>
          <w:p w14:paraId="175B742F" w14:textId="77777777" w:rsidR="00A76DB0" w:rsidRPr="0083007D" w:rsidRDefault="00A76DB0" w:rsidP="004566CA">
            <w:pPr>
              <w:jc w:val="center"/>
            </w:pPr>
            <w:r w:rsidRPr="0083007D">
              <w:t>+/-</w:t>
            </w:r>
          </w:p>
        </w:tc>
      </w:tr>
    </w:tbl>
    <w:p w14:paraId="15658D83" w14:textId="767D59B5" w:rsidR="00350E19" w:rsidRPr="00A36E81" w:rsidRDefault="00350E19" w:rsidP="00350E19">
      <w:pPr>
        <w:jc w:val="both"/>
        <w:rPr>
          <w:i/>
          <w:iCs/>
          <w:color w:val="1F497D" w:themeColor="text2"/>
          <w:sz w:val="18"/>
          <w:szCs w:val="18"/>
          <w:lang w:val="en-US"/>
        </w:rPr>
      </w:pPr>
      <w:r w:rsidRPr="00350E19">
        <w:rPr>
          <w:i/>
          <w:iCs/>
          <w:color w:val="1F497D" w:themeColor="text2"/>
          <w:sz w:val="18"/>
          <w:szCs w:val="18"/>
          <w:lang w:val="en-US"/>
        </w:rPr>
        <w:t>Notes: Expected signs follow the hypotheses developed from the structural-credit, sovereign-risk, and global-factor literatures</w:t>
      </w:r>
      <w:r w:rsidRPr="00A36E81">
        <w:rPr>
          <w:i/>
          <w:iCs/>
          <w:color w:val="1F497D" w:themeColor="text2"/>
          <w:sz w:val="18"/>
          <w:szCs w:val="18"/>
          <w:lang w:val="en-US"/>
        </w:rPr>
        <w:t>.</w:t>
      </w:r>
    </w:p>
    <w:p w14:paraId="7C705AB4" w14:textId="77777777" w:rsidR="00A76DB0" w:rsidRPr="00BB6037" w:rsidRDefault="00A76DB0" w:rsidP="00BB6037">
      <w:pPr>
        <w:ind w:firstLine="709"/>
        <w:jc w:val="both"/>
        <w:rPr>
          <w:bCs/>
          <w:lang w:val="en-US" w:eastAsia="es-ES"/>
        </w:rPr>
      </w:pPr>
    </w:p>
    <w:p w14:paraId="6A6C6C42" w14:textId="77777777" w:rsidR="00873255" w:rsidRPr="00BB6037" w:rsidRDefault="00873255" w:rsidP="0064035A">
      <w:pPr>
        <w:jc w:val="both"/>
        <w:rPr>
          <w:lang w:val="en-US"/>
        </w:rPr>
      </w:pPr>
    </w:p>
    <w:p w14:paraId="14EFC1F9" w14:textId="0949831F" w:rsidR="00DC47CA" w:rsidRPr="00CA38ED" w:rsidRDefault="0051083B" w:rsidP="00DC47CA">
      <w:pPr>
        <w:pStyle w:val="Heading2"/>
      </w:pPr>
      <w:bookmarkStart w:id="7" w:name="_Toc228544180"/>
      <w:r w:rsidRPr="0051083B">
        <w:t>Econometric specification</w:t>
      </w:r>
      <w:bookmarkEnd w:id="7"/>
    </w:p>
    <w:p w14:paraId="69F9D6BC" w14:textId="77777777" w:rsidR="00F13B85" w:rsidRPr="00CA38ED" w:rsidRDefault="00F13B85" w:rsidP="00F13B85"/>
    <w:p w14:paraId="21D8272C" w14:textId="797C231D" w:rsidR="00A5162A" w:rsidRDefault="00A5162A" w:rsidP="00A5162A">
      <w:pPr>
        <w:ind w:firstLine="709"/>
        <w:jc w:val="both"/>
        <w:rPr>
          <w:bCs/>
          <w:lang w:val="en-US" w:eastAsia="es-ES"/>
        </w:rPr>
      </w:pPr>
      <w:r w:rsidRPr="00A5162A">
        <w:rPr>
          <w:bCs/>
          <w:lang w:val="en-US" w:eastAsia="es-ES"/>
        </w:rPr>
        <w:t>The baseline empirical specification is a static panel model with bond fixed effects:</w:t>
      </w:r>
    </w:p>
    <w:p w14:paraId="79F7DDAD" w14:textId="77777777" w:rsidR="00AD1347" w:rsidRPr="00AE2805" w:rsidRDefault="00AD1347" w:rsidP="00AD1347">
      <w:pPr>
        <w:jc w:val="both"/>
        <w:rPr>
          <w:lang w:val="en-US"/>
        </w:rPr>
      </w:pPr>
    </w:p>
    <w:p w14:paraId="35002AA9" w14:textId="77777777" w:rsidR="00AD1347" w:rsidRPr="00CA38ED" w:rsidRDefault="00AD1347" w:rsidP="00AD1347">
      <w:pPr>
        <w:jc w:val="both"/>
        <w:rPr>
          <w:lang w:val="en-US"/>
        </w:rPr>
      </w:pPr>
      <m:oMathPara>
        <m:oMath>
          <m:r>
            <m:rPr>
              <m:nor/>
            </m:rPr>
            <w:rPr>
              <w:lang w:val="en-US"/>
            </w:rPr>
            <m:t>sprea</m:t>
          </m:r>
          <m:sSub>
            <m:sSubPr>
              <m:ctrlPr>
                <w:rPr>
                  <w:rFonts w:ascii="Cambria Math" w:hAnsi="Cambria Math"/>
                </w:rPr>
              </m:ctrlPr>
            </m:sSubPr>
            <m:e>
              <m:r>
                <m:rPr>
                  <m:nor/>
                </m:rPr>
                <w:rPr>
                  <w:lang w:val="en-US"/>
                </w:rPr>
                <m:t>d</m:t>
              </m:r>
            </m:e>
            <m:sub>
              <m:r>
                <m:rPr>
                  <m:nor/>
                </m:rPr>
                <w:rPr>
                  <w:lang w:val="en-US"/>
                </w:rPr>
                <m:t>i,t</m:t>
              </m:r>
            </m:sub>
          </m:sSub>
          <m:r>
            <w:rPr>
              <w:rFonts w:ascii="Cambria Math"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1</m:t>
              </m:r>
            </m:sub>
          </m:sSub>
          <m:r>
            <w:rPr>
              <w:rFonts w:ascii="Cambria Math" w:hAnsi="Cambria Math"/>
              <w:lang w:val="en-US"/>
            </w:rPr>
            <m:t> </m:t>
          </m:r>
          <m:r>
            <m:rPr>
              <m:nor/>
            </m:rPr>
            <w:rPr>
              <w:lang w:val="en-US"/>
            </w:rPr>
            <m:t>vi</m:t>
          </m:r>
          <m:sSub>
            <m:sSubPr>
              <m:ctrlPr>
                <w:rPr>
                  <w:rFonts w:ascii="Cambria Math" w:hAnsi="Cambria Math"/>
                </w:rPr>
              </m:ctrlPr>
            </m:sSubPr>
            <m:e>
              <m:r>
                <m:rPr>
                  <m:nor/>
                </m:rPr>
                <w:rPr>
                  <w:lang w:val="en-US"/>
                </w:rPr>
                <m:t>x</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2</m:t>
              </m:r>
            </m:sub>
          </m:sSub>
          <m:r>
            <w:rPr>
              <w:rFonts w:ascii="Cambria Math" w:hAnsi="Cambria Math"/>
              <w:lang w:val="en-US"/>
            </w:rPr>
            <m:t> </m:t>
          </m:r>
          <m:r>
            <m:rPr>
              <m:nor/>
            </m:rPr>
            <w:rPr>
              <w:lang w:val="en-US"/>
            </w:rPr>
            <m:t>fed3</m:t>
          </m:r>
          <m:sSub>
            <m:sSubPr>
              <m:ctrlPr>
                <w:rPr>
                  <w:rFonts w:ascii="Cambria Math" w:hAnsi="Cambria Math"/>
                </w:rPr>
              </m:ctrlPr>
            </m:sSubPr>
            <m:e>
              <m:r>
                <m:rPr>
                  <m:nor/>
                </m:rPr>
                <w:rPr>
                  <w:lang w:val="en-US"/>
                </w:rPr>
                <m:t>m</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3</m:t>
              </m:r>
            </m:sub>
          </m:sSub>
          <m:r>
            <w:rPr>
              <w:rFonts w:ascii="Cambria Math" w:hAnsi="Cambria Math"/>
              <w:lang w:val="en-US"/>
            </w:rPr>
            <m:t> </m:t>
          </m:r>
          <m:r>
            <m:rPr>
              <m:nor/>
            </m:rPr>
            <w:rPr>
              <w:lang w:val="en-US"/>
            </w:rPr>
            <m:t>usdbr</m:t>
          </m:r>
          <m:sSub>
            <m:sSubPr>
              <m:ctrlPr>
                <w:rPr>
                  <w:rFonts w:ascii="Cambria Math" w:hAnsi="Cambria Math"/>
                </w:rPr>
              </m:ctrlPr>
            </m:sSubPr>
            <m:e>
              <m:r>
                <m:rPr>
                  <m:nor/>
                </m:rPr>
                <w:rPr>
                  <w:lang w:val="en-US"/>
                </w:rPr>
                <m:t>l</m:t>
              </m:r>
            </m:e>
            <m:sub>
              <m:r>
                <m:rPr>
                  <m:nor/>
                </m:rPr>
                <w:rPr>
                  <w:lang w:val="en-US"/>
                </w:rPr>
                <m:t>t</m:t>
              </m:r>
            </m:sub>
          </m:sSub>
          <m:r>
            <w:rPr>
              <w:rFonts w:ascii="Cambria Math" w:hAnsi="Cambria Math"/>
              <w:lang w:val="en-US"/>
            </w:rPr>
            <m:t>+</m:t>
          </m:r>
        </m:oMath>
      </m:oMathPara>
    </w:p>
    <w:p w14:paraId="62717620" w14:textId="77777777" w:rsidR="00AD1347" w:rsidRPr="00CA38ED" w:rsidRDefault="00066FD7" w:rsidP="00AD1347">
      <w:pPr>
        <w:jc w:val="both"/>
        <w:rPr>
          <w:lang w:val="en-US"/>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4</m:t>
              </m:r>
            </m:sub>
          </m:sSub>
          <m:r>
            <w:rPr>
              <w:rFonts w:ascii="Cambria Math" w:hAnsi="Cambria Math"/>
              <w:lang w:val="en-US"/>
            </w:rPr>
            <m:t> </m:t>
          </m:r>
          <m:r>
            <m:rPr>
              <m:nor/>
            </m:rPr>
            <w:rPr>
              <w:lang w:val="en-US"/>
            </w:rPr>
            <m:t>gd</m:t>
          </m:r>
          <m:sSub>
            <m:sSubPr>
              <m:ctrlPr>
                <w:rPr>
                  <w:rFonts w:ascii="Cambria Math" w:hAnsi="Cambria Math"/>
                </w:rPr>
              </m:ctrlPr>
            </m:sSubPr>
            <m:e>
              <m:r>
                <m:rPr>
                  <m:nor/>
                </m:rPr>
                <w:rPr>
                  <w:lang w:val="en-US"/>
                </w:rPr>
                <m:t>p</m:t>
              </m:r>
            </m:e>
            <m:sub>
              <m:r>
                <m:rPr>
                  <m:nor/>
                </m:rPr>
                <w:rPr>
                  <w:lang w:val="en-US"/>
                </w:rPr>
                <m:t>yoy,t</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5</m:t>
              </m:r>
            </m:sub>
          </m:sSub>
          <m:r>
            <w:rPr>
              <w:rFonts w:ascii="Cambria Math" w:hAnsi="Cambria Math"/>
              <w:lang w:val="en-US"/>
            </w:rPr>
            <m:t> </m:t>
          </m:r>
          <m:r>
            <m:rPr>
              <m:nor/>
            </m:rPr>
            <w:rPr>
              <w:lang w:val="en-US"/>
            </w:rPr>
            <m:t>deb</m:t>
          </m:r>
          <m:sSub>
            <m:sSubPr>
              <m:ctrlPr>
                <w:rPr>
                  <w:rFonts w:ascii="Cambria Math" w:hAnsi="Cambria Math"/>
                </w:rPr>
              </m:ctrlPr>
            </m:sSubPr>
            <m:e>
              <m:r>
                <m:rPr>
                  <m:nor/>
                </m:rPr>
                <w:rPr>
                  <w:lang w:val="en-US"/>
                </w:rPr>
                <m:t>t</m:t>
              </m:r>
            </m:e>
            <m:sub>
              <m:r>
                <m:rPr>
                  <m:nor/>
                </m:rPr>
                <w:rPr>
                  <w:lang w:val="en-US"/>
                </w:rPr>
                <m:t>gdp,t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6</m:t>
              </m:r>
            </m:sub>
          </m:sSub>
          <m:r>
            <w:rPr>
              <w:rFonts w:ascii="Cambria Math" w:hAnsi="Cambria Math"/>
              <w:lang w:val="en-US"/>
            </w:rPr>
            <m:t> </m:t>
          </m:r>
          <m:r>
            <m:rPr>
              <m:nor/>
            </m:rPr>
            <w:rPr>
              <w:lang w:val="en-US"/>
            </w:rPr>
            <m:t>cf</m:t>
          </m:r>
          <m:sSub>
            <m:sSubPr>
              <m:ctrlPr>
                <w:rPr>
                  <w:rFonts w:ascii="Cambria Math" w:hAnsi="Cambria Math"/>
                </w:rPr>
              </m:ctrlPr>
            </m:sSubPr>
            <m:e>
              <m:r>
                <m:rPr>
                  <m:nor/>
                </m:rPr>
                <w:rPr>
                  <w:lang w:val="en-US"/>
                </w:rPr>
                <m:t>o</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7</m:t>
              </m:r>
            </m:sub>
          </m:sSub>
          <m:r>
            <w:rPr>
              <w:rFonts w:ascii="Cambria Math" w:hAnsi="Cambria Math"/>
              <w:lang w:val="en-US"/>
            </w:rPr>
            <m:t> </m:t>
          </m:r>
          <m:r>
            <m:rPr>
              <m:nor/>
            </m:rPr>
            <w:rPr>
              <w:lang w:val="en-US"/>
            </w:rPr>
            <m:t>amtissu</m:t>
          </m:r>
          <m:sSub>
            <m:sSubPr>
              <m:ctrlPr>
                <w:rPr>
                  <w:rFonts w:ascii="Cambria Math" w:hAnsi="Cambria Math"/>
                </w:rPr>
              </m:ctrlPr>
            </m:sSubPr>
            <m:e>
              <m:r>
                <m:rPr>
                  <m:nor/>
                </m:rPr>
                <w:rPr>
                  <w:lang w:val="en-US"/>
                </w:rPr>
                <m:t>e</m:t>
              </m:r>
            </m:e>
            <m:sub>
              <m:r>
                <m:rPr>
                  <m:nor/>
                </m:rPr>
                <w:rPr>
                  <w:lang w:val="en-US"/>
                </w:rPr>
                <m:t>t</m:t>
              </m:r>
            </m:sub>
          </m:sSub>
          <m:r>
            <w:rPr>
              <w:rFonts w:ascii="Cambria Math" w:hAnsi="Cambria Math"/>
              <w:lang w:val="en-US"/>
            </w:rPr>
            <m:t>+</m:t>
          </m:r>
        </m:oMath>
      </m:oMathPara>
    </w:p>
    <w:p w14:paraId="35CD9692" w14:textId="0DCEB5F1" w:rsidR="00AD1347" w:rsidRPr="00CA38ED" w:rsidRDefault="00066FD7" w:rsidP="00AD1347">
      <w:pPr>
        <w:jc w:val="both"/>
        <w:rPr>
          <w:lang w:val="en-US"/>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8</m:t>
              </m:r>
            </m:sub>
          </m:sSub>
          <m:r>
            <w:rPr>
              <w:rFonts w:ascii="Cambria Math" w:hAnsi="Cambria Math"/>
              <w:lang w:val="en-US"/>
            </w:rPr>
            <m:t> </m:t>
          </m:r>
          <m:r>
            <m:rPr>
              <m:nor/>
            </m:rPr>
            <w:rPr>
              <w:lang w:val="en-US"/>
            </w:rPr>
            <m:t>deb</m:t>
          </m:r>
          <m:sSub>
            <m:sSubPr>
              <m:ctrlPr>
                <w:rPr>
                  <w:rFonts w:ascii="Cambria Math" w:hAnsi="Cambria Math"/>
                </w:rPr>
              </m:ctrlPr>
            </m:sSubPr>
            <m:e>
              <m:r>
                <m:rPr>
                  <m:nor/>
                </m:rPr>
                <w:rPr>
                  <w:lang w:val="en-US"/>
                </w:rPr>
                <m:t>t</m:t>
              </m:r>
            </m:e>
            <m:sub>
              <m:r>
                <m:rPr>
                  <m:nor/>
                </m:rPr>
                <w:rPr>
                  <w:lang w:val="en-US"/>
                </w:rPr>
                <m:t>ebitda,t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9</m:t>
              </m:r>
            </m:sub>
          </m:sSub>
          <m:r>
            <w:rPr>
              <w:rFonts w:ascii="Cambria Math" w:hAnsi="Cambria Math"/>
              <w:lang w:val="en-US"/>
            </w:rPr>
            <m:t> </m:t>
          </m:r>
          <m:r>
            <m:rPr>
              <m:nor/>
            </m:rPr>
            <w:rPr>
              <w:lang w:val="en-US"/>
            </w:rPr>
            <m:t>daysma</m:t>
          </m:r>
          <m:sSub>
            <m:sSubPr>
              <m:ctrlPr>
                <w:rPr>
                  <w:rFonts w:ascii="Cambria Math" w:hAnsi="Cambria Math"/>
                </w:rPr>
              </m:ctrlPr>
            </m:sSubPr>
            <m:e>
              <m:r>
                <m:rPr>
                  <m:nor/>
                </m:rPr>
                <w:rPr>
                  <w:lang w:val="en-US"/>
                </w:rPr>
                <m:t>t</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10</m:t>
              </m:r>
            </m:sub>
          </m:sSub>
          <m:r>
            <w:rPr>
              <w:rFonts w:ascii="Cambria Math" w:hAnsi="Cambria Math"/>
              <w:lang w:val="en-US"/>
            </w:rPr>
            <m:t> </m:t>
          </m:r>
          <m:r>
            <m:rPr>
              <m:nor/>
            </m:rPr>
            <w:rPr>
              <w:lang w:val="en-US"/>
            </w:rPr>
            <m:t>cd</m:t>
          </m:r>
          <m:sSub>
            <m:sSubPr>
              <m:ctrlPr>
                <w:rPr>
                  <w:rFonts w:ascii="Cambria Math" w:hAnsi="Cambria Math"/>
                </w:rPr>
              </m:ctrlPr>
            </m:sSubPr>
            <m:e>
              <m:r>
                <m:rPr>
                  <m:nor/>
                </m:rPr>
                <w:rPr>
                  <w:lang w:val="en-US"/>
                </w:rPr>
                <m:t>s</m:t>
              </m:r>
            </m:e>
            <m:sub>
              <m:r>
                <m:rPr>
                  <m:nor/>
                </m:rPr>
                <w:rPr>
                  <w:lang w:val="en-US"/>
                </w:rPr>
                <m:t>t</m:t>
              </m:r>
            </m:sub>
          </m:sSub>
          <m:r>
            <w:rPr>
              <w:rFonts w:ascii="Cambria Math" w:hAnsi="Cambria Math"/>
              <w:lang w:val="en-US"/>
            </w:rPr>
            <m:t xml:space="preserve"> +</m:t>
          </m:r>
          <m:sSub>
            <m:sSubPr>
              <m:ctrlPr>
                <w:rPr>
                  <w:rFonts w:ascii="Cambria Math" w:hAnsi="Cambria Math"/>
                </w:rPr>
              </m:ctrlPr>
            </m:sSubPr>
            <m:e>
              <m:r>
                <w:rPr>
                  <w:rFonts w:ascii="Cambria Math" w:hAnsi="Cambria Math"/>
                </w:rPr>
                <m:t>ε</m:t>
              </m:r>
            </m:e>
            <m:sub>
              <m:r>
                <w:rPr>
                  <w:rFonts w:ascii="Cambria Math" w:hAnsi="Cambria Math"/>
                </w:rPr>
                <m:t>i</m:t>
              </m:r>
              <m:r>
                <w:rPr>
                  <w:rFonts w:ascii="Cambria Math" w:hAnsi="Cambria Math"/>
                  <w:lang w:val="en-US"/>
                </w:rPr>
                <m:t>,</m:t>
              </m:r>
              <m:r>
                <w:rPr>
                  <w:rFonts w:ascii="Cambria Math" w:hAnsi="Cambria Math"/>
                </w:rPr>
                <m:t>t</m:t>
              </m:r>
            </m:sub>
          </m:sSub>
        </m:oMath>
      </m:oMathPara>
    </w:p>
    <w:p w14:paraId="0D33CFA8" w14:textId="77777777" w:rsidR="00465A83" w:rsidRDefault="00465A83" w:rsidP="00AD1347">
      <w:pPr>
        <w:jc w:val="both"/>
        <w:rPr>
          <w:bCs/>
          <w:lang w:val="en-US" w:eastAsia="es-ES"/>
        </w:rPr>
      </w:pPr>
    </w:p>
    <w:p w14:paraId="2701E41F" w14:textId="77777777" w:rsidR="00465A83" w:rsidRPr="00A5162A" w:rsidRDefault="00465A83" w:rsidP="00A5162A">
      <w:pPr>
        <w:ind w:firstLine="709"/>
        <w:jc w:val="both"/>
        <w:rPr>
          <w:bCs/>
          <w:lang w:val="en-US" w:eastAsia="es-ES"/>
        </w:rPr>
      </w:pPr>
    </w:p>
    <w:p w14:paraId="10344DFD" w14:textId="7E204169" w:rsidR="00A5162A" w:rsidRDefault="00A5162A" w:rsidP="00A5162A">
      <w:pPr>
        <w:ind w:firstLine="709"/>
        <w:jc w:val="both"/>
        <w:rPr>
          <w:bCs/>
          <w:lang w:val="en-US" w:eastAsia="es-ES"/>
        </w:rPr>
      </w:pPr>
      <w:r w:rsidRPr="00A5162A">
        <w:rPr>
          <w:bCs/>
          <w:lang w:val="en-US" w:eastAsia="es-ES"/>
        </w:rPr>
        <w:t xml:space="preserve">The bond fixed effect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A5162A">
        <w:rPr>
          <w:bCs/>
          <w:lang w:val="en-US" w:eastAsia="es-ES"/>
        </w:rPr>
        <w:t xml:space="preserve"> absorbs all time-invariant characteristics of the bond and issuer, including sector, structural credit quality, contract design, and any slowly moving omitted factor that is specific to a given instrument. Because these effects are absorbed by alpha_i, the coefficients are identified from within-bond changes over time. This is a useful design for a dataset with large cross-sectional heterogeneity. It also aligns with the economic question: how are the same bonds repriced when global, macroeconomic, sovereign, or firm-level conditions change?</w:t>
      </w:r>
    </w:p>
    <w:p w14:paraId="2A6965E1" w14:textId="77777777" w:rsidR="00465A83" w:rsidRPr="00A5162A" w:rsidRDefault="00465A83" w:rsidP="00A5162A">
      <w:pPr>
        <w:ind w:firstLine="709"/>
        <w:jc w:val="both"/>
        <w:rPr>
          <w:bCs/>
          <w:lang w:val="en-US" w:eastAsia="es-ES"/>
        </w:rPr>
      </w:pPr>
    </w:p>
    <w:p w14:paraId="41A09FAD" w14:textId="77777777" w:rsidR="00A5162A" w:rsidRDefault="00A5162A" w:rsidP="00A5162A">
      <w:pPr>
        <w:ind w:firstLine="709"/>
        <w:jc w:val="both"/>
        <w:rPr>
          <w:bCs/>
          <w:lang w:val="en-US" w:eastAsia="es-ES"/>
        </w:rPr>
      </w:pPr>
      <w:r w:rsidRPr="00A5162A">
        <w:rPr>
          <w:bCs/>
          <w:lang w:val="en-US" w:eastAsia="es-ES"/>
        </w:rPr>
        <w:t>The interpretation is intentionally modest. The paper does not claim structural causality in a strong experimental sense. Rather, it estimates robust within-bond associations that are consistent with the mechanisms highlighted in the literature. The exogeneity assumption is most defensible for the global variables, which are clearly outside the control of any Brazilian issuer. Domestic macro variables and sovereign risk are more endogenous at the aggregate level, but from the perspective of an individual bond they remain common shocks that shape pricing conditions.</w:t>
      </w:r>
    </w:p>
    <w:p w14:paraId="58A35EF1" w14:textId="77777777" w:rsidR="00465A83" w:rsidRPr="00A5162A" w:rsidRDefault="00465A83" w:rsidP="00A5162A">
      <w:pPr>
        <w:ind w:firstLine="709"/>
        <w:jc w:val="both"/>
        <w:rPr>
          <w:bCs/>
          <w:lang w:val="en-US" w:eastAsia="es-ES"/>
        </w:rPr>
      </w:pPr>
    </w:p>
    <w:p w14:paraId="76B3C0A8" w14:textId="4A1A959A" w:rsidR="002D3AA6" w:rsidRPr="00A5162A" w:rsidRDefault="00A5162A" w:rsidP="00A5162A">
      <w:pPr>
        <w:ind w:firstLine="709"/>
        <w:jc w:val="both"/>
        <w:rPr>
          <w:lang w:val="en-US"/>
        </w:rPr>
      </w:pPr>
      <w:r w:rsidRPr="00A5162A">
        <w:rPr>
          <w:bCs/>
          <w:lang w:val="en-US" w:eastAsia="es-ES"/>
        </w:rPr>
        <w:t>The model is estimated in levels, not in first differences. This choice follows much of the empirical literature on sovereign and corporate spreads, which typically treats spreads as mean-reverting financial variables around an equilibrium level rather than as random walks. In principle, one might test panel unit roots before deciding on the specification. In practice, the strongly unbalanced panel, the presence of missing observations, and the discontinuous life cycle of bonds make standard panel unit-root tests difficult to apply consistently. The thesis explored these issues and ultimately retained the levels specification as the most coherent and interpretable benchmark.</w:t>
      </w:r>
    </w:p>
    <w:p w14:paraId="0D14E41C" w14:textId="77777777" w:rsidR="009A4AE2" w:rsidRDefault="009A4AE2" w:rsidP="009A4AE2">
      <w:pPr>
        <w:jc w:val="both"/>
        <w:rPr>
          <w:lang w:val="en-US"/>
        </w:rPr>
      </w:pPr>
    </w:p>
    <w:p w14:paraId="215AB870" w14:textId="77777777" w:rsidR="00586AB3" w:rsidRPr="00A5162A" w:rsidRDefault="00586AB3" w:rsidP="009A4AE2">
      <w:pPr>
        <w:jc w:val="both"/>
        <w:rPr>
          <w:lang w:val="en-US"/>
        </w:rPr>
      </w:pPr>
    </w:p>
    <w:p w14:paraId="757FB3E0" w14:textId="137B9277" w:rsidR="009A4AE2" w:rsidRPr="00CA38ED" w:rsidRDefault="00687E7A" w:rsidP="009A4AE2">
      <w:pPr>
        <w:pStyle w:val="Heading2"/>
      </w:pPr>
      <w:bookmarkStart w:id="8" w:name="_Toc228544181"/>
      <w:r w:rsidRPr="00687E7A">
        <w:lastRenderedPageBreak/>
        <w:t>Model selection and inference</w:t>
      </w:r>
      <w:bookmarkEnd w:id="8"/>
    </w:p>
    <w:p w14:paraId="3F2490EF" w14:textId="77777777" w:rsidR="009A4AE2" w:rsidRPr="00CA38ED" w:rsidRDefault="009A4AE2" w:rsidP="009A4AE2"/>
    <w:p w14:paraId="5E9A66BC" w14:textId="3399D206" w:rsidR="00DB29B6" w:rsidRDefault="00DB29B6" w:rsidP="00DB29B6">
      <w:pPr>
        <w:ind w:firstLine="709"/>
        <w:jc w:val="both"/>
        <w:rPr>
          <w:lang w:val="en-US"/>
        </w:rPr>
      </w:pPr>
      <w:r w:rsidRPr="00DB29B6">
        <w:rPr>
          <w:lang w:val="en-US"/>
        </w:rPr>
        <w:t>The choice of estimator is guided by formal diagnostic tests. First, an F test strongly rejects pooled OLS in favor of a model with individual effects, indicating that bond-level heterogeneity is economically and statistically important. Second, a Hausman test rejects random effects, which suggests that the unobserved bond-specific component is correlated with the regressors. These results make fixed effects the natural baseline.</w:t>
      </w:r>
    </w:p>
    <w:p w14:paraId="3990482E" w14:textId="77777777" w:rsidR="00E92460" w:rsidRPr="00DB29B6" w:rsidRDefault="00E92460" w:rsidP="00DB29B6">
      <w:pPr>
        <w:ind w:firstLine="709"/>
        <w:jc w:val="both"/>
        <w:rPr>
          <w:lang w:val="en-US"/>
        </w:rPr>
      </w:pPr>
    </w:p>
    <w:p w14:paraId="646428BD" w14:textId="77777777" w:rsidR="00DB29B6" w:rsidRDefault="00DB29B6" w:rsidP="00DB29B6">
      <w:pPr>
        <w:ind w:firstLine="709"/>
        <w:jc w:val="both"/>
        <w:rPr>
          <w:lang w:val="en-US"/>
        </w:rPr>
      </w:pPr>
      <w:r w:rsidRPr="00DB29B6">
        <w:rPr>
          <w:lang w:val="en-US"/>
        </w:rPr>
        <w:t>Additional diagnostics reveal that the error structure is not benign. Modified Wald tests indicate strong heteroskedasticity across panels. The Pesaran CD statistic points to substantial cross-sectional dependence, and the Wooldridge test rejects the absence of serial correlation. In other words, while the fixed-effects estimator remains appropriate for the conditional mean, conventional standard errors are unlikely to be reliable.</w:t>
      </w:r>
    </w:p>
    <w:p w14:paraId="4FF53541" w14:textId="77777777" w:rsidR="00E92460" w:rsidRPr="00DB29B6" w:rsidRDefault="00E92460" w:rsidP="00DB29B6">
      <w:pPr>
        <w:ind w:firstLine="709"/>
        <w:jc w:val="both"/>
        <w:rPr>
          <w:lang w:val="en-US"/>
        </w:rPr>
      </w:pPr>
    </w:p>
    <w:p w14:paraId="717BD0D2" w14:textId="77777777" w:rsidR="00DB29B6" w:rsidRDefault="00DB29B6" w:rsidP="00DB29B6">
      <w:pPr>
        <w:ind w:firstLine="709"/>
        <w:jc w:val="both"/>
        <w:rPr>
          <w:lang w:val="en-US"/>
        </w:rPr>
      </w:pPr>
      <w:r w:rsidRPr="00DB29B6">
        <w:rPr>
          <w:lang w:val="en-US"/>
        </w:rPr>
        <w:t>For that reason, the preferred specification reports issuer-clustered standard errors, which are a sensible compromise given the corporate structure of the panel. Two alternative inference procedures are then used as robustness checks. The first is a Panel-Corrected Standard Error estimator that adjusts for contemporaneous correlation and heteroskedasticity in the residuals. The second uses Driscoll-Kraay standard errors, which are robust to heteroskedasticity, serial correlation, and certain forms of cross-sectional dependence. The point estimates under Driscoll-Kraay coincide with the baseline fixed-effects coefficients, while the estimated standard errors change.</w:t>
      </w:r>
    </w:p>
    <w:p w14:paraId="293C169B" w14:textId="77777777" w:rsidR="00E92460" w:rsidRPr="00DB29B6" w:rsidRDefault="00E92460" w:rsidP="00DB29B6">
      <w:pPr>
        <w:ind w:firstLine="709"/>
        <w:jc w:val="both"/>
        <w:rPr>
          <w:lang w:val="en-US"/>
        </w:rPr>
      </w:pPr>
    </w:p>
    <w:p w14:paraId="19269C3A" w14:textId="3606F34A" w:rsidR="007A5901" w:rsidRPr="00DB29B6" w:rsidRDefault="00DB29B6" w:rsidP="00DB29B6">
      <w:pPr>
        <w:ind w:firstLine="709"/>
        <w:jc w:val="both"/>
        <w:rPr>
          <w:bCs/>
          <w:lang w:val="en-US" w:eastAsia="es-ES"/>
        </w:rPr>
      </w:pPr>
      <w:r w:rsidRPr="00DB29B6">
        <w:rPr>
          <w:lang w:val="en-US"/>
        </w:rPr>
        <w:t>A dynamic panel with a lagged dependent variable was considered but not adopted as the reference model. Given monthly data, the OTC nature of the market, and the fact that bond prices often reflect smoothed dealer quotations rather than highly informative transaction-by-transaction discovery, a one-month autoregressive structure is not clearly justified as the main economic model. The paper therefore prioritizes a transparent static framework and uses alternative variance estimators to assess the robustness of inference.</w:t>
      </w:r>
    </w:p>
    <w:p w14:paraId="496F6D5F" w14:textId="77777777" w:rsidR="00112212" w:rsidRDefault="00112212" w:rsidP="009F0E95">
      <w:pPr>
        <w:ind w:firstLine="709"/>
        <w:jc w:val="both"/>
        <w:rPr>
          <w:bCs/>
          <w:lang w:val="en-US" w:eastAsia="es-ES"/>
        </w:rPr>
      </w:pPr>
    </w:p>
    <w:p w14:paraId="496E67F8" w14:textId="77777777" w:rsidR="00586AB3" w:rsidRPr="00DB29B6" w:rsidRDefault="00586AB3" w:rsidP="009F0E95">
      <w:pPr>
        <w:ind w:firstLine="709"/>
        <w:jc w:val="both"/>
        <w:rPr>
          <w:bCs/>
          <w:lang w:val="en-US" w:eastAsia="es-ES"/>
        </w:rPr>
      </w:pPr>
    </w:p>
    <w:p w14:paraId="719894F7" w14:textId="58830B1F" w:rsidR="000958E3" w:rsidRPr="00A32AE4" w:rsidRDefault="008571F3" w:rsidP="00A32AE4">
      <w:pPr>
        <w:pStyle w:val="Heading1"/>
      </w:pPr>
      <w:bookmarkStart w:id="9" w:name="_Toc228544182"/>
      <w:r w:rsidRPr="008571F3">
        <w:t>Results</w:t>
      </w:r>
      <w:bookmarkEnd w:id="9"/>
    </w:p>
    <w:p w14:paraId="41589E3E" w14:textId="77777777" w:rsidR="00B57005" w:rsidRPr="00CA38ED" w:rsidRDefault="00B57005" w:rsidP="000958E3">
      <w:pPr>
        <w:ind w:firstLine="709"/>
        <w:jc w:val="both"/>
        <w:rPr>
          <w:bCs/>
          <w:lang w:val="es-ES" w:eastAsia="es-ES"/>
        </w:rPr>
      </w:pPr>
    </w:p>
    <w:p w14:paraId="33FE43D0" w14:textId="27882FB4" w:rsidR="0002722C" w:rsidRPr="00CA38ED" w:rsidRDefault="00A32AE4" w:rsidP="00E33D91">
      <w:pPr>
        <w:pStyle w:val="Heading2"/>
      </w:pPr>
      <w:bookmarkStart w:id="10" w:name="_Toc228544183"/>
      <w:r w:rsidRPr="00A32AE4">
        <w:t>Model selection diagnostics</w:t>
      </w:r>
      <w:bookmarkEnd w:id="10"/>
    </w:p>
    <w:p w14:paraId="3C7C4C71" w14:textId="77777777" w:rsidR="0002722C" w:rsidRPr="00CA38ED" w:rsidRDefault="0002722C">
      <w:pPr>
        <w:jc w:val="both"/>
        <w:rPr>
          <w:b/>
          <w:bCs/>
          <w:sz w:val="28"/>
          <w:szCs w:val="28"/>
        </w:rPr>
      </w:pPr>
    </w:p>
    <w:p w14:paraId="372030D4" w14:textId="6AFB679F" w:rsidR="009253E5" w:rsidRDefault="00C42E9F" w:rsidP="00C42E9F">
      <w:pPr>
        <w:ind w:firstLine="709"/>
        <w:jc w:val="both"/>
        <w:rPr>
          <w:bCs/>
          <w:lang w:val="en-US" w:eastAsia="es-ES"/>
        </w:rPr>
      </w:pPr>
      <w:r w:rsidRPr="00C42E9F">
        <w:rPr>
          <w:bCs/>
          <w:lang w:val="en-US" w:eastAsia="es-ES"/>
        </w:rPr>
        <w:t>Table 2 reports the main diagnostic tests that guide model selection. The F test of individual effects strongly rejects pooled OLS, and the Hausman test rejects random effects. Together, these results confirm that ignoring instrument-specific heterogeneity would be inappropriate and that the correlation between unobserved effects and regressors is non-negligible. The fixed-effects framework is therefore preferred on both econometric and substantive grounds.</w:t>
      </w:r>
    </w:p>
    <w:p w14:paraId="6092EFA7" w14:textId="77777777" w:rsidR="00C42E9F" w:rsidRPr="00C42E9F" w:rsidRDefault="00C42E9F" w:rsidP="00C42E9F">
      <w:pPr>
        <w:ind w:firstLine="709"/>
        <w:jc w:val="both"/>
        <w:rPr>
          <w:lang w:val="en-US"/>
        </w:rPr>
      </w:pPr>
    </w:p>
    <w:p w14:paraId="7F5E7B70" w14:textId="1EFAD38D" w:rsidR="00B57005" w:rsidRPr="00522C2F" w:rsidRDefault="00B57005" w:rsidP="00B57005">
      <w:pPr>
        <w:pStyle w:val="Caption"/>
        <w:keepNext/>
        <w:rPr>
          <w:lang w:val="en-US"/>
        </w:rPr>
      </w:pPr>
      <w:r w:rsidRPr="00522C2F">
        <w:rPr>
          <w:lang w:val="en-US"/>
        </w:rPr>
        <w:t xml:space="preserve">Table </w:t>
      </w:r>
      <w:r w:rsidR="00641D2B" w:rsidRPr="00522C2F">
        <w:rPr>
          <w:lang w:val="en-US"/>
        </w:rPr>
        <w:t>2</w:t>
      </w:r>
      <w:r w:rsidRPr="00522C2F">
        <w:rPr>
          <w:lang w:val="en-US"/>
        </w:rPr>
        <w:t xml:space="preserve">: </w:t>
      </w:r>
      <w:r w:rsidR="00522C2F" w:rsidRPr="00522C2F">
        <w:rPr>
          <w:lang w:val="en-US"/>
        </w:rPr>
        <w:t>Diagnostic tests for model selection</w:t>
      </w:r>
    </w:p>
    <w:tbl>
      <w:tblPr>
        <w:tblStyle w:val="TableGrid"/>
        <w:tblW w:w="0" w:type="auto"/>
        <w:tblLook w:val="04A0" w:firstRow="1" w:lastRow="0" w:firstColumn="1" w:lastColumn="0" w:noHBand="0" w:noVBand="1"/>
      </w:tblPr>
      <w:tblGrid>
        <w:gridCol w:w="4755"/>
        <w:gridCol w:w="3467"/>
      </w:tblGrid>
      <w:tr w:rsidR="00611CCB" w:rsidRPr="003977AA" w14:paraId="3EF3899D" w14:textId="77777777" w:rsidTr="00700029">
        <w:tc>
          <w:tcPr>
            <w:tcW w:w="0" w:type="auto"/>
            <w:hideMark/>
          </w:tcPr>
          <w:p w14:paraId="1BF15D6B" w14:textId="01C1868A" w:rsidR="00611CCB" w:rsidRPr="003977AA" w:rsidRDefault="00611CCB" w:rsidP="00611CCB">
            <w:pPr>
              <w:jc w:val="center"/>
              <w:rPr>
                <w:b/>
                <w:bCs/>
              </w:rPr>
            </w:pPr>
            <w:r w:rsidRPr="00077A9B">
              <w:t>Test</w:t>
            </w:r>
          </w:p>
        </w:tc>
        <w:tc>
          <w:tcPr>
            <w:tcW w:w="0" w:type="auto"/>
            <w:hideMark/>
          </w:tcPr>
          <w:p w14:paraId="15998E44" w14:textId="27F7896A" w:rsidR="00611CCB" w:rsidRPr="003977AA" w:rsidRDefault="00611CCB" w:rsidP="00611CCB">
            <w:pPr>
              <w:jc w:val="center"/>
              <w:rPr>
                <w:b/>
                <w:bCs/>
              </w:rPr>
            </w:pPr>
            <w:r w:rsidRPr="00077A9B">
              <w:t>Result</w:t>
            </w:r>
          </w:p>
        </w:tc>
      </w:tr>
      <w:tr w:rsidR="00611CCB" w:rsidRPr="003977AA" w14:paraId="4BB51845" w14:textId="77777777" w:rsidTr="00700029">
        <w:tc>
          <w:tcPr>
            <w:tcW w:w="0" w:type="auto"/>
            <w:hideMark/>
          </w:tcPr>
          <w:p w14:paraId="1FF32DBE" w14:textId="0D6B6D9E" w:rsidR="00611CCB" w:rsidRPr="00611CCB" w:rsidRDefault="00611CCB" w:rsidP="00611CCB">
            <w:pPr>
              <w:rPr>
                <w:lang w:val="en-US"/>
              </w:rPr>
            </w:pPr>
            <w:r w:rsidRPr="00611CCB">
              <w:rPr>
                <w:lang w:val="en-US"/>
              </w:rPr>
              <w:t>F test of individual effects (pooled vs. FE)</w:t>
            </w:r>
          </w:p>
        </w:tc>
        <w:tc>
          <w:tcPr>
            <w:tcW w:w="0" w:type="auto"/>
            <w:hideMark/>
          </w:tcPr>
          <w:p w14:paraId="4F2EA678" w14:textId="07D8EAAC" w:rsidR="00611CCB" w:rsidRPr="003977AA" w:rsidRDefault="00611CCB" w:rsidP="00611CCB">
            <w:r w:rsidRPr="00077A9B">
              <w:t>F(102,4116) = 67.11; p &lt; 0.001</w:t>
            </w:r>
          </w:p>
        </w:tc>
      </w:tr>
      <w:tr w:rsidR="00611CCB" w:rsidRPr="003977AA" w14:paraId="5177F68E" w14:textId="77777777" w:rsidTr="00700029">
        <w:tc>
          <w:tcPr>
            <w:tcW w:w="0" w:type="auto"/>
            <w:hideMark/>
          </w:tcPr>
          <w:p w14:paraId="7D70DE43" w14:textId="14D9BF85" w:rsidR="00611CCB" w:rsidRPr="003977AA" w:rsidRDefault="00611CCB" w:rsidP="00611CCB">
            <w:r w:rsidRPr="00077A9B">
              <w:t>Hausman (FE vs. RE)</w:t>
            </w:r>
          </w:p>
        </w:tc>
        <w:tc>
          <w:tcPr>
            <w:tcW w:w="0" w:type="auto"/>
            <w:hideMark/>
          </w:tcPr>
          <w:p w14:paraId="6E0BB051" w14:textId="738EC741" w:rsidR="00611CCB" w:rsidRPr="003977AA" w:rsidRDefault="00611CCB" w:rsidP="00611CCB">
            <w:r w:rsidRPr="00077A9B">
              <w:t>chi2(10) = 289.48; p &lt; 0.001</w:t>
            </w:r>
          </w:p>
        </w:tc>
      </w:tr>
      <w:tr w:rsidR="00611CCB" w:rsidRPr="003977AA" w14:paraId="652B40F6" w14:textId="77777777" w:rsidTr="00700029">
        <w:tc>
          <w:tcPr>
            <w:tcW w:w="0" w:type="auto"/>
            <w:hideMark/>
          </w:tcPr>
          <w:p w14:paraId="023A8B6B" w14:textId="6F541947" w:rsidR="00611CCB" w:rsidRPr="003977AA" w:rsidRDefault="00611CCB" w:rsidP="00611CCB">
            <w:pPr>
              <w:rPr>
                <w:lang w:val="es-AR"/>
              </w:rPr>
            </w:pPr>
            <w:r w:rsidRPr="00077A9B">
              <w:lastRenderedPageBreak/>
              <w:t>Groupwise heteroskedasticity (Modified Wald)</w:t>
            </w:r>
          </w:p>
        </w:tc>
        <w:tc>
          <w:tcPr>
            <w:tcW w:w="0" w:type="auto"/>
            <w:hideMark/>
          </w:tcPr>
          <w:p w14:paraId="1B033594" w14:textId="1AABC97E" w:rsidR="00611CCB" w:rsidRPr="003977AA" w:rsidRDefault="00611CCB" w:rsidP="00611CCB">
            <w:r w:rsidRPr="00077A9B">
              <w:t>chi2(103) = 591800.93; p &lt; 0.001</w:t>
            </w:r>
          </w:p>
        </w:tc>
      </w:tr>
      <w:tr w:rsidR="00611CCB" w:rsidRPr="003977AA" w14:paraId="2A88C661" w14:textId="77777777" w:rsidTr="00700029">
        <w:tc>
          <w:tcPr>
            <w:tcW w:w="0" w:type="auto"/>
            <w:hideMark/>
          </w:tcPr>
          <w:p w14:paraId="4768182D" w14:textId="647CD22F" w:rsidR="00611CCB" w:rsidRPr="003977AA" w:rsidRDefault="00611CCB" w:rsidP="00611CCB">
            <w:r w:rsidRPr="00077A9B">
              <w:t>Cross-sectional dependence (Pesaran CD)</w:t>
            </w:r>
          </w:p>
        </w:tc>
        <w:tc>
          <w:tcPr>
            <w:tcW w:w="0" w:type="auto"/>
            <w:hideMark/>
          </w:tcPr>
          <w:p w14:paraId="7F744505" w14:textId="2129EEB9" w:rsidR="00611CCB" w:rsidRPr="003977AA" w:rsidRDefault="00611CCB" w:rsidP="00611CCB">
            <w:r w:rsidRPr="00077A9B">
              <w:t>CD = 69.493; p &lt; 0.001</w:t>
            </w:r>
          </w:p>
        </w:tc>
      </w:tr>
      <w:tr w:rsidR="00611CCB" w:rsidRPr="003977AA" w14:paraId="2B3625CC" w14:textId="77777777" w:rsidTr="00700029">
        <w:tc>
          <w:tcPr>
            <w:tcW w:w="0" w:type="auto"/>
            <w:hideMark/>
          </w:tcPr>
          <w:p w14:paraId="5C2F50ED" w14:textId="0D9F15C9" w:rsidR="00611CCB" w:rsidRPr="00611CCB" w:rsidRDefault="00611CCB" w:rsidP="00611CCB">
            <w:pPr>
              <w:rPr>
                <w:lang w:val="en-US"/>
              </w:rPr>
            </w:pPr>
            <w:r w:rsidRPr="00611CCB">
              <w:rPr>
                <w:lang w:val="en-US"/>
              </w:rPr>
              <w:t>Mean absolute cross-panel correlation</w:t>
            </w:r>
          </w:p>
        </w:tc>
        <w:tc>
          <w:tcPr>
            <w:tcW w:w="0" w:type="auto"/>
            <w:hideMark/>
          </w:tcPr>
          <w:p w14:paraId="1E407E33" w14:textId="27815B6F" w:rsidR="00611CCB" w:rsidRPr="003977AA" w:rsidRDefault="00611CCB" w:rsidP="00611CCB">
            <w:r w:rsidRPr="00077A9B">
              <w:t>0.479</w:t>
            </w:r>
          </w:p>
        </w:tc>
      </w:tr>
      <w:tr w:rsidR="00611CCB" w:rsidRPr="003977AA" w14:paraId="13802EB6" w14:textId="77777777" w:rsidTr="00700029">
        <w:tc>
          <w:tcPr>
            <w:tcW w:w="0" w:type="auto"/>
            <w:hideMark/>
          </w:tcPr>
          <w:p w14:paraId="5754D096" w14:textId="3E9D3FAE" w:rsidR="00611CCB" w:rsidRPr="003977AA" w:rsidRDefault="00611CCB" w:rsidP="00611CCB">
            <w:r w:rsidRPr="00077A9B">
              <w:t>Serial correlation (Wooldridge)</w:t>
            </w:r>
          </w:p>
        </w:tc>
        <w:tc>
          <w:tcPr>
            <w:tcW w:w="0" w:type="auto"/>
            <w:hideMark/>
          </w:tcPr>
          <w:p w14:paraId="6BD2DD49" w14:textId="01F2AD8B" w:rsidR="00611CCB" w:rsidRPr="003977AA" w:rsidRDefault="00611CCB" w:rsidP="00611CCB">
            <w:r w:rsidRPr="00077A9B">
              <w:t>F(1,100) = 279.756; p &lt; 0.001</w:t>
            </w:r>
          </w:p>
        </w:tc>
      </w:tr>
      <w:tr w:rsidR="00611CCB" w:rsidRPr="003977AA" w14:paraId="3F6FD668" w14:textId="77777777" w:rsidTr="00700029">
        <w:tc>
          <w:tcPr>
            <w:tcW w:w="0" w:type="auto"/>
            <w:hideMark/>
          </w:tcPr>
          <w:p w14:paraId="378CB2E4" w14:textId="365F0E9B" w:rsidR="00611CCB" w:rsidRPr="00611CCB" w:rsidRDefault="00611CCB" w:rsidP="00611CCB">
            <w:pPr>
              <w:rPr>
                <w:lang w:val="en-US"/>
              </w:rPr>
            </w:pPr>
            <w:r w:rsidRPr="00611CCB">
              <w:rPr>
                <w:lang w:val="en-US"/>
              </w:rPr>
              <w:t>rho in baseline FE model</w:t>
            </w:r>
          </w:p>
        </w:tc>
        <w:tc>
          <w:tcPr>
            <w:tcW w:w="0" w:type="auto"/>
            <w:hideMark/>
          </w:tcPr>
          <w:p w14:paraId="2BB7A634" w14:textId="1E7A6F61" w:rsidR="00611CCB" w:rsidRPr="003977AA" w:rsidRDefault="00611CCB" w:rsidP="00611CCB">
            <w:r w:rsidRPr="00077A9B">
              <w:t>0.8188</w:t>
            </w:r>
          </w:p>
        </w:tc>
      </w:tr>
    </w:tbl>
    <w:p w14:paraId="298A9394" w14:textId="74C7D44C" w:rsidR="00B57005" w:rsidRPr="00A36E81" w:rsidRDefault="00A36E81" w:rsidP="00B57005">
      <w:pPr>
        <w:jc w:val="both"/>
        <w:rPr>
          <w:i/>
          <w:iCs/>
          <w:color w:val="1F497D" w:themeColor="text2"/>
          <w:sz w:val="18"/>
          <w:szCs w:val="18"/>
          <w:lang w:val="en-US"/>
        </w:rPr>
      </w:pPr>
      <w:r w:rsidRPr="00A36E81">
        <w:rPr>
          <w:i/>
          <w:iCs/>
          <w:color w:val="1F497D" w:themeColor="text2"/>
          <w:sz w:val="18"/>
          <w:szCs w:val="18"/>
          <w:lang w:val="en-US"/>
        </w:rPr>
        <w:t>Notes: The tests reject pooled OLS and random effects, and indicate heteroskedasticity, cross-sectional dependence, and serial correlation in the panel.</w:t>
      </w:r>
    </w:p>
    <w:p w14:paraId="75FB2A1E" w14:textId="77777777" w:rsidR="00A36E81" w:rsidRPr="00A36E81" w:rsidRDefault="00A36E81" w:rsidP="00B57005">
      <w:pPr>
        <w:jc w:val="both"/>
        <w:rPr>
          <w:b/>
          <w:bCs/>
          <w:sz w:val="28"/>
          <w:szCs w:val="28"/>
          <w:lang w:val="en-US"/>
        </w:rPr>
      </w:pPr>
    </w:p>
    <w:p w14:paraId="444C52BB" w14:textId="477D66CB" w:rsidR="00B57005" w:rsidRPr="006D7820" w:rsidRDefault="006D7820" w:rsidP="006D7820">
      <w:pPr>
        <w:ind w:firstLine="720"/>
        <w:jc w:val="both"/>
        <w:rPr>
          <w:lang w:val="en-US"/>
        </w:rPr>
      </w:pPr>
      <w:r w:rsidRPr="006D7820">
        <w:rPr>
          <w:lang w:val="en-US"/>
        </w:rPr>
        <w:t>The diagnostics also show that the residual structure is characterized by heteroskedasticity, cross-sectional dependence, and serial correlation. The estimated within-panel persistence is high, with a rho of about 0.82 in the baseline fixed-effects model. This pattern is consistent with the fact that bond spreads evolve gradually and are influenced by common macro-financial conditions. It also justifies the use of alternative inference procedures. Importantly, these diagnostics do not invalidate the fixed-effects specification as a conditional-mean model; instead, they caution against over-reliance on conventional standard errors.</w:t>
      </w:r>
    </w:p>
    <w:p w14:paraId="32891C4E" w14:textId="77777777" w:rsidR="007365BD" w:rsidRPr="006D7820" w:rsidRDefault="007365BD" w:rsidP="007365BD">
      <w:pPr>
        <w:ind w:firstLine="720"/>
        <w:jc w:val="both"/>
        <w:rPr>
          <w:lang w:val="en-US"/>
        </w:rPr>
      </w:pPr>
    </w:p>
    <w:p w14:paraId="6311AAEA" w14:textId="77777777" w:rsidR="007365BD" w:rsidRPr="006D7820" w:rsidRDefault="007365BD" w:rsidP="007365BD">
      <w:pPr>
        <w:ind w:firstLine="720"/>
        <w:jc w:val="both"/>
        <w:rPr>
          <w:lang w:val="en-US"/>
        </w:rPr>
      </w:pPr>
    </w:p>
    <w:p w14:paraId="53A8554B" w14:textId="35CEC958" w:rsidR="007365BD" w:rsidRPr="00CA38ED" w:rsidRDefault="00870CF5" w:rsidP="007365BD">
      <w:pPr>
        <w:pStyle w:val="Heading2"/>
      </w:pPr>
      <w:bookmarkStart w:id="11" w:name="_Toc228544184"/>
      <w:r w:rsidRPr="00870CF5">
        <w:t>Baseline estimates</w:t>
      </w:r>
      <w:bookmarkEnd w:id="11"/>
    </w:p>
    <w:p w14:paraId="7BDCEE6B" w14:textId="77777777" w:rsidR="007365BD" w:rsidRPr="00CA38ED" w:rsidRDefault="007365BD" w:rsidP="007365BD">
      <w:pPr>
        <w:jc w:val="both"/>
        <w:rPr>
          <w:b/>
          <w:bCs/>
          <w:sz w:val="28"/>
          <w:szCs w:val="28"/>
        </w:rPr>
      </w:pPr>
    </w:p>
    <w:p w14:paraId="1123F5BE" w14:textId="6D1C6BA3" w:rsidR="007365BD" w:rsidRPr="00D97A9D" w:rsidRDefault="00315A91" w:rsidP="007365BD">
      <w:pPr>
        <w:ind w:firstLine="720"/>
        <w:jc w:val="both"/>
        <w:rPr>
          <w:lang w:val="en-US"/>
        </w:rPr>
      </w:pPr>
      <w:r w:rsidRPr="00315A91">
        <w:rPr>
          <w:bCs/>
          <w:lang w:val="en-US" w:eastAsia="es-ES"/>
        </w:rPr>
        <w:t xml:space="preserve">Table 3 presents the main results. Column 1 reports the preferred fixed-effects specification with issuer-clustered standard errors. Column 2 reports the PCSE estimates, and Column 3 reports fixed-effects coefficients with Driscoll-Kraay standard errors. </w:t>
      </w:r>
      <w:r w:rsidRPr="00D97A9D">
        <w:rPr>
          <w:bCs/>
          <w:lang w:val="en-US" w:eastAsia="es-ES"/>
        </w:rPr>
        <w:t>Several patterns stand out.</w:t>
      </w:r>
    </w:p>
    <w:p w14:paraId="6FE0E6AC" w14:textId="77777777" w:rsidR="00FD2768" w:rsidRPr="00D97A9D" w:rsidRDefault="00FD2768" w:rsidP="00D146B5">
      <w:pPr>
        <w:jc w:val="both"/>
        <w:rPr>
          <w:lang w:val="en-US"/>
        </w:rPr>
      </w:pPr>
    </w:p>
    <w:p w14:paraId="627524E8" w14:textId="156BA733" w:rsidR="00FD2768" w:rsidRPr="00D97A9D" w:rsidRDefault="00FD2768" w:rsidP="007114A2">
      <w:pPr>
        <w:pStyle w:val="Caption"/>
        <w:keepNext/>
        <w:rPr>
          <w:lang w:val="en-US"/>
        </w:rPr>
      </w:pPr>
      <w:r w:rsidRPr="00D97A9D">
        <w:rPr>
          <w:lang w:val="en-US"/>
        </w:rPr>
        <w:t>Tabl</w:t>
      </w:r>
      <w:r w:rsidR="008F4906" w:rsidRPr="00D97A9D">
        <w:rPr>
          <w:lang w:val="en-US"/>
        </w:rPr>
        <w:t>a</w:t>
      </w:r>
      <w:r w:rsidRPr="00D97A9D">
        <w:rPr>
          <w:lang w:val="en-US"/>
        </w:rPr>
        <w:t xml:space="preserve"> </w:t>
      </w:r>
      <w:r w:rsidR="00D146B5" w:rsidRPr="00D97A9D">
        <w:rPr>
          <w:lang w:val="en-US"/>
        </w:rPr>
        <w:t>3</w:t>
      </w:r>
      <w:r w:rsidRPr="00D97A9D">
        <w:rPr>
          <w:lang w:val="en-US"/>
        </w:rPr>
        <w:t xml:space="preserve">: </w:t>
      </w:r>
      <w:r w:rsidR="00D97A9D" w:rsidRPr="00D97A9D">
        <w:rPr>
          <w:lang w:val="en-US"/>
        </w:rPr>
        <w:t>Determinants of IPCA-linked corporate bond spreads in Brazil</w:t>
      </w:r>
    </w:p>
    <w:tbl>
      <w:tblPr>
        <w:tblStyle w:val="TableGrid"/>
        <w:tblW w:w="0" w:type="auto"/>
        <w:tblLook w:val="04A0" w:firstRow="1" w:lastRow="0" w:firstColumn="1" w:lastColumn="0" w:noHBand="0" w:noVBand="1"/>
      </w:tblPr>
      <w:tblGrid>
        <w:gridCol w:w="2872"/>
        <w:gridCol w:w="1922"/>
        <w:gridCol w:w="1719"/>
        <w:gridCol w:w="2274"/>
      </w:tblGrid>
      <w:tr w:rsidR="0088398A" w14:paraId="767734CC" w14:textId="77777777" w:rsidTr="00FD2768">
        <w:tc>
          <w:tcPr>
            <w:tcW w:w="0" w:type="auto"/>
            <w:hideMark/>
          </w:tcPr>
          <w:p w14:paraId="7E9E4D68" w14:textId="5876D732" w:rsidR="0088398A" w:rsidRDefault="0088398A" w:rsidP="0088398A">
            <w:pPr>
              <w:jc w:val="center"/>
              <w:rPr>
                <w:b/>
                <w:bCs/>
              </w:rPr>
            </w:pPr>
            <w:r w:rsidRPr="00B72232">
              <w:t>Variable</w:t>
            </w:r>
          </w:p>
        </w:tc>
        <w:tc>
          <w:tcPr>
            <w:tcW w:w="0" w:type="auto"/>
            <w:hideMark/>
          </w:tcPr>
          <w:p w14:paraId="1A0C78F5" w14:textId="11C43C74" w:rsidR="0088398A" w:rsidRDefault="0088398A" w:rsidP="0088398A">
            <w:pPr>
              <w:jc w:val="center"/>
              <w:rPr>
                <w:b/>
                <w:bCs/>
              </w:rPr>
            </w:pPr>
            <w:r w:rsidRPr="00B72232">
              <w:t>FE static (baseline)</w:t>
            </w:r>
          </w:p>
        </w:tc>
        <w:tc>
          <w:tcPr>
            <w:tcW w:w="0" w:type="auto"/>
            <w:hideMark/>
          </w:tcPr>
          <w:p w14:paraId="6B891150" w14:textId="02A386AE" w:rsidR="0088398A" w:rsidRDefault="0088398A" w:rsidP="0088398A">
            <w:pPr>
              <w:jc w:val="center"/>
              <w:rPr>
                <w:b/>
                <w:bCs/>
              </w:rPr>
            </w:pPr>
            <w:r w:rsidRPr="00B72232">
              <w:t>PCSE (pairwise)</w:t>
            </w:r>
          </w:p>
        </w:tc>
        <w:tc>
          <w:tcPr>
            <w:tcW w:w="0" w:type="auto"/>
            <w:hideMark/>
          </w:tcPr>
          <w:p w14:paraId="046A20C1" w14:textId="7EC8630F" w:rsidR="0088398A" w:rsidRDefault="0088398A" w:rsidP="0088398A">
            <w:pPr>
              <w:jc w:val="center"/>
              <w:rPr>
                <w:b/>
                <w:bCs/>
              </w:rPr>
            </w:pPr>
            <w:r w:rsidRPr="00B72232">
              <w:t>FE (Driscoll-Kraay SE)</w:t>
            </w:r>
          </w:p>
        </w:tc>
      </w:tr>
      <w:tr w:rsidR="0088398A" w14:paraId="7929B5BF" w14:textId="77777777" w:rsidTr="00FD2768">
        <w:tc>
          <w:tcPr>
            <w:tcW w:w="0" w:type="auto"/>
            <w:hideMark/>
          </w:tcPr>
          <w:p w14:paraId="56316826" w14:textId="0B14E640" w:rsidR="0088398A" w:rsidRPr="00992306" w:rsidRDefault="0088398A" w:rsidP="0088398A">
            <w:pPr>
              <w:rPr>
                <w:lang w:val="es-AR"/>
              </w:rPr>
            </w:pPr>
            <w:r w:rsidRPr="00B72232">
              <w:t>VIX</w:t>
            </w:r>
          </w:p>
        </w:tc>
        <w:tc>
          <w:tcPr>
            <w:tcW w:w="0" w:type="auto"/>
            <w:hideMark/>
          </w:tcPr>
          <w:p w14:paraId="40756554" w14:textId="7D9C3BEB" w:rsidR="0088398A" w:rsidRDefault="0088398A" w:rsidP="0088398A">
            <w:pPr>
              <w:jc w:val="center"/>
            </w:pPr>
            <w:r w:rsidRPr="00B72232">
              <w:t>-0.026***</w:t>
            </w:r>
          </w:p>
        </w:tc>
        <w:tc>
          <w:tcPr>
            <w:tcW w:w="0" w:type="auto"/>
            <w:hideMark/>
          </w:tcPr>
          <w:p w14:paraId="72BD1417" w14:textId="1F9A0C1F" w:rsidR="0088398A" w:rsidRDefault="0088398A" w:rsidP="0088398A">
            <w:pPr>
              <w:jc w:val="center"/>
            </w:pPr>
            <w:r w:rsidRPr="00B72232">
              <w:t>-0.0248*</w:t>
            </w:r>
          </w:p>
        </w:tc>
        <w:tc>
          <w:tcPr>
            <w:tcW w:w="0" w:type="auto"/>
            <w:hideMark/>
          </w:tcPr>
          <w:p w14:paraId="5AB8A89F" w14:textId="035DFC70" w:rsidR="0088398A" w:rsidRDefault="0088398A" w:rsidP="0088398A">
            <w:pPr>
              <w:jc w:val="center"/>
            </w:pPr>
            <w:r w:rsidRPr="00B72232">
              <w:t>-0.0262*</w:t>
            </w:r>
          </w:p>
        </w:tc>
      </w:tr>
      <w:tr w:rsidR="0088398A" w14:paraId="43CEB263" w14:textId="77777777" w:rsidTr="00FD2768">
        <w:tc>
          <w:tcPr>
            <w:tcW w:w="0" w:type="auto"/>
            <w:hideMark/>
          </w:tcPr>
          <w:p w14:paraId="502E665C" w14:textId="61A8FDB0" w:rsidR="0088398A" w:rsidRDefault="0088398A" w:rsidP="0088398A">
            <w:r w:rsidRPr="00B72232">
              <w:t>Fed 3M Forward</w:t>
            </w:r>
          </w:p>
        </w:tc>
        <w:tc>
          <w:tcPr>
            <w:tcW w:w="0" w:type="auto"/>
            <w:hideMark/>
          </w:tcPr>
          <w:p w14:paraId="1F19A892" w14:textId="7E2FBFC6" w:rsidR="0088398A" w:rsidRDefault="0088398A" w:rsidP="0088398A">
            <w:pPr>
              <w:jc w:val="center"/>
            </w:pPr>
            <w:r w:rsidRPr="00B72232">
              <w:t>0.1297***</w:t>
            </w:r>
          </w:p>
        </w:tc>
        <w:tc>
          <w:tcPr>
            <w:tcW w:w="0" w:type="auto"/>
            <w:hideMark/>
          </w:tcPr>
          <w:p w14:paraId="3664B804" w14:textId="20AEFEBA" w:rsidR="0088398A" w:rsidRDefault="0088398A" w:rsidP="0088398A">
            <w:pPr>
              <w:jc w:val="center"/>
            </w:pPr>
            <w:r w:rsidRPr="00B72232">
              <w:t>0.1369***</w:t>
            </w:r>
          </w:p>
        </w:tc>
        <w:tc>
          <w:tcPr>
            <w:tcW w:w="0" w:type="auto"/>
            <w:hideMark/>
          </w:tcPr>
          <w:p w14:paraId="50F43629" w14:textId="5C1C0C6F" w:rsidR="0088398A" w:rsidRDefault="0088398A" w:rsidP="0088398A">
            <w:pPr>
              <w:jc w:val="center"/>
            </w:pPr>
            <w:r w:rsidRPr="00B72232">
              <w:t>0.1297</w:t>
            </w:r>
          </w:p>
        </w:tc>
      </w:tr>
      <w:tr w:rsidR="0088398A" w14:paraId="3A837ACB" w14:textId="77777777" w:rsidTr="00FD2768">
        <w:tc>
          <w:tcPr>
            <w:tcW w:w="0" w:type="auto"/>
            <w:hideMark/>
          </w:tcPr>
          <w:p w14:paraId="6B9E6497" w14:textId="5303B30C" w:rsidR="0088398A" w:rsidRPr="00992306" w:rsidRDefault="0088398A" w:rsidP="0088398A">
            <w:pPr>
              <w:rPr>
                <w:lang w:val="es-AR"/>
              </w:rPr>
            </w:pPr>
            <w:r w:rsidRPr="00B72232">
              <w:t>USD/BRL</w:t>
            </w:r>
          </w:p>
        </w:tc>
        <w:tc>
          <w:tcPr>
            <w:tcW w:w="0" w:type="auto"/>
            <w:hideMark/>
          </w:tcPr>
          <w:p w14:paraId="3685F2E3" w14:textId="1133598C" w:rsidR="0088398A" w:rsidRDefault="0088398A" w:rsidP="0088398A">
            <w:pPr>
              <w:jc w:val="center"/>
            </w:pPr>
            <w:r w:rsidRPr="00B72232">
              <w:t>0.7029***</w:t>
            </w:r>
          </w:p>
        </w:tc>
        <w:tc>
          <w:tcPr>
            <w:tcW w:w="0" w:type="auto"/>
            <w:hideMark/>
          </w:tcPr>
          <w:p w14:paraId="4BC3B605" w14:textId="4A886560" w:rsidR="0088398A" w:rsidRDefault="0088398A" w:rsidP="0088398A">
            <w:pPr>
              <w:jc w:val="center"/>
            </w:pPr>
            <w:r w:rsidRPr="00B72232">
              <w:t>0.5067***</w:t>
            </w:r>
          </w:p>
        </w:tc>
        <w:tc>
          <w:tcPr>
            <w:tcW w:w="0" w:type="auto"/>
            <w:hideMark/>
          </w:tcPr>
          <w:p w14:paraId="2E2AC991" w14:textId="117AD8B5" w:rsidR="0088398A" w:rsidRDefault="0088398A" w:rsidP="0088398A">
            <w:pPr>
              <w:jc w:val="center"/>
            </w:pPr>
            <w:r w:rsidRPr="00B72232">
              <w:t>0.7029**</w:t>
            </w:r>
          </w:p>
        </w:tc>
      </w:tr>
      <w:tr w:rsidR="0088398A" w14:paraId="15E49C50" w14:textId="77777777" w:rsidTr="00FD2768">
        <w:tc>
          <w:tcPr>
            <w:tcW w:w="0" w:type="auto"/>
            <w:hideMark/>
          </w:tcPr>
          <w:p w14:paraId="610AA3A6" w14:textId="7668D57B" w:rsidR="0088398A" w:rsidRDefault="0088398A" w:rsidP="0088398A">
            <w:r w:rsidRPr="00B72232">
              <w:t>GDP growth (YoY)</w:t>
            </w:r>
          </w:p>
        </w:tc>
        <w:tc>
          <w:tcPr>
            <w:tcW w:w="0" w:type="auto"/>
            <w:hideMark/>
          </w:tcPr>
          <w:p w14:paraId="7034F257" w14:textId="65BAE906" w:rsidR="0088398A" w:rsidRDefault="0088398A" w:rsidP="0088398A">
            <w:pPr>
              <w:jc w:val="center"/>
            </w:pPr>
            <w:r w:rsidRPr="00B72232">
              <w:t>-0.0745***</w:t>
            </w:r>
          </w:p>
        </w:tc>
        <w:tc>
          <w:tcPr>
            <w:tcW w:w="0" w:type="auto"/>
            <w:hideMark/>
          </w:tcPr>
          <w:p w14:paraId="3A41E80B" w14:textId="31BEFB0C" w:rsidR="0088398A" w:rsidRDefault="0088398A" w:rsidP="0088398A">
            <w:pPr>
              <w:jc w:val="center"/>
            </w:pPr>
            <w:r w:rsidRPr="00B72232">
              <w:t>-0.0614*</w:t>
            </w:r>
          </w:p>
        </w:tc>
        <w:tc>
          <w:tcPr>
            <w:tcW w:w="0" w:type="auto"/>
            <w:hideMark/>
          </w:tcPr>
          <w:p w14:paraId="0D6FD254" w14:textId="6AD7AA8A" w:rsidR="0088398A" w:rsidRDefault="0088398A" w:rsidP="0088398A">
            <w:pPr>
              <w:jc w:val="center"/>
            </w:pPr>
            <w:r w:rsidRPr="00B72232">
              <w:t>-0.0745**</w:t>
            </w:r>
          </w:p>
        </w:tc>
      </w:tr>
      <w:tr w:rsidR="0088398A" w14:paraId="77A561A3" w14:textId="77777777" w:rsidTr="00FD2768">
        <w:tc>
          <w:tcPr>
            <w:tcW w:w="0" w:type="auto"/>
            <w:hideMark/>
          </w:tcPr>
          <w:p w14:paraId="7E4D5A96" w14:textId="65E6DD19" w:rsidR="0088398A" w:rsidRDefault="0088398A" w:rsidP="0088398A">
            <w:r w:rsidRPr="00B72232">
              <w:t>Public debt / GDP</w:t>
            </w:r>
          </w:p>
        </w:tc>
        <w:tc>
          <w:tcPr>
            <w:tcW w:w="0" w:type="auto"/>
            <w:hideMark/>
          </w:tcPr>
          <w:p w14:paraId="78992F2A" w14:textId="3DA6E73C" w:rsidR="0088398A" w:rsidRDefault="0088398A" w:rsidP="0088398A">
            <w:pPr>
              <w:jc w:val="center"/>
            </w:pPr>
            <w:r w:rsidRPr="00B72232">
              <w:t>0.1048*</w:t>
            </w:r>
          </w:p>
        </w:tc>
        <w:tc>
          <w:tcPr>
            <w:tcW w:w="0" w:type="auto"/>
            <w:hideMark/>
          </w:tcPr>
          <w:p w14:paraId="27B35612" w14:textId="27CE8D52" w:rsidR="0088398A" w:rsidRDefault="0088398A" w:rsidP="0088398A">
            <w:pPr>
              <w:jc w:val="center"/>
            </w:pPr>
            <w:r w:rsidRPr="00B72232">
              <w:t>0.1077***</w:t>
            </w:r>
          </w:p>
        </w:tc>
        <w:tc>
          <w:tcPr>
            <w:tcW w:w="0" w:type="auto"/>
            <w:hideMark/>
          </w:tcPr>
          <w:p w14:paraId="25F9B51A" w14:textId="2084E0C0" w:rsidR="0088398A" w:rsidRDefault="0088398A" w:rsidP="0088398A">
            <w:pPr>
              <w:jc w:val="center"/>
            </w:pPr>
            <w:r w:rsidRPr="00B72232">
              <w:t>0.1048**</w:t>
            </w:r>
          </w:p>
        </w:tc>
      </w:tr>
      <w:tr w:rsidR="0088398A" w14:paraId="3E52C00E" w14:textId="77777777" w:rsidTr="00FD2768">
        <w:tc>
          <w:tcPr>
            <w:tcW w:w="0" w:type="auto"/>
            <w:hideMark/>
          </w:tcPr>
          <w:p w14:paraId="1E9F9717" w14:textId="63998EB0" w:rsidR="0088398A" w:rsidRDefault="0088398A" w:rsidP="0088398A">
            <w:r w:rsidRPr="00B72232">
              <w:t>Cash flow / assets</w:t>
            </w:r>
          </w:p>
        </w:tc>
        <w:tc>
          <w:tcPr>
            <w:tcW w:w="0" w:type="auto"/>
            <w:hideMark/>
          </w:tcPr>
          <w:p w14:paraId="6B73FDFB" w14:textId="50F8B7ED" w:rsidR="0088398A" w:rsidRDefault="0088398A" w:rsidP="0088398A">
            <w:pPr>
              <w:jc w:val="center"/>
            </w:pPr>
            <w:r w:rsidRPr="00B72232">
              <w:t>0.0006</w:t>
            </w:r>
          </w:p>
        </w:tc>
        <w:tc>
          <w:tcPr>
            <w:tcW w:w="0" w:type="auto"/>
            <w:hideMark/>
          </w:tcPr>
          <w:p w14:paraId="5BE381F7" w14:textId="6623F326" w:rsidR="0088398A" w:rsidRDefault="0088398A" w:rsidP="0088398A">
            <w:pPr>
              <w:jc w:val="center"/>
            </w:pPr>
            <w:r w:rsidRPr="00B72232">
              <w:t>0.0091***</w:t>
            </w:r>
          </w:p>
        </w:tc>
        <w:tc>
          <w:tcPr>
            <w:tcW w:w="0" w:type="auto"/>
            <w:hideMark/>
          </w:tcPr>
          <w:p w14:paraId="41FDBD44" w14:textId="3E9A2DC8" w:rsidR="0088398A" w:rsidRDefault="0088398A" w:rsidP="0088398A">
            <w:pPr>
              <w:jc w:val="center"/>
            </w:pPr>
            <w:r w:rsidRPr="00B72232">
              <w:t>0.0006</w:t>
            </w:r>
          </w:p>
        </w:tc>
      </w:tr>
      <w:tr w:rsidR="0088398A" w14:paraId="59F8C5EF" w14:textId="77777777" w:rsidTr="00FD2768">
        <w:tc>
          <w:tcPr>
            <w:tcW w:w="0" w:type="auto"/>
            <w:hideMark/>
          </w:tcPr>
          <w:p w14:paraId="079EB793" w14:textId="6190BF46" w:rsidR="0088398A" w:rsidRPr="00992306" w:rsidRDefault="0088398A" w:rsidP="0088398A">
            <w:pPr>
              <w:rPr>
                <w:lang w:val="es-AR"/>
              </w:rPr>
            </w:pPr>
            <w:r w:rsidRPr="00B72232">
              <w:t>Amount issued / assets</w:t>
            </w:r>
          </w:p>
        </w:tc>
        <w:tc>
          <w:tcPr>
            <w:tcW w:w="0" w:type="auto"/>
            <w:hideMark/>
          </w:tcPr>
          <w:p w14:paraId="6EF537C0" w14:textId="6435A2F1" w:rsidR="0088398A" w:rsidRDefault="0088398A" w:rsidP="0088398A">
            <w:pPr>
              <w:jc w:val="center"/>
            </w:pPr>
            <w:r w:rsidRPr="00B72232">
              <w:t>-0.1017**</w:t>
            </w:r>
          </w:p>
        </w:tc>
        <w:tc>
          <w:tcPr>
            <w:tcW w:w="0" w:type="auto"/>
            <w:hideMark/>
          </w:tcPr>
          <w:p w14:paraId="5068A72D" w14:textId="668D6C41" w:rsidR="0088398A" w:rsidRDefault="0088398A" w:rsidP="0088398A">
            <w:pPr>
              <w:jc w:val="center"/>
            </w:pPr>
            <w:r w:rsidRPr="00B72232">
              <w:t>0.0067***</w:t>
            </w:r>
          </w:p>
        </w:tc>
        <w:tc>
          <w:tcPr>
            <w:tcW w:w="0" w:type="auto"/>
            <w:hideMark/>
          </w:tcPr>
          <w:p w14:paraId="59E24EE0" w14:textId="52C729AB" w:rsidR="0088398A" w:rsidRDefault="0088398A" w:rsidP="0088398A">
            <w:pPr>
              <w:jc w:val="center"/>
            </w:pPr>
            <w:r w:rsidRPr="00B72232">
              <w:t>-0.1017***</w:t>
            </w:r>
          </w:p>
        </w:tc>
      </w:tr>
      <w:tr w:rsidR="0088398A" w14:paraId="721A8FE5" w14:textId="77777777" w:rsidTr="00FD2768">
        <w:tc>
          <w:tcPr>
            <w:tcW w:w="0" w:type="auto"/>
            <w:hideMark/>
          </w:tcPr>
          <w:p w14:paraId="37CE4481" w14:textId="4DBD09EB" w:rsidR="0088398A" w:rsidRDefault="0088398A" w:rsidP="0088398A">
            <w:r w:rsidRPr="00B72232">
              <w:t>Debt / EBITDA</w:t>
            </w:r>
          </w:p>
        </w:tc>
        <w:tc>
          <w:tcPr>
            <w:tcW w:w="0" w:type="auto"/>
            <w:hideMark/>
          </w:tcPr>
          <w:p w14:paraId="7F26EB2A" w14:textId="6CB237D7" w:rsidR="0088398A" w:rsidRDefault="0088398A" w:rsidP="0088398A">
            <w:pPr>
              <w:jc w:val="center"/>
            </w:pPr>
            <w:r w:rsidRPr="00B72232">
              <w:t>0.0007</w:t>
            </w:r>
          </w:p>
        </w:tc>
        <w:tc>
          <w:tcPr>
            <w:tcW w:w="0" w:type="auto"/>
            <w:hideMark/>
          </w:tcPr>
          <w:p w14:paraId="1318B674" w14:textId="22DD00C7" w:rsidR="0088398A" w:rsidRDefault="0088398A" w:rsidP="0088398A">
            <w:pPr>
              <w:jc w:val="center"/>
            </w:pPr>
            <w:r w:rsidRPr="00B72232">
              <w:t>0.0001</w:t>
            </w:r>
          </w:p>
        </w:tc>
        <w:tc>
          <w:tcPr>
            <w:tcW w:w="0" w:type="auto"/>
            <w:hideMark/>
          </w:tcPr>
          <w:p w14:paraId="361C2DEC" w14:textId="551E62DD" w:rsidR="0088398A" w:rsidRDefault="0088398A" w:rsidP="0088398A">
            <w:pPr>
              <w:jc w:val="center"/>
            </w:pPr>
            <w:r w:rsidRPr="00B72232">
              <w:t>0.0007</w:t>
            </w:r>
          </w:p>
        </w:tc>
      </w:tr>
      <w:tr w:rsidR="0088398A" w14:paraId="12C8DF9B" w14:textId="77777777" w:rsidTr="00FD2768">
        <w:tc>
          <w:tcPr>
            <w:tcW w:w="0" w:type="auto"/>
            <w:hideMark/>
          </w:tcPr>
          <w:p w14:paraId="000F4A3E" w14:textId="2E764B0C" w:rsidR="0088398A" w:rsidRDefault="0088398A" w:rsidP="0088398A">
            <w:r w:rsidRPr="00B72232">
              <w:t>Residual maturity</w:t>
            </w:r>
          </w:p>
        </w:tc>
        <w:tc>
          <w:tcPr>
            <w:tcW w:w="0" w:type="auto"/>
            <w:hideMark/>
          </w:tcPr>
          <w:p w14:paraId="659FDE59" w14:textId="61E30058" w:rsidR="0088398A" w:rsidRDefault="0088398A" w:rsidP="0088398A">
            <w:pPr>
              <w:jc w:val="center"/>
            </w:pPr>
            <w:r w:rsidRPr="00B72232">
              <w:t>0.2023</w:t>
            </w:r>
          </w:p>
        </w:tc>
        <w:tc>
          <w:tcPr>
            <w:tcW w:w="0" w:type="auto"/>
            <w:hideMark/>
          </w:tcPr>
          <w:p w14:paraId="4121F485" w14:textId="44E42858" w:rsidR="0088398A" w:rsidRDefault="0088398A" w:rsidP="0088398A">
            <w:pPr>
              <w:jc w:val="center"/>
            </w:pPr>
            <w:r w:rsidRPr="00B72232">
              <w:t>0.0471***</w:t>
            </w:r>
          </w:p>
        </w:tc>
        <w:tc>
          <w:tcPr>
            <w:tcW w:w="0" w:type="auto"/>
            <w:hideMark/>
          </w:tcPr>
          <w:p w14:paraId="4EAE60EA" w14:textId="304C7343" w:rsidR="0088398A" w:rsidRDefault="0088398A" w:rsidP="0088398A">
            <w:pPr>
              <w:jc w:val="center"/>
            </w:pPr>
            <w:r w:rsidRPr="00B72232">
              <w:t>0.2023</w:t>
            </w:r>
          </w:p>
        </w:tc>
      </w:tr>
      <w:tr w:rsidR="0088398A" w14:paraId="055B80FD" w14:textId="77777777" w:rsidTr="00FD2768">
        <w:tc>
          <w:tcPr>
            <w:tcW w:w="0" w:type="auto"/>
            <w:hideMark/>
          </w:tcPr>
          <w:p w14:paraId="3F36F4AE" w14:textId="00DC6464" w:rsidR="0088398A" w:rsidRDefault="0088398A" w:rsidP="0088398A">
            <w:r w:rsidRPr="00B72232">
              <w:t>Synthetic sovereign risk (BRL)</w:t>
            </w:r>
          </w:p>
        </w:tc>
        <w:tc>
          <w:tcPr>
            <w:tcW w:w="0" w:type="auto"/>
            <w:hideMark/>
          </w:tcPr>
          <w:p w14:paraId="3A5599F8" w14:textId="0BEDEBB9" w:rsidR="0088398A" w:rsidRDefault="0088398A" w:rsidP="0088398A">
            <w:pPr>
              <w:jc w:val="center"/>
            </w:pPr>
            <w:r w:rsidRPr="00B72232">
              <w:t>-0.1233**</w:t>
            </w:r>
          </w:p>
        </w:tc>
        <w:tc>
          <w:tcPr>
            <w:tcW w:w="0" w:type="auto"/>
            <w:hideMark/>
          </w:tcPr>
          <w:p w14:paraId="01008202" w14:textId="5445C1FF" w:rsidR="0088398A" w:rsidRDefault="0088398A" w:rsidP="0088398A">
            <w:pPr>
              <w:jc w:val="center"/>
            </w:pPr>
            <w:r w:rsidRPr="00B72232">
              <w:t>-0.0315**</w:t>
            </w:r>
          </w:p>
        </w:tc>
        <w:tc>
          <w:tcPr>
            <w:tcW w:w="0" w:type="auto"/>
            <w:hideMark/>
          </w:tcPr>
          <w:p w14:paraId="0B884213" w14:textId="3C4A3C1A" w:rsidR="0088398A" w:rsidRDefault="0088398A" w:rsidP="0088398A">
            <w:pPr>
              <w:jc w:val="center"/>
            </w:pPr>
            <w:r w:rsidRPr="00B72232">
              <w:t>-0.1233***</w:t>
            </w:r>
          </w:p>
        </w:tc>
      </w:tr>
      <w:tr w:rsidR="0088398A" w14:paraId="1D617AE6" w14:textId="77777777" w:rsidTr="00FD2768">
        <w:tc>
          <w:tcPr>
            <w:tcW w:w="0" w:type="auto"/>
            <w:hideMark/>
          </w:tcPr>
          <w:p w14:paraId="22701DBA" w14:textId="54F6E2DF" w:rsidR="0088398A" w:rsidRDefault="0088398A" w:rsidP="0088398A">
            <w:r w:rsidRPr="00B72232">
              <w:t>Within R-squared</w:t>
            </w:r>
          </w:p>
        </w:tc>
        <w:tc>
          <w:tcPr>
            <w:tcW w:w="0" w:type="auto"/>
            <w:hideMark/>
          </w:tcPr>
          <w:p w14:paraId="4231200E" w14:textId="73FBE963" w:rsidR="0088398A" w:rsidRDefault="0088398A" w:rsidP="0088398A">
            <w:pPr>
              <w:jc w:val="center"/>
            </w:pPr>
            <w:r w:rsidRPr="00B72232">
              <w:t>0.1205</w:t>
            </w:r>
          </w:p>
        </w:tc>
        <w:tc>
          <w:tcPr>
            <w:tcW w:w="0" w:type="auto"/>
            <w:hideMark/>
          </w:tcPr>
          <w:p w14:paraId="71A7931C" w14:textId="77C31DF3" w:rsidR="0088398A" w:rsidRDefault="0088398A" w:rsidP="0088398A">
            <w:pPr>
              <w:jc w:val="center"/>
            </w:pPr>
            <w:r w:rsidRPr="00B72232">
              <w:t>0.2655</w:t>
            </w:r>
          </w:p>
        </w:tc>
        <w:tc>
          <w:tcPr>
            <w:tcW w:w="0" w:type="auto"/>
            <w:hideMark/>
          </w:tcPr>
          <w:p w14:paraId="44C38F69" w14:textId="08E82D54" w:rsidR="0088398A" w:rsidRDefault="0088398A" w:rsidP="0088398A">
            <w:pPr>
              <w:jc w:val="center"/>
            </w:pPr>
            <w:r w:rsidRPr="00B72232">
              <w:t>0.1205</w:t>
            </w:r>
          </w:p>
        </w:tc>
      </w:tr>
      <w:tr w:rsidR="0088398A" w14:paraId="1D6FB3E5" w14:textId="77777777" w:rsidTr="00FD2768">
        <w:tc>
          <w:tcPr>
            <w:tcW w:w="0" w:type="auto"/>
            <w:hideMark/>
          </w:tcPr>
          <w:p w14:paraId="3FB49588" w14:textId="2FCDCFA9" w:rsidR="0088398A" w:rsidRPr="00FD2768" w:rsidRDefault="0088398A" w:rsidP="0088398A">
            <w:r w:rsidRPr="00B72232">
              <w:t>rho</w:t>
            </w:r>
          </w:p>
        </w:tc>
        <w:tc>
          <w:tcPr>
            <w:tcW w:w="0" w:type="auto"/>
            <w:hideMark/>
          </w:tcPr>
          <w:p w14:paraId="0DD9634B" w14:textId="0CCD9DD4" w:rsidR="0088398A" w:rsidRDefault="0088398A" w:rsidP="0088398A">
            <w:pPr>
              <w:jc w:val="center"/>
            </w:pPr>
            <w:r w:rsidRPr="00B72232">
              <w:t>0.8188</w:t>
            </w:r>
          </w:p>
        </w:tc>
        <w:tc>
          <w:tcPr>
            <w:tcW w:w="0" w:type="auto"/>
            <w:hideMark/>
          </w:tcPr>
          <w:p w14:paraId="67C2E266" w14:textId="10EF3645" w:rsidR="0088398A" w:rsidRDefault="0088398A" w:rsidP="0088398A">
            <w:pPr>
              <w:jc w:val="center"/>
            </w:pPr>
            <w:r w:rsidRPr="00B72232">
              <w:t>-</w:t>
            </w:r>
          </w:p>
        </w:tc>
        <w:tc>
          <w:tcPr>
            <w:tcW w:w="0" w:type="auto"/>
            <w:hideMark/>
          </w:tcPr>
          <w:p w14:paraId="3A745F10" w14:textId="0DA619F1" w:rsidR="0088398A" w:rsidRDefault="0088398A" w:rsidP="0088398A">
            <w:pPr>
              <w:jc w:val="center"/>
            </w:pPr>
            <w:r w:rsidRPr="00B72232">
              <w:t>-</w:t>
            </w:r>
          </w:p>
        </w:tc>
      </w:tr>
    </w:tbl>
    <w:p w14:paraId="6D1A3B31" w14:textId="77B05DA1" w:rsidR="00D65602" w:rsidRPr="00A36E81" w:rsidRDefault="00D65602" w:rsidP="00D65602">
      <w:pPr>
        <w:jc w:val="both"/>
        <w:rPr>
          <w:i/>
          <w:iCs/>
          <w:color w:val="1F497D" w:themeColor="text2"/>
          <w:sz w:val="18"/>
          <w:szCs w:val="18"/>
          <w:lang w:val="en-US"/>
        </w:rPr>
      </w:pPr>
      <w:r w:rsidRPr="00D65602">
        <w:rPr>
          <w:i/>
          <w:iCs/>
          <w:color w:val="1F497D" w:themeColor="text2"/>
          <w:sz w:val="18"/>
          <w:szCs w:val="18"/>
          <w:lang w:val="en-US"/>
        </w:rPr>
        <w:t>Notes: Dependent variable is the real spread of each IPCA-linked corporate bond over a maturity-matched real benchmark. The baseline specification includes bond fixed effects and issuer-clustered standard errors. *, **, and *** denote significance at the 10, 5, and 1 percent levels, respectively</w:t>
      </w:r>
      <w:r w:rsidRPr="00A36E81">
        <w:rPr>
          <w:i/>
          <w:iCs/>
          <w:color w:val="1F497D" w:themeColor="text2"/>
          <w:sz w:val="18"/>
          <w:szCs w:val="18"/>
          <w:lang w:val="en-US"/>
        </w:rPr>
        <w:t>.</w:t>
      </w:r>
    </w:p>
    <w:p w14:paraId="17DC960A" w14:textId="77777777" w:rsidR="00FD2768" w:rsidRPr="00D65602" w:rsidRDefault="00FD2768" w:rsidP="00FD2768">
      <w:pPr>
        <w:jc w:val="both"/>
        <w:rPr>
          <w:lang w:val="en-US"/>
        </w:rPr>
      </w:pPr>
    </w:p>
    <w:p w14:paraId="0B106D8B" w14:textId="2D65F57F" w:rsidR="00FA6F3E" w:rsidRDefault="00FA6F3E" w:rsidP="00FA6F3E">
      <w:pPr>
        <w:ind w:firstLine="709"/>
        <w:jc w:val="both"/>
        <w:rPr>
          <w:bCs/>
          <w:lang w:val="en-US" w:eastAsia="es-ES"/>
        </w:rPr>
      </w:pPr>
      <w:r w:rsidRPr="00FA6F3E">
        <w:rPr>
          <w:bCs/>
          <w:lang w:val="en-US" w:eastAsia="es-ES"/>
        </w:rPr>
        <w:t xml:space="preserve">First, global financial conditions matter. </w:t>
      </w:r>
      <w:r w:rsidRPr="00C24802">
        <w:rPr>
          <w:bCs/>
          <w:lang w:val="en-US" w:eastAsia="es-ES"/>
        </w:rPr>
        <w:t xml:space="preserve">The coefficient on the three-month US monetary forward measure is positive and statistically significant in the baseline and in the </w:t>
      </w:r>
      <w:r w:rsidRPr="00C24802">
        <w:rPr>
          <w:bCs/>
          <w:lang w:val="en-US" w:eastAsia="es-ES"/>
        </w:rPr>
        <w:lastRenderedPageBreak/>
        <w:t>PCSE model. This result is consistent with the hypothesis that expected US monetary tightening increases the cost of funding in emerging markets and is transmitted to Brazil's local-currency corporate bond market. Even though the bonds are denominated in reais and indexed to inflation, their pricing is not insulated from shifts in the international financial cycle. Changes in benchmark rates, global portfolio allocation, and risk appetite affect the compensation demanded by investors in domestic fixed income.</w:t>
      </w:r>
    </w:p>
    <w:p w14:paraId="63B469AD" w14:textId="77777777" w:rsidR="00C24802" w:rsidRPr="00C24802" w:rsidRDefault="00C24802" w:rsidP="00FA6F3E">
      <w:pPr>
        <w:ind w:firstLine="709"/>
        <w:jc w:val="both"/>
        <w:rPr>
          <w:bCs/>
          <w:lang w:val="en-US" w:eastAsia="es-ES"/>
        </w:rPr>
      </w:pPr>
    </w:p>
    <w:p w14:paraId="104718CF" w14:textId="77777777" w:rsidR="00FA6F3E" w:rsidRDefault="00FA6F3E" w:rsidP="00FA6F3E">
      <w:pPr>
        <w:ind w:firstLine="709"/>
        <w:jc w:val="both"/>
        <w:rPr>
          <w:bCs/>
          <w:lang w:val="en-US" w:eastAsia="es-ES"/>
        </w:rPr>
      </w:pPr>
      <w:r w:rsidRPr="00C24802">
        <w:rPr>
          <w:bCs/>
          <w:lang w:val="en-US" w:eastAsia="es-ES"/>
        </w:rPr>
        <w:t>The coefficient on the VIX is negative, which is not the standard prediction in the literature. In the baseline fixed-effects model the coefficient is statistically significant, and it remains negative under both alternative inference procedures, although significance becomes weaker. This result should not be read as evidence that global stress lowers financing costs in a general sense. A more plausible interpretation is relative: episodes of global tension may induce reallocation within the Brazilian fixed-income universe toward higher-quality corporate bonds, especially in a market dominated by domestic institutional investors with long-horizon liabilities. It is also possible that the VIX effect overlaps with other macro-financial variables in the specification and therefore captures residual portfolio shifts rather than a pure risk-aversion channel. In any case, the sign indicates that the translation of global risk aversion into local corporate spreads is more complex than a simple one-directional risk-off story.</w:t>
      </w:r>
    </w:p>
    <w:p w14:paraId="0DE30D0C" w14:textId="77777777" w:rsidR="00C24802" w:rsidRPr="00C24802" w:rsidRDefault="00C24802" w:rsidP="00FA6F3E">
      <w:pPr>
        <w:ind w:firstLine="709"/>
        <w:jc w:val="both"/>
        <w:rPr>
          <w:bCs/>
          <w:lang w:val="en-US" w:eastAsia="es-ES"/>
        </w:rPr>
      </w:pPr>
    </w:p>
    <w:p w14:paraId="128F703A" w14:textId="77777777" w:rsidR="00FA6F3E" w:rsidRDefault="00FA6F3E" w:rsidP="00FA6F3E">
      <w:pPr>
        <w:ind w:firstLine="709"/>
        <w:jc w:val="both"/>
        <w:rPr>
          <w:bCs/>
          <w:lang w:val="en-US" w:eastAsia="es-ES"/>
        </w:rPr>
      </w:pPr>
      <w:r w:rsidRPr="00C24802">
        <w:rPr>
          <w:bCs/>
          <w:lang w:val="en-US" w:eastAsia="es-ES"/>
        </w:rPr>
        <w:t>Second, domestic macroeconomic variables are economically important and largely robust across specifications. The exchange-rate coefficient is positive and significant in all three columns. BRL depreciation is therefore associated with wider corporate spreads, even for inflation-linked debt issued in local currency. This result suggests that the exchange rate acts as a summary indicator of macro-financial stress, external vulnerability, and the tightening of domestic financial conditions. In an emerging market such as Brazil, exchange-rate movements influence inflation expectations, monetary policy, foreign portfolio flows, and perceptions of overall risk. Corporate bond spreads respond to those broader channels even when there is no mechanical currency mismatch in the instrument itself.</w:t>
      </w:r>
    </w:p>
    <w:p w14:paraId="53BB7DCC" w14:textId="77777777" w:rsidR="00C24802" w:rsidRPr="00C24802" w:rsidRDefault="00C24802" w:rsidP="00FA6F3E">
      <w:pPr>
        <w:ind w:firstLine="709"/>
        <w:jc w:val="both"/>
        <w:rPr>
          <w:bCs/>
          <w:lang w:val="en-US" w:eastAsia="es-ES"/>
        </w:rPr>
      </w:pPr>
    </w:p>
    <w:p w14:paraId="23D12F4C" w14:textId="77777777" w:rsidR="00FA6F3E" w:rsidRDefault="00FA6F3E" w:rsidP="00FA6F3E">
      <w:pPr>
        <w:ind w:firstLine="709"/>
        <w:jc w:val="both"/>
        <w:rPr>
          <w:bCs/>
          <w:lang w:val="en-US" w:eastAsia="es-ES"/>
        </w:rPr>
      </w:pPr>
      <w:r w:rsidRPr="00C24802">
        <w:rPr>
          <w:bCs/>
          <w:lang w:val="en-US" w:eastAsia="es-ES"/>
        </w:rPr>
        <w:t>Real GDP growth enters with a negative coefficient that is statistically significant in all specifications, although significance is somewhat weaker under PCSE. This finding is in line with the standard view that stronger economic activity improves expected debt-servicing capacity and reduces default risk. In the context of Brazil's corporate bond market, the result also suggests that investors price broad macroeconomic conditions rather than relying only on firm-specific balance-sheet indicators.</w:t>
      </w:r>
    </w:p>
    <w:p w14:paraId="5A934636" w14:textId="77777777" w:rsidR="00C24802" w:rsidRPr="00C24802" w:rsidRDefault="00C24802" w:rsidP="00FA6F3E">
      <w:pPr>
        <w:ind w:firstLine="709"/>
        <w:jc w:val="both"/>
        <w:rPr>
          <w:bCs/>
          <w:lang w:val="en-US" w:eastAsia="es-ES"/>
        </w:rPr>
      </w:pPr>
    </w:p>
    <w:p w14:paraId="2B10425D" w14:textId="77777777" w:rsidR="00FA6F3E" w:rsidRPr="00C24802" w:rsidRDefault="00FA6F3E" w:rsidP="00FA6F3E">
      <w:pPr>
        <w:ind w:firstLine="709"/>
        <w:jc w:val="both"/>
        <w:rPr>
          <w:bCs/>
          <w:lang w:val="en-US" w:eastAsia="es-ES"/>
        </w:rPr>
      </w:pPr>
      <w:r w:rsidRPr="00C24802">
        <w:rPr>
          <w:bCs/>
          <w:lang w:val="en-US" w:eastAsia="es-ES"/>
        </w:rPr>
        <w:t>The public-debt-to-GDP ratio is positive across specifications and significant in the baseline as well as in the two alternative estimators. This is consistent with a fiscal-macro channel linking sovereign conditions to private financing costs. A deterioration in the public-debt burden may increase uncertainty about future taxation, inflation, crowding-out pressures, and the broader macroeconomic environment. Even when the sovereign-risk proxy is included separately, the public-debt variable retains explanatory power, which suggests that market participants distinguish between structural fiscal vulnerability and the contemporaneous pricing of sovereign bonds.</w:t>
      </w:r>
    </w:p>
    <w:p w14:paraId="29CEB5C4" w14:textId="77777777" w:rsidR="00FA6F3E" w:rsidRDefault="00FA6F3E" w:rsidP="00FA6F3E">
      <w:pPr>
        <w:ind w:firstLine="709"/>
        <w:jc w:val="both"/>
        <w:rPr>
          <w:bCs/>
          <w:lang w:val="en-US" w:eastAsia="es-ES"/>
        </w:rPr>
      </w:pPr>
      <w:r w:rsidRPr="00C24802">
        <w:rPr>
          <w:bCs/>
          <w:lang w:val="en-US" w:eastAsia="es-ES"/>
        </w:rPr>
        <w:t xml:space="preserve">Third, the most striking result concerns the sovereign-risk variable. The synthetic BRL sovereign spread carries a negative and statistically significant coefficient in all </w:t>
      </w:r>
      <w:r w:rsidRPr="00C24802">
        <w:rPr>
          <w:bCs/>
          <w:lang w:val="en-US" w:eastAsia="es-ES"/>
        </w:rPr>
        <w:lastRenderedPageBreak/>
        <w:t>specifications. This is the opposite of the standard sovereign-ceiling prediction, according to which higher sovereign risk should raise corporate spreads by worsening the credit environment for private issuers. The negative sign indicates that in Brazil's inflation-linked corporate bond market, sovereign and corporate spreads do not move one-for-one in the conventional direction. At a minimum, the result suggests that sovereign-corporate transmission in local currency is not mechanical.</w:t>
      </w:r>
    </w:p>
    <w:p w14:paraId="235394B3" w14:textId="77777777" w:rsidR="00C24802" w:rsidRPr="00C24802" w:rsidRDefault="00C24802" w:rsidP="00FA6F3E">
      <w:pPr>
        <w:ind w:firstLine="709"/>
        <w:jc w:val="both"/>
        <w:rPr>
          <w:bCs/>
          <w:lang w:val="en-US" w:eastAsia="es-ES"/>
        </w:rPr>
      </w:pPr>
    </w:p>
    <w:p w14:paraId="7A1FDAB8" w14:textId="77777777" w:rsidR="00FA6F3E" w:rsidRDefault="00FA6F3E" w:rsidP="00FA6F3E">
      <w:pPr>
        <w:ind w:firstLine="709"/>
        <w:jc w:val="both"/>
        <w:rPr>
          <w:bCs/>
          <w:lang w:val="en-US" w:eastAsia="es-ES"/>
        </w:rPr>
      </w:pPr>
      <w:r w:rsidRPr="00C24802">
        <w:rPr>
          <w:bCs/>
          <w:lang w:val="en-US" w:eastAsia="es-ES"/>
        </w:rPr>
        <w:t>Fourth, among the idiosyncratic variables, issue size is the most robust determinant. The ratio of amount issued to assets enters with a negative sign in the baseline fixed-effects model and in the Driscoll-Kraay specification, consistent with the view that larger issues trade at lower spreads because they are more liquid or more visible to investors. In the PCSE specification, however, the coefficient turns positive. This sign reversal indicates that the precise inference for liquidity-related microstructure variables is sensitive to the treatment of the error structure. Still, because both the baseline and Driscoll-Kraay estimates preserve the expected negative sign, the overall evidence remains supportive of an issue-size liquidity premium.</w:t>
      </w:r>
    </w:p>
    <w:p w14:paraId="355C905A" w14:textId="77777777" w:rsidR="00C24802" w:rsidRPr="00C24802" w:rsidRDefault="00C24802" w:rsidP="00FA6F3E">
      <w:pPr>
        <w:ind w:firstLine="709"/>
        <w:jc w:val="both"/>
        <w:rPr>
          <w:bCs/>
          <w:lang w:val="en-US" w:eastAsia="es-ES"/>
        </w:rPr>
      </w:pPr>
    </w:p>
    <w:p w14:paraId="0CB75267" w14:textId="71F5C6D7" w:rsidR="00FD2768" w:rsidRDefault="00FA6F3E" w:rsidP="00C24802">
      <w:pPr>
        <w:ind w:firstLine="709"/>
        <w:jc w:val="both"/>
        <w:rPr>
          <w:lang w:val="en-US"/>
        </w:rPr>
      </w:pPr>
      <w:r w:rsidRPr="00FA6F3E">
        <w:rPr>
          <w:bCs/>
          <w:lang w:val="en-US" w:eastAsia="es-ES"/>
        </w:rPr>
        <w:t xml:space="preserve">By contrast, the accounting variables are not robust. </w:t>
      </w:r>
      <w:r w:rsidRPr="00C24802">
        <w:rPr>
          <w:bCs/>
          <w:lang w:val="en-US" w:eastAsia="es-ES"/>
        </w:rPr>
        <w:t>Operating cash flow over assets is insignificant in the baseline and under Driscoll-Kraay, although it is positive and significant under PCSE. Debt to EBITDA is small and insignificant in all cases. Residual maturity is insignificant in the baseline and in the Driscoll-Kraay model, but positive and significant under PCSE. Taken together, these patterns suggest that once time-invariant issuer and bond characteristics are absorbed by fixed effects, short-run balance-sheet variation contributes less to pricing than do macro-financial shocks and issue-level liquidity. This is plausible in a sample dominated by large, seasoned, and relatively stable issuers.</w:t>
      </w:r>
    </w:p>
    <w:p w14:paraId="1B88DD37" w14:textId="77777777" w:rsidR="00C24802" w:rsidRPr="00C24802" w:rsidRDefault="00C24802" w:rsidP="00C24802">
      <w:pPr>
        <w:ind w:firstLine="709"/>
        <w:jc w:val="both"/>
        <w:rPr>
          <w:b/>
          <w:bCs/>
          <w:sz w:val="28"/>
          <w:szCs w:val="28"/>
          <w:lang w:val="en-US"/>
        </w:rPr>
      </w:pPr>
    </w:p>
    <w:p w14:paraId="55CA974A" w14:textId="77777777" w:rsidR="0002722C" w:rsidRPr="00AE2805" w:rsidRDefault="0002722C">
      <w:pPr>
        <w:jc w:val="both"/>
        <w:rPr>
          <w:b/>
          <w:bCs/>
          <w:sz w:val="28"/>
          <w:szCs w:val="28"/>
          <w:lang w:val="en-US"/>
        </w:rPr>
      </w:pPr>
    </w:p>
    <w:p w14:paraId="6478529C" w14:textId="48B381CE" w:rsidR="000C1DB3" w:rsidRPr="00CA38ED" w:rsidRDefault="00732D0D" w:rsidP="000C1DB3">
      <w:pPr>
        <w:pStyle w:val="Heading2"/>
      </w:pPr>
      <w:bookmarkStart w:id="12" w:name="_Toc228544185"/>
      <w:r w:rsidRPr="00732D0D">
        <w:t>Magnitudes and robustness</w:t>
      </w:r>
      <w:bookmarkEnd w:id="12"/>
    </w:p>
    <w:p w14:paraId="77BAA688" w14:textId="77777777" w:rsidR="0063687B" w:rsidRPr="00CA38ED" w:rsidRDefault="0063687B" w:rsidP="0063687B"/>
    <w:p w14:paraId="58FBC87C" w14:textId="2B9AAFD4" w:rsidR="00EE0324" w:rsidRDefault="00EE0324" w:rsidP="00EE0324">
      <w:pPr>
        <w:ind w:firstLine="709"/>
        <w:jc w:val="both"/>
        <w:rPr>
          <w:lang w:val="en-US"/>
        </w:rPr>
      </w:pPr>
      <w:r w:rsidRPr="00EE0324">
        <w:rPr>
          <w:lang w:val="en-US"/>
        </w:rPr>
        <w:t>The point estimates indicate that the exchange rate and the US monetary-policy proxy are among the most important robust macro-financial determinants in the data. Because the variables are measured in their original units and the panel is highly heterogeneous, the paper emphasizes sign, significance, and cross-specification stability rather than precise economic magnitudes. The key patterns are nonetheless clear. Variables tied to global financing conditions and domestic macroeconomic stress have more stable effects than accounting-based firm controls.</w:t>
      </w:r>
    </w:p>
    <w:p w14:paraId="6D72A495" w14:textId="77777777" w:rsidR="00E91955" w:rsidRPr="00EE0324" w:rsidRDefault="00E91955" w:rsidP="00EE0324">
      <w:pPr>
        <w:ind w:firstLine="709"/>
        <w:jc w:val="both"/>
        <w:rPr>
          <w:lang w:val="en-US"/>
        </w:rPr>
      </w:pPr>
    </w:p>
    <w:p w14:paraId="4E471936" w14:textId="77777777" w:rsidR="00EE0324" w:rsidRDefault="00EE0324" w:rsidP="00EE0324">
      <w:pPr>
        <w:ind w:firstLine="709"/>
        <w:jc w:val="both"/>
        <w:rPr>
          <w:lang w:val="en-US"/>
        </w:rPr>
      </w:pPr>
      <w:r w:rsidRPr="00EE0324">
        <w:rPr>
          <w:lang w:val="en-US"/>
        </w:rPr>
        <w:t>The within R-squared of the baseline model is about 0.12. This may appear modest, but it is not unusual in bond-level fixed-effects models, especially when the dependent variable is measured from OTC quotes and when a large share of cross-sectional variation is intentionally absorbed by fixed effects. The objective is not to explain all spread variation, but to isolate the time-varying determinants that systematically reprice the same bonds over time.</w:t>
      </w:r>
    </w:p>
    <w:p w14:paraId="370615F9" w14:textId="77777777" w:rsidR="00E91955" w:rsidRPr="00EE0324" w:rsidRDefault="00E91955" w:rsidP="00EE0324">
      <w:pPr>
        <w:ind w:firstLine="709"/>
        <w:jc w:val="both"/>
        <w:rPr>
          <w:lang w:val="en-US"/>
        </w:rPr>
      </w:pPr>
    </w:p>
    <w:p w14:paraId="63F52CB4" w14:textId="6B5C63C8" w:rsidR="005F3ED4" w:rsidRPr="00EE0324" w:rsidRDefault="00EE0324" w:rsidP="00EE0324">
      <w:pPr>
        <w:ind w:firstLine="709"/>
        <w:jc w:val="both"/>
        <w:rPr>
          <w:lang w:val="en-US"/>
        </w:rPr>
      </w:pPr>
      <w:r w:rsidRPr="00EE0324">
        <w:rPr>
          <w:lang w:val="en-US"/>
        </w:rPr>
        <w:t xml:space="preserve">Robustness across columns also matters. The main conclusions survive alternative treatments of the covariance matrix. Exchange-rate depreciation, weaker growth, higher public debt, and negative sovereign-risk transmission remain present. The VIX effect is less </w:t>
      </w:r>
      <w:r w:rsidRPr="00EE0324">
        <w:rPr>
          <w:lang w:val="en-US"/>
        </w:rPr>
        <w:lastRenderedPageBreak/>
        <w:t>stable in significance but not in sign. The issue-size coefficient is somewhat more fragile, which is unsurprising because liquidity premia are often the first to be affected by how residual dependence is modeled. Overall, the qualitative results are not driven by a single inferential choice.</w:t>
      </w:r>
    </w:p>
    <w:p w14:paraId="0CB84DC8" w14:textId="77777777" w:rsidR="009B3645" w:rsidRPr="00AE2805" w:rsidRDefault="009B3645" w:rsidP="005C045B">
      <w:pPr>
        <w:ind w:firstLine="709"/>
        <w:jc w:val="both"/>
        <w:rPr>
          <w:bCs/>
          <w:lang w:val="en-US" w:eastAsia="es-ES"/>
        </w:rPr>
      </w:pPr>
    </w:p>
    <w:p w14:paraId="76E5DE04" w14:textId="77777777" w:rsidR="00AD0B0C" w:rsidRPr="00AE2805" w:rsidRDefault="00AD0B0C">
      <w:pPr>
        <w:jc w:val="both"/>
        <w:rPr>
          <w:b/>
          <w:bCs/>
          <w:lang w:val="en-US"/>
        </w:rPr>
      </w:pPr>
    </w:p>
    <w:p w14:paraId="409FBFEE" w14:textId="468EF2D6" w:rsidR="0002722C" w:rsidRPr="00CA38ED" w:rsidRDefault="0023200F" w:rsidP="00BC3ED8">
      <w:pPr>
        <w:pStyle w:val="Heading1"/>
      </w:pPr>
      <w:bookmarkStart w:id="13" w:name="_Toc228544186"/>
      <w:r w:rsidRPr="0023200F">
        <w:t>Discussion</w:t>
      </w:r>
      <w:bookmarkEnd w:id="13"/>
    </w:p>
    <w:p w14:paraId="5CCED182" w14:textId="77777777" w:rsidR="0002722C" w:rsidRPr="00CA38ED" w:rsidRDefault="0002722C" w:rsidP="00E310A5">
      <w:pPr>
        <w:pBdr>
          <w:top w:val="nil"/>
          <w:left w:val="nil"/>
          <w:bottom w:val="nil"/>
          <w:right w:val="nil"/>
          <w:between w:val="nil"/>
        </w:pBdr>
        <w:rPr>
          <w:b/>
          <w:bCs/>
          <w:sz w:val="28"/>
          <w:szCs w:val="28"/>
        </w:rPr>
      </w:pPr>
    </w:p>
    <w:p w14:paraId="05484285" w14:textId="3F4EA4B3" w:rsidR="0002722C" w:rsidRPr="007C6CC9" w:rsidRDefault="007C6CC9" w:rsidP="0097556E">
      <w:pPr>
        <w:pStyle w:val="Heading2"/>
        <w:rPr>
          <w:lang w:val="en-US"/>
        </w:rPr>
      </w:pPr>
      <w:bookmarkStart w:id="14" w:name="_Toc228544187"/>
      <w:r w:rsidRPr="007C6CC9">
        <w:rPr>
          <w:lang w:val="en-US"/>
        </w:rPr>
        <w:t>Global transmission to local-currency corporate debt</w:t>
      </w:r>
      <w:bookmarkEnd w:id="14"/>
    </w:p>
    <w:p w14:paraId="402C9712" w14:textId="77777777" w:rsidR="0002722C" w:rsidRPr="007C6CC9" w:rsidRDefault="0002722C">
      <w:pPr>
        <w:pBdr>
          <w:top w:val="nil"/>
          <w:left w:val="nil"/>
          <w:bottom w:val="nil"/>
          <w:right w:val="nil"/>
          <w:between w:val="nil"/>
        </w:pBdr>
        <w:jc w:val="both"/>
        <w:rPr>
          <w:b/>
          <w:bCs/>
          <w:sz w:val="28"/>
          <w:szCs w:val="28"/>
          <w:lang w:val="en-US"/>
        </w:rPr>
      </w:pPr>
    </w:p>
    <w:p w14:paraId="423C765C" w14:textId="01CAED4A" w:rsidR="00A52CDF" w:rsidRDefault="00A52CDF" w:rsidP="00A52CDF">
      <w:pPr>
        <w:ind w:firstLine="709"/>
        <w:jc w:val="both"/>
        <w:rPr>
          <w:bCs/>
          <w:lang w:val="en-US" w:eastAsia="es-ES"/>
        </w:rPr>
      </w:pPr>
      <w:r w:rsidRPr="00A52CDF">
        <w:rPr>
          <w:bCs/>
          <w:lang w:val="en-US" w:eastAsia="es-ES"/>
        </w:rPr>
        <w:t>The first broad lesson of the paper is that local-currency corporate spreads in Brazil remain exposed to global financial conditions. This is important because a common presumption in policy discussions is that the development of local-currency debt markets reduces vulnerability to external shocks. That presumption is only partly correct. Borrowing in domestic currency certainly reduces direct currency mismatch, but it does not sever the link between domestic asset prices and the global financial cycle. The positive response of spreads to expected US monetary tightening suggests that international liquidity conditions still shape the required return on Brazilian corporate debt.</w:t>
      </w:r>
    </w:p>
    <w:p w14:paraId="4E420313" w14:textId="77777777" w:rsidR="00A52CDF" w:rsidRPr="00A52CDF" w:rsidRDefault="00A52CDF" w:rsidP="00A52CDF">
      <w:pPr>
        <w:ind w:firstLine="709"/>
        <w:jc w:val="both"/>
        <w:rPr>
          <w:bCs/>
          <w:lang w:val="en-US" w:eastAsia="es-ES"/>
        </w:rPr>
      </w:pPr>
    </w:p>
    <w:p w14:paraId="24958875" w14:textId="77777777" w:rsidR="00A52CDF" w:rsidRDefault="00A52CDF" w:rsidP="00A52CDF">
      <w:pPr>
        <w:ind w:firstLine="709"/>
        <w:jc w:val="both"/>
        <w:rPr>
          <w:bCs/>
          <w:lang w:val="en-US" w:eastAsia="es-ES"/>
        </w:rPr>
      </w:pPr>
      <w:r w:rsidRPr="00A52CDF">
        <w:rPr>
          <w:bCs/>
          <w:lang w:val="en-US" w:eastAsia="es-ES"/>
        </w:rPr>
        <w:t>This result fits the broader literature on global push factors, but it is particularly relevant for inflation-linked bonds. These instruments might seem less exposed to foreign developments because their cash flows are tied to domestic inflation rather than to external funding. Yet the investor base, benchmark curves, and opportunity cost of capital all respond to international rates. A tightening in expected US policy may raise discount rates, alter portfolio allocations in domestic fixed income, and reduce the relative attractiveness of longer-duration emerging-market securities. The implication is that the resilience of local-currency markets should not be judged solely by their currency denomination; it also depends on how global financial conditions are transmitted through domestic intermediaries and benchmark structures.</w:t>
      </w:r>
    </w:p>
    <w:p w14:paraId="2E547B35" w14:textId="77777777" w:rsidR="00A52CDF" w:rsidRPr="00A52CDF" w:rsidRDefault="00A52CDF" w:rsidP="00A52CDF">
      <w:pPr>
        <w:ind w:firstLine="709"/>
        <w:jc w:val="both"/>
        <w:rPr>
          <w:bCs/>
          <w:lang w:val="en-US" w:eastAsia="es-ES"/>
        </w:rPr>
      </w:pPr>
    </w:p>
    <w:p w14:paraId="17A0AC99" w14:textId="77777777" w:rsidR="00A52CDF" w:rsidRDefault="00A52CDF" w:rsidP="00A52CDF">
      <w:pPr>
        <w:ind w:firstLine="709"/>
        <w:jc w:val="both"/>
        <w:rPr>
          <w:bCs/>
          <w:lang w:val="en-US" w:eastAsia="es-ES"/>
        </w:rPr>
      </w:pPr>
      <w:r w:rsidRPr="00A52CDF">
        <w:rPr>
          <w:bCs/>
          <w:lang w:val="en-US" w:eastAsia="es-ES"/>
        </w:rPr>
        <w:t>The exchange-rate result points in the same direction. In principle, local-currency inflation-linked debt should be less sensitive to exchange-rate depreciation than foreign-currency debt, because the coupon is not directly tied to the exchange rate and the principal is protected in real terms. In practice, depreciation still signals a deterioration in the macro-financial environment. It may raise inflation uncertainty, affect domestic monetary policy, influence foreign participation in local fixed income, and change the relative pricing of sovereign and corporate instruments. In that sense, the exchange rate is not simply a currency variable; it is a broad state variable for external stress.</w:t>
      </w:r>
    </w:p>
    <w:p w14:paraId="094BBA45" w14:textId="77777777" w:rsidR="00A52CDF" w:rsidRPr="00A52CDF" w:rsidRDefault="00A52CDF" w:rsidP="00A52CDF">
      <w:pPr>
        <w:ind w:firstLine="709"/>
        <w:jc w:val="both"/>
        <w:rPr>
          <w:bCs/>
          <w:lang w:val="en-US" w:eastAsia="es-ES"/>
        </w:rPr>
      </w:pPr>
    </w:p>
    <w:p w14:paraId="6B421DFC" w14:textId="7E3878B8" w:rsidR="00A534CB" w:rsidRPr="00A52CDF" w:rsidRDefault="00A52CDF" w:rsidP="00A52CDF">
      <w:pPr>
        <w:ind w:firstLine="709"/>
        <w:jc w:val="both"/>
        <w:rPr>
          <w:bCs/>
          <w:lang w:val="en-US" w:eastAsia="es-ES"/>
        </w:rPr>
      </w:pPr>
      <w:r w:rsidRPr="00A52CDF">
        <w:rPr>
          <w:bCs/>
          <w:lang w:val="en-US" w:eastAsia="es-ES"/>
        </w:rPr>
        <w:t>The negative sign on the VIX complicates the standard narrative but does not overturn it. A plausible interpretation is that, in Brazil's local-currency market, global risk-off episodes can trigger selective demand for higher-quality domestic corporate bonds relative to other local risky assets or to sovereign securities that become more exposed to fiscal concerns. Another possibility is that the VIX is partly capturing shifts in the composition of portfolios held by domestic institutions rather than a pure external capital-</w:t>
      </w:r>
      <w:r w:rsidRPr="00A52CDF">
        <w:rPr>
          <w:bCs/>
          <w:lang w:val="en-US" w:eastAsia="es-ES"/>
        </w:rPr>
        <w:lastRenderedPageBreak/>
        <w:t>flow shock. The result is therefore best seen as evidence of market segmentation and relative-value trading, not as a rejection of global-factor relevance.</w:t>
      </w:r>
    </w:p>
    <w:p w14:paraId="1393C051" w14:textId="77777777" w:rsidR="0040777B" w:rsidRPr="00A52CDF" w:rsidRDefault="0040777B" w:rsidP="0040777B">
      <w:pPr>
        <w:ind w:firstLine="709"/>
        <w:jc w:val="both"/>
        <w:rPr>
          <w:bCs/>
          <w:lang w:val="en-US" w:eastAsia="es-ES"/>
        </w:rPr>
      </w:pPr>
    </w:p>
    <w:p w14:paraId="511D5FE2" w14:textId="77777777" w:rsidR="006F73EC" w:rsidRPr="00A52CDF" w:rsidRDefault="006F73EC" w:rsidP="00E91955">
      <w:pPr>
        <w:jc w:val="both"/>
        <w:rPr>
          <w:bCs/>
          <w:lang w:val="en-US" w:eastAsia="es-ES"/>
        </w:rPr>
      </w:pPr>
    </w:p>
    <w:p w14:paraId="10E12E71" w14:textId="6760790F" w:rsidR="0002722C" w:rsidRPr="00707986" w:rsidRDefault="00707986" w:rsidP="0097556E">
      <w:pPr>
        <w:pStyle w:val="Heading2"/>
        <w:rPr>
          <w:lang w:val="en-US"/>
        </w:rPr>
      </w:pPr>
      <w:bookmarkStart w:id="15" w:name="_Toc228544188"/>
      <w:r w:rsidRPr="00707986">
        <w:rPr>
          <w:lang w:val="en-US"/>
        </w:rPr>
        <w:t>Rethinking the sovereign ceiling in local currency</w:t>
      </w:r>
      <w:bookmarkEnd w:id="15"/>
    </w:p>
    <w:p w14:paraId="375C7CA3" w14:textId="77777777" w:rsidR="008216CE" w:rsidRPr="00707986" w:rsidRDefault="008216CE" w:rsidP="00723543">
      <w:pPr>
        <w:rPr>
          <w:lang w:val="en-US"/>
        </w:rPr>
      </w:pPr>
    </w:p>
    <w:p w14:paraId="752315B7" w14:textId="65E010E6" w:rsidR="00B3516A" w:rsidRDefault="00B3516A" w:rsidP="00B3516A">
      <w:pPr>
        <w:pBdr>
          <w:top w:val="nil"/>
          <w:left w:val="nil"/>
          <w:bottom w:val="nil"/>
          <w:right w:val="nil"/>
          <w:between w:val="nil"/>
        </w:pBdr>
        <w:ind w:firstLine="720"/>
        <w:jc w:val="both"/>
        <w:rPr>
          <w:lang w:val="en-US"/>
        </w:rPr>
      </w:pPr>
      <w:r w:rsidRPr="00B3516A">
        <w:rPr>
          <w:lang w:val="en-US"/>
        </w:rPr>
        <w:t>The second major lesson is that sovereign-corporate transmission in Brazil's IPCA-linked market does not follow the standard sovereign-ceiling pattern. The negative coefficient on the synthetic BRL sovereign-risk variable is the most novel result in the paper. Several interpretations are possible, and they are not mutually exclusive.</w:t>
      </w:r>
    </w:p>
    <w:p w14:paraId="5D564B99" w14:textId="77777777" w:rsidR="00B3516A" w:rsidRPr="00B3516A" w:rsidRDefault="00B3516A" w:rsidP="00B3516A">
      <w:pPr>
        <w:pBdr>
          <w:top w:val="nil"/>
          <w:left w:val="nil"/>
          <w:bottom w:val="nil"/>
          <w:right w:val="nil"/>
          <w:between w:val="nil"/>
        </w:pBdr>
        <w:ind w:firstLine="720"/>
        <w:jc w:val="both"/>
        <w:rPr>
          <w:lang w:val="en-US"/>
        </w:rPr>
      </w:pPr>
    </w:p>
    <w:p w14:paraId="5E05122D" w14:textId="77777777" w:rsidR="00B3516A" w:rsidRDefault="00B3516A" w:rsidP="00B3516A">
      <w:pPr>
        <w:pBdr>
          <w:top w:val="nil"/>
          <w:left w:val="nil"/>
          <w:bottom w:val="nil"/>
          <w:right w:val="nil"/>
          <w:between w:val="nil"/>
        </w:pBdr>
        <w:ind w:firstLine="720"/>
        <w:jc w:val="both"/>
        <w:rPr>
          <w:lang w:val="en-US"/>
        </w:rPr>
      </w:pPr>
      <w:r w:rsidRPr="00B3516A">
        <w:rPr>
          <w:lang w:val="en-US"/>
        </w:rPr>
        <w:t>One explanation is relative substitution between sovereign and corporate bonds during periods of sovereign stress. If local institutional investors perceive some large corporate issuers, particularly those in regulated sectors with stable cash flows, as relatively attractive when sovereign bond spreads widen, capital may flow toward those corporates rather than away from them. In such a setting, sovereign stress can compress selected corporate spreads through portfolio rebalancing, even if the macroeconomic environment is deteriorating. This mechanism is more likely in a domestic market with a stable institutional investor base than in a hard-currency market dominated by external investors.</w:t>
      </w:r>
    </w:p>
    <w:p w14:paraId="3D5845C8" w14:textId="77777777" w:rsidR="00B3516A" w:rsidRPr="00B3516A" w:rsidRDefault="00B3516A" w:rsidP="00B3516A">
      <w:pPr>
        <w:pBdr>
          <w:top w:val="nil"/>
          <w:left w:val="nil"/>
          <w:bottom w:val="nil"/>
          <w:right w:val="nil"/>
          <w:between w:val="nil"/>
        </w:pBdr>
        <w:ind w:firstLine="720"/>
        <w:jc w:val="both"/>
        <w:rPr>
          <w:lang w:val="en-US"/>
        </w:rPr>
      </w:pPr>
    </w:p>
    <w:p w14:paraId="03973C91" w14:textId="77777777" w:rsidR="00B3516A" w:rsidRDefault="00B3516A" w:rsidP="00B3516A">
      <w:pPr>
        <w:pBdr>
          <w:top w:val="nil"/>
          <w:left w:val="nil"/>
          <w:bottom w:val="nil"/>
          <w:right w:val="nil"/>
          <w:between w:val="nil"/>
        </w:pBdr>
        <w:ind w:firstLine="720"/>
        <w:jc w:val="both"/>
        <w:rPr>
          <w:lang w:val="en-US"/>
        </w:rPr>
      </w:pPr>
      <w:r w:rsidRPr="00B3516A">
        <w:rPr>
          <w:lang w:val="en-US"/>
        </w:rPr>
        <w:t>A second explanation is that the sovereign-risk proxy in local currency measures something different from a standard external CDS. Because it is constructed from local sovereign yields relative to domestic benchmark curves, it may contain information about term-premium movements, relative value along the sovereign curve, or shifts in local demand for sovereign paper. If those movements are partly orthogonal to corporate default risk, the estimated coefficient need not match the sign predicted by the classic sovereign-ceiling theory. This does not make the proxy uninformative; rather, it means that the relevant notion of sovereign risk in domestic markets is more complex than a single external spread.</w:t>
      </w:r>
    </w:p>
    <w:p w14:paraId="241C5C31" w14:textId="77777777" w:rsidR="00B3516A" w:rsidRPr="00B3516A" w:rsidRDefault="00B3516A" w:rsidP="00B3516A">
      <w:pPr>
        <w:pBdr>
          <w:top w:val="nil"/>
          <w:left w:val="nil"/>
          <w:bottom w:val="nil"/>
          <w:right w:val="nil"/>
          <w:between w:val="nil"/>
        </w:pBdr>
        <w:ind w:firstLine="720"/>
        <w:jc w:val="both"/>
        <w:rPr>
          <w:lang w:val="en-US"/>
        </w:rPr>
      </w:pPr>
    </w:p>
    <w:p w14:paraId="5BFB2F96" w14:textId="77777777" w:rsidR="00B3516A" w:rsidRDefault="00B3516A" w:rsidP="00B3516A">
      <w:pPr>
        <w:pBdr>
          <w:top w:val="nil"/>
          <w:left w:val="nil"/>
          <w:bottom w:val="nil"/>
          <w:right w:val="nil"/>
          <w:between w:val="nil"/>
        </w:pBdr>
        <w:ind w:firstLine="720"/>
        <w:jc w:val="both"/>
        <w:rPr>
          <w:lang w:val="en-US"/>
        </w:rPr>
      </w:pPr>
      <w:r w:rsidRPr="00B3516A">
        <w:rPr>
          <w:lang w:val="en-US"/>
        </w:rPr>
        <w:t>A third explanation concerns sample composition. The bond panel is concentrated in large non-financial issuers, many of them in electricity, transport, and infrastructure. These firms are not representative of the entire corporate universe. Their cash flows may be relatively stable, their access to capital markets may be persistent, and their investor following may be strong. In a stressed sovereign environment, such issuers could be treated as safer alternatives within the domestic fixed-income space. The sovereign ceiling may therefore be weaker, or even reversed, in this segment of the market.</w:t>
      </w:r>
    </w:p>
    <w:p w14:paraId="5BC112FA" w14:textId="77777777" w:rsidR="00B3516A" w:rsidRPr="00B3516A" w:rsidRDefault="00B3516A" w:rsidP="00B3516A">
      <w:pPr>
        <w:pBdr>
          <w:top w:val="nil"/>
          <w:left w:val="nil"/>
          <w:bottom w:val="nil"/>
          <w:right w:val="nil"/>
          <w:between w:val="nil"/>
        </w:pBdr>
        <w:ind w:firstLine="720"/>
        <w:jc w:val="both"/>
        <w:rPr>
          <w:lang w:val="en-US"/>
        </w:rPr>
      </w:pPr>
    </w:p>
    <w:p w14:paraId="08CCC3AB" w14:textId="4E5D6E13" w:rsidR="002D581D" w:rsidRPr="00B3516A" w:rsidRDefault="00B3516A" w:rsidP="00B3516A">
      <w:pPr>
        <w:pBdr>
          <w:top w:val="nil"/>
          <w:left w:val="nil"/>
          <w:bottom w:val="nil"/>
          <w:right w:val="nil"/>
          <w:between w:val="nil"/>
        </w:pBdr>
        <w:ind w:firstLine="720"/>
        <w:jc w:val="both"/>
        <w:rPr>
          <w:lang w:val="en-US"/>
        </w:rPr>
      </w:pPr>
      <w:r w:rsidRPr="00B3516A">
        <w:rPr>
          <w:lang w:val="en-US"/>
        </w:rPr>
        <w:t>Taken together, these interpretations suggest that the sovereign ceiling should not be viewed as a universal linear law. It may hold more clearly in external debt markets, in lower-rated corporate segments, or when the investor base is predominantly international. In domestic inflation-linked markets with strong local institutions, the transmission of sovereign risk can be segmented, state-dependent, and shaped by relative-value considerations. This is an important qualification to an otherwise influential literature.</w:t>
      </w:r>
    </w:p>
    <w:p w14:paraId="60C4D0A8" w14:textId="77777777" w:rsidR="007C4EB7" w:rsidRPr="00AE2805" w:rsidRDefault="007C4EB7">
      <w:pPr>
        <w:pBdr>
          <w:top w:val="nil"/>
          <w:left w:val="nil"/>
          <w:bottom w:val="nil"/>
          <w:right w:val="nil"/>
          <w:between w:val="nil"/>
        </w:pBdr>
        <w:jc w:val="both"/>
        <w:rPr>
          <w:sz w:val="28"/>
          <w:szCs w:val="28"/>
          <w:lang w:val="en-US"/>
        </w:rPr>
      </w:pPr>
    </w:p>
    <w:p w14:paraId="7C4D3057" w14:textId="77777777" w:rsidR="00B51391" w:rsidRPr="00AE2805" w:rsidRDefault="00B51391">
      <w:pPr>
        <w:pBdr>
          <w:top w:val="nil"/>
          <w:left w:val="nil"/>
          <w:bottom w:val="nil"/>
          <w:right w:val="nil"/>
          <w:between w:val="nil"/>
        </w:pBdr>
        <w:jc w:val="both"/>
        <w:rPr>
          <w:sz w:val="28"/>
          <w:szCs w:val="28"/>
          <w:lang w:val="en-US"/>
        </w:rPr>
      </w:pPr>
    </w:p>
    <w:p w14:paraId="79FD5BAF" w14:textId="77777777" w:rsidR="00DB1EE6" w:rsidRPr="00AE2805" w:rsidRDefault="00DB1EE6">
      <w:pPr>
        <w:pBdr>
          <w:top w:val="nil"/>
          <w:left w:val="nil"/>
          <w:bottom w:val="nil"/>
          <w:right w:val="nil"/>
          <w:between w:val="nil"/>
        </w:pBdr>
        <w:jc w:val="both"/>
        <w:rPr>
          <w:sz w:val="28"/>
          <w:szCs w:val="28"/>
          <w:lang w:val="en-US"/>
        </w:rPr>
      </w:pPr>
    </w:p>
    <w:p w14:paraId="6BBEDDA5" w14:textId="7C4BEB62" w:rsidR="0002722C" w:rsidRPr="005D4EE2" w:rsidRDefault="005D4EE2" w:rsidP="0097556E">
      <w:pPr>
        <w:pStyle w:val="Heading2"/>
        <w:rPr>
          <w:lang w:val="en-US"/>
        </w:rPr>
      </w:pPr>
      <w:bookmarkStart w:id="16" w:name="_Toc228544189"/>
      <w:r w:rsidRPr="005D4EE2">
        <w:rPr>
          <w:lang w:val="en-US"/>
        </w:rPr>
        <w:lastRenderedPageBreak/>
        <w:t>Liquidity, issue size, and the limited role of accounting variables</w:t>
      </w:r>
      <w:bookmarkEnd w:id="16"/>
    </w:p>
    <w:p w14:paraId="7187EC50" w14:textId="77777777" w:rsidR="0002722C" w:rsidRPr="005D4EE2" w:rsidRDefault="0002722C">
      <w:pPr>
        <w:pBdr>
          <w:top w:val="nil"/>
          <w:left w:val="nil"/>
          <w:bottom w:val="nil"/>
          <w:right w:val="nil"/>
          <w:between w:val="nil"/>
        </w:pBdr>
        <w:jc w:val="both"/>
        <w:rPr>
          <w:sz w:val="28"/>
          <w:szCs w:val="28"/>
          <w:lang w:val="en-US"/>
        </w:rPr>
      </w:pPr>
    </w:p>
    <w:p w14:paraId="2A9823E9" w14:textId="77777777" w:rsidR="00DB1EE6" w:rsidRDefault="00DB1EE6" w:rsidP="00DB1EE6">
      <w:pPr>
        <w:pBdr>
          <w:top w:val="nil"/>
          <w:left w:val="nil"/>
          <w:bottom w:val="nil"/>
          <w:right w:val="nil"/>
          <w:between w:val="nil"/>
        </w:pBdr>
        <w:ind w:firstLine="720"/>
        <w:jc w:val="both"/>
        <w:rPr>
          <w:lang w:val="en-US"/>
        </w:rPr>
      </w:pPr>
      <w:r w:rsidRPr="00DB1EE6">
        <w:rPr>
          <w:lang w:val="en-US"/>
        </w:rPr>
        <w:t>The micro-level findings highlight the importance of liquidity and the more limited role of short-run accounting variables in explaining spread changes within bonds. The negative coefficient on issue size is consistent with Carvalho and Marques (2020) and with the broader liquidity literature. In an OTC market, larger issues are easier to distribute and trade, are more likely to be followed by dealers and asset managers, and may therefore require a smaller illiquidity premium. This result also has direct practical implications for issuers: placement strategy and market visibility can matter for borrowing costs, not only balance-sheet metrics.</w:t>
      </w:r>
    </w:p>
    <w:p w14:paraId="042F89B7" w14:textId="77777777" w:rsidR="00DB1EE6" w:rsidRPr="00DB1EE6" w:rsidRDefault="00DB1EE6" w:rsidP="00DB1EE6">
      <w:pPr>
        <w:pBdr>
          <w:top w:val="nil"/>
          <w:left w:val="nil"/>
          <w:bottom w:val="nil"/>
          <w:right w:val="nil"/>
          <w:between w:val="nil"/>
        </w:pBdr>
        <w:ind w:firstLine="720"/>
        <w:jc w:val="both"/>
        <w:rPr>
          <w:lang w:val="en-US"/>
        </w:rPr>
      </w:pPr>
    </w:p>
    <w:p w14:paraId="6BB481BD" w14:textId="7846C0B2" w:rsidR="00753739" w:rsidRPr="00DB1EE6" w:rsidRDefault="00DB1EE6" w:rsidP="00DB1EE6">
      <w:pPr>
        <w:pBdr>
          <w:top w:val="nil"/>
          <w:left w:val="nil"/>
          <w:bottom w:val="nil"/>
          <w:right w:val="nil"/>
          <w:between w:val="nil"/>
        </w:pBdr>
        <w:ind w:firstLine="720"/>
        <w:jc w:val="both"/>
        <w:rPr>
          <w:lang w:val="en-US"/>
        </w:rPr>
      </w:pPr>
      <w:r w:rsidRPr="00DB1EE6">
        <w:rPr>
          <w:lang w:val="en-US"/>
        </w:rPr>
        <w:t>The weak role of leverage and operating cash flow does not imply that firm fundamentals are irrelevant. Rather, it suggests that the relevant components of firm risk are mostly persistent and are therefore absorbed by bond fixed effects. Large firms in regulated sectors do not radically change leverage or liquidity month to month, and the quality of accounting data may be uneven for some issuers. In that setting, within-bond spread variation is driven more by changing macro conditions than by slow-moving accounting ratios. This interpretation reconciles the present results with the structural-credit literature: fundamentals matter for cross-sectional pricing and for the long-run level of spreads, but they need not dominate short-run repricing within a fixed-effects panel.</w:t>
      </w:r>
    </w:p>
    <w:p w14:paraId="2C936F7B" w14:textId="77777777" w:rsidR="00280E94" w:rsidRPr="00DB1EE6" w:rsidRDefault="00280E94">
      <w:pPr>
        <w:pBdr>
          <w:top w:val="nil"/>
          <w:left w:val="nil"/>
          <w:bottom w:val="nil"/>
          <w:right w:val="nil"/>
          <w:between w:val="nil"/>
        </w:pBdr>
        <w:jc w:val="both"/>
        <w:rPr>
          <w:sz w:val="28"/>
          <w:szCs w:val="28"/>
          <w:lang w:val="en-US"/>
        </w:rPr>
      </w:pPr>
    </w:p>
    <w:p w14:paraId="0725DCB9" w14:textId="77777777" w:rsidR="0002722C" w:rsidRPr="00DB1EE6" w:rsidRDefault="0002722C">
      <w:pPr>
        <w:pBdr>
          <w:top w:val="nil"/>
          <w:left w:val="nil"/>
          <w:bottom w:val="nil"/>
          <w:right w:val="nil"/>
          <w:between w:val="nil"/>
        </w:pBdr>
        <w:jc w:val="both"/>
        <w:rPr>
          <w:sz w:val="28"/>
          <w:szCs w:val="28"/>
          <w:lang w:val="en-US"/>
        </w:rPr>
      </w:pPr>
    </w:p>
    <w:p w14:paraId="529160A0" w14:textId="35634265" w:rsidR="0002722C" w:rsidRPr="0031448C" w:rsidRDefault="0031448C" w:rsidP="0097556E">
      <w:pPr>
        <w:pStyle w:val="Heading2"/>
        <w:rPr>
          <w:lang w:val="en-US"/>
        </w:rPr>
      </w:pPr>
      <w:bookmarkStart w:id="17" w:name="_Toc228544190"/>
      <w:r w:rsidRPr="0031448C">
        <w:rPr>
          <w:lang w:val="en-US"/>
        </w:rPr>
        <w:t>Implications for policy and market practice</w:t>
      </w:r>
      <w:bookmarkEnd w:id="17"/>
    </w:p>
    <w:p w14:paraId="0724B38A" w14:textId="77777777" w:rsidR="00280E94" w:rsidRPr="0031448C" w:rsidRDefault="00280E94" w:rsidP="00F147A8">
      <w:pPr>
        <w:ind w:firstLine="709"/>
        <w:jc w:val="both"/>
        <w:rPr>
          <w:bCs/>
          <w:lang w:val="en-US" w:eastAsia="es-ES"/>
        </w:rPr>
      </w:pPr>
    </w:p>
    <w:p w14:paraId="0C3E3F97" w14:textId="0A355C95" w:rsidR="002109B4" w:rsidRDefault="002109B4" w:rsidP="002109B4">
      <w:pPr>
        <w:ind w:firstLine="709"/>
        <w:jc w:val="both"/>
        <w:rPr>
          <w:bCs/>
          <w:lang w:val="en-US" w:eastAsia="es-ES"/>
        </w:rPr>
      </w:pPr>
      <w:r w:rsidRPr="002109B4">
        <w:rPr>
          <w:bCs/>
          <w:lang w:val="en-US" w:eastAsia="es-ES"/>
        </w:rPr>
        <w:t>The findings have three immediate implications. For investors and risk managers, they show that local-currency corporate spreads should be monitored with the same macro-financial lens typically applied to sovereign bonds. Exchange-rate dynamics, US monetary expectations, and domestic growth remain central. For corporate issuers, the results suggest that deeper and more liquid placements may reduce financing costs and that issuance windows should be evaluated against the broader macro cycle. For regulators and macroprudential authorities, the evidence implies that the local corporate bond market is exposed to global conditions even without direct currency mismatch and that stress testing should distinguish between nominal and inflation-linked market segments.</w:t>
      </w:r>
    </w:p>
    <w:p w14:paraId="37512C21" w14:textId="77777777" w:rsidR="002109B4" w:rsidRPr="002109B4" w:rsidRDefault="002109B4" w:rsidP="002109B4">
      <w:pPr>
        <w:ind w:firstLine="709"/>
        <w:jc w:val="both"/>
        <w:rPr>
          <w:bCs/>
          <w:lang w:val="en-US" w:eastAsia="es-ES"/>
        </w:rPr>
      </w:pPr>
    </w:p>
    <w:p w14:paraId="282E36FB" w14:textId="4B1A4A4A" w:rsidR="0002722C" w:rsidRPr="002109B4" w:rsidRDefault="002109B4" w:rsidP="002109B4">
      <w:pPr>
        <w:ind w:firstLine="709"/>
        <w:jc w:val="both"/>
        <w:rPr>
          <w:lang w:val="en-US"/>
        </w:rPr>
      </w:pPr>
      <w:r w:rsidRPr="002109B4">
        <w:rPr>
          <w:bCs/>
          <w:lang w:val="en-US" w:eastAsia="es-ES"/>
        </w:rPr>
        <w:t>More broadly, the paper speaks to debates on capital-market development in emerging economies. Deep local-currency markets are often seen as a buffer against external volatility. The Brazilian case suggests a more nuanced conclusion. Domestic-currency financing is valuable, but the pricing of that financing remains highly sensitive to global and domestic macro-financial conditions. Resilience therefore depends not only on market depth, but also on the composition of the investor base, the liquidity of secondary trading, benchmark design, and sovereign credibility.</w:t>
      </w:r>
    </w:p>
    <w:p w14:paraId="7B2979D7" w14:textId="77777777" w:rsidR="00DD3797" w:rsidRDefault="00DD3797">
      <w:pPr>
        <w:shd w:val="clear" w:color="auto" w:fill="FFFFFF"/>
        <w:tabs>
          <w:tab w:val="left" w:pos="6840"/>
        </w:tabs>
        <w:ind w:firstLine="709"/>
        <w:jc w:val="both"/>
        <w:rPr>
          <w:lang w:val="en-US"/>
        </w:rPr>
      </w:pPr>
    </w:p>
    <w:p w14:paraId="0724D0CE" w14:textId="77777777" w:rsidR="00751A81" w:rsidRDefault="00751A81">
      <w:pPr>
        <w:shd w:val="clear" w:color="auto" w:fill="FFFFFF"/>
        <w:tabs>
          <w:tab w:val="left" w:pos="6840"/>
        </w:tabs>
        <w:ind w:firstLine="709"/>
        <w:jc w:val="both"/>
        <w:rPr>
          <w:lang w:val="en-US"/>
        </w:rPr>
      </w:pPr>
    </w:p>
    <w:p w14:paraId="6E0426B8" w14:textId="77777777" w:rsidR="00751A81" w:rsidRDefault="00751A81">
      <w:pPr>
        <w:shd w:val="clear" w:color="auto" w:fill="FFFFFF"/>
        <w:tabs>
          <w:tab w:val="left" w:pos="6840"/>
        </w:tabs>
        <w:ind w:firstLine="709"/>
        <w:jc w:val="both"/>
        <w:rPr>
          <w:lang w:val="en-US"/>
        </w:rPr>
      </w:pPr>
    </w:p>
    <w:p w14:paraId="4869CC7D" w14:textId="77777777" w:rsidR="00751A81" w:rsidRDefault="00751A81">
      <w:pPr>
        <w:shd w:val="clear" w:color="auto" w:fill="FFFFFF"/>
        <w:tabs>
          <w:tab w:val="left" w:pos="6840"/>
        </w:tabs>
        <w:ind w:firstLine="709"/>
        <w:jc w:val="both"/>
        <w:rPr>
          <w:lang w:val="en-US"/>
        </w:rPr>
      </w:pPr>
    </w:p>
    <w:p w14:paraId="24CDB6C5" w14:textId="77777777" w:rsidR="00EC0E05" w:rsidRDefault="00EC0E05">
      <w:pPr>
        <w:shd w:val="clear" w:color="auto" w:fill="FFFFFF"/>
        <w:tabs>
          <w:tab w:val="left" w:pos="6840"/>
        </w:tabs>
        <w:ind w:firstLine="709"/>
        <w:jc w:val="both"/>
        <w:rPr>
          <w:lang w:val="en-US"/>
        </w:rPr>
      </w:pPr>
    </w:p>
    <w:p w14:paraId="57362414" w14:textId="6FB4398F" w:rsidR="00EC0E05" w:rsidRPr="00CA38ED" w:rsidRDefault="00303EC0" w:rsidP="00EC0E05">
      <w:pPr>
        <w:pStyle w:val="Heading1"/>
      </w:pPr>
      <w:bookmarkStart w:id="18" w:name="_Toc228544191"/>
      <w:r w:rsidRPr="00303EC0">
        <w:lastRenderedPageBreak/>
        <w:t>Conclusion</w:t>
      </w:r>
      <w:bookmarkEnd w:id="18"/>
    </w:p>
    <w:p w14:paraId="5312EB9B" w14:textId="77777777" w:rsidR="00EC0E05" w:rsidRPr="00CA38ED" w:rsidRDefault="00EC0E05" w:rsidP="00EC0E05">
      <w:pPr>
        <w:pBdr>
          <w:top w:val="nil"/>
          <w:left w:val="nil"/>
          <w:bottom w:val="nil"/>
          <w:right w:val="nil"/>
          <w:between w:val="nil"/>
        </w:pBdr>
        <w:rPr>
          <w:b/>
          <w:bCs/>
          <w:sz w:val="28"/>
          <w:szCs w:val="28"/>
        </w:rPr>
      </w:pPr>
    </w:p>
    <w:p w14:paraId="147B3ADE" w14:textId="76AC3552" w:rsidR="00751A81" w:rsidRDefault="00751A81" w:rsidP="00751A81">
      <w:pPr>
        <w:ind w:firstLine="709"/>
        <w:jc w:val="both"/>
        <w:rPr>
          <w:bCs/>
          <w:lang w:val="en-US" w:eastAsia="es-ES"/>
        </w:rPr>
      </w:pPr>
      <w:r w:rsidRPr="00751A81">
        <w:rPr>
          <w:bCs/>
          <w:lang w:val="en-US" w:eastAsia="es-ES"/>
        </w:rPr>
        <w:t>This paper studies the determinants of Brazilian local-currency corporate bond spreads using a new monthly panel of 103 IPCA-linked debentures issued by 48 non-financial firms between 2010 and 2025. The analysis combines global factors, domestic macroeconomic conditions, a synthetic sovereign-risk measure in Brazilian reais, and bond- and firm-level characteristics within a bond fixed-effects framework. Model-selection tests reject pooled OLS and random effects, while robustness checks based on PCSE and Driscoll-Kraay standard errors confirm the stability of the main findings.</w:t>
      </w:r>
    </w:p>
    <w:p w14:paraId="532C3576" w14:textId="77777777" w:rsidR="00751A81" w:rsidRPr="00751A81" w:rsidRDefault="00751A81" w:rsidP="00751A81">
      <w:pPr>
        <w:ind w:firstLine="709"/>
        <w:jc w:val="both"/>
        <w:rPr>
          <w:bCs/>
          <w:lang w:val="en-US" w:eastAsia="es-ES"/>
        </w:rPr>
      </w:pPr>
    </w:p>
    <w:p w14:paraId="568E24DF" w14:textId="77777777" w:rsidR="00751A81" w:rsidRDefault="00751A81" w:rsidP="00751A81">
      <w:pPr>
        <w:ind w:firstLine="709"/>
        <w:jc w:val="both"/>
        <w:rPr>
          <w:bCs/>
          <w:lang w:val="en-US" w:eastAsia="es-ES"/>
        </w:rPr>
      </w:pPr>
      <w:r w:rsidRPr="00751A81">
        <w:rPr>
          <w:bCs/>
          <w:lang w:val="en-US" w:eastAsia="es-ES"/>
        </w:rPr>
        <w:t>Three conclusions stand out. First, global and domestic macro-financial conditions are central determinants of corporate spreads in Brazil's inflation-linked market. Tighter expected US monetary policy, BRL depreciation, and weaker domestic growth are associated with wider spreads, while a higher public-debt ratio also raises borrowing costs. Second, larger issues tend to trade at lower spreads, consistent with a liquidity premium in Brazil's OTC market. Third, the synthetic local-currency sovereign-risk measure is negatively related to corporate spreads across specifications, which challenges a simple linear sovereign-ceiling interpretation for this segment of the market.</w:t>
      </w:r>
    </w:p>
    <w:p w14:paraId="796B54BE" w14:textId="77777777" w:rsidR="00751A81" w:rsidRPr="00751A81" w:rsidRDefault="00751A81" w:rsidP="00751A81">
      <w:pPr>
        <w:ind w:firstLine="709"/>
        <w:jc w:val="both"/>
        <w:rPr>
          <w:bCs/>
          <w:lang w:val="en-US" w:eastAsia="es-ES"/>
        </w:rPr>
      </w:pPr>
    </w:p>
    <w:p w14:paraId="26297121" w14:textId="77777777" w:rsidR="00751A81" w:rsidRDefault="00751A81" w:rsidP="00751A81">
      <w:pPr>
        <w:ind w:firstLine="709"/>
        <w:jc w:val="both"/>
        <w:rPr>
          <w:bCs/>
          <w:lang w:val="en-US" w:eastAsia="es-ES"/>
        </w:rPr>
      </w:pPr>
      <w:r w:rsidRPr="00751A81">
        <w:rPr>
          <w:bCs/>
          <w:lang w:val="en-US" w:eastAsia="es-ES"/>
        </w:rPr>
        <w:t>These findings contribute to the literature in two ways. Empirically, they provide new evidence for a market that has grown rapidly but remains understudied in academic work. Conceptually, they show that the transmission of sovereign risk to corporate pricing depends on market structure, investor clientele, and the currency and indexation of the instruments under analysis. Local-currency corporate bond markets are not insulated from global shocks, but neither do they necessarily reproduce the sovereign-corporate nexus observed in external debt markets.</w:t>
      </w:r>
    </w:p>
    <w:p w14:paraId="5D0CA6EB" w14:textId="77777777" w:rsidR="00751A81" w:rsidRPr="00751A81" w:rsidRDefault="00751A81" w:rsidP="00751A81">
      <w:pPr>
        <w:ind w:firstLine="709"/>
        <w:jc w:val="both"/>
        <w:rPr>
          <w:bCs/>
          <w:lang w:val="en-US" w:eastAsia="es-ES"/>
        </w:rPr>
      </w:pPr>
    </w:p>
    <w:p w14:paraId="1EE5CAF8" w14:textId="77777777" w:rsidR="00751A81" w:rsidRDefault="00751A81" w:rsidP="00751A81">
      <w:pPr>
        <w:ind w:firstLine="709"/>
        <w:jc w:val="both"/>
        <w:rPr>
          <w:bCs/>
          <w:lang w:val="en-US" w:eastAsia="es-ES"/>
        </w:rPr>
      </w:pPr>
      <w:r w:rsidRPr="00751A81">
        <w:rPr>
          <w:bCs/>
          <w:lang w:val="en-US" w:eastAsia="es-ES"/>
        </w:rPr>
        <w:t>The paper also has practical implications. Investors can use the results to improve macro-financial monitoring of local corporate portfolios. Issuers can view issue size and market timing as relevant determinants of funding costs. Policymakers should recognize that local-currency market development reduces some vulnerabilities but does not eliminate sensitivity to the global financial cycle.</w:t>
      </w:r>
    </w:p>
    <w:p w14:paraId="622AD722" w14:textId="77777777" w:rsidR="00751A81" w:rsidRPr="00751A81" w:rsidRDefault="00751A81" w:rsidP="00751A81">
      <w:pPr>
        <w:ind w:firstLine="709"/>
        <w:jc w:val="both"/>
        <w:rPr>
          <w:bCs/>
          <w:lang w:val="en-US" w:eastAsia="es-ES"/>
        </w:rPr>
      </w:pPr>
    </w:p>
    <w:p w14:paraId="447CEB5C" w14:textId="70A8469C" w:rsidR="00EC0E05" w:rsidRPr="00A52CDF" w:rsidRDefault="00751A81" w:rsidP="00751A81">
      <w:pPr>
        <w:ind w:firstLine="709"/>
        <w:jc w:val="both"/>
        <w:rPr>
          <w:bCs/>
          <w:lang w:val="en-US" w:eastAsia="es-ES"/>
        </w:rPr>
      </w:pPr>
      <w:r w:rsidRPr="00751A81">
        <w:rPr>
          <w:bCs/>
          <w:lang w:val="en-US" w:eastAsia="es-ES"/>
        </w:rPr>
        <w:t>The analysis has limitations. The dataset comes from an OTC market with heterogeneous price quality, and the sovereign-risk measure in BRL is synthetic rather than directly observed. The focus on IPCA-linked bonds improves comparability but narrows external validity to one segment of the market. The paper also does not model non-linearities, regime changes, or credit ratings explicitly. Future research should compare inflation-linked, nominal, and CDI-linked corporate bonds; incorporate ratings and observed CDS data where available; test for state dependence across stress episodes; and extend the comparison to other Latin American local-currency markets. Those extensions would help clarify when sovereign-corporate transmission is conventional, when it is segmented, and how domestic bond markets in emerging economies can become more resilient.</w:t>
      </w:r>
    </w:p>
    <w:p w14:paraId="05760EC4" w14:textId="77777777" w:rsidR="00DD3797" w:rsidRDefault="00DD3797">
      <w:pPr>
        <w:shd w:val="clear" w:color="auto" w:fill="FFFFFF"/>
        <w:tabs>
          <w:tab w:val="left" w:pos="6840"/>
        </w:tabs>
        <w:ind w:firstLine="709"/>
        <w:jc w:val="both"/>
        <w:rPr>
          <w:lang w:val="en-US"/>
        </w:rPr>
      </w:pPr>
    </w:p>
    <w:p w14:paraId="62385654" w14:textId="77777777" w:rsidR="00E91955" w:rsidRPr="002109B4" w:rsidRDefault="00E91955">
      <w:pPr>
        <w:shd w:val="clear" w:color="auto" w:fill="FFFFFF"/>
        <w:tabs>
          <w:tab w:val="left" w:pos="6840"/>
        </w:tabs>
        <w:ind w:firstLine="709"/>
        <w:jc w:val="both"/>
        <w:rPr>
          <w:lang w:val="en-US"/>
        </w:rPr>
      </w:pPr>
    </w:p>
    <w:p w14:paraId="19AFC914" w14:textId="77777777" w:rsidR="00DD3797" w:rsidRPr="002109B4" w:rsidRDefault="00DD3797">
      <w:pPr>
        <w:shd w:val="clear" w:color="auto" w:fill="FFFFFF"/>
        <w:tabs>
          <w:tab w:val="left" w:pos="6840"/>
        </w:tabs>
        <w:ind w:firstLine="709"/>
        <w:jc w:val="both"/>
        <w:rPr>
          <w:lang w:val="en-US"/>
        </w:rPr>
      </w:pPr>
    </w:p>
    <w:p w14:paraId="5B6AC4D9" w14:textId="77777777" w:rsidR="0002722C" w:rsidRPr="002109B4" w:rsidRDefault="0002722C" w:rsidP="00EC2F2D">
      <w:pPr>
        <w:shd w:val="clear" w:color="auto" w:fill="FFFFFF"/>
        <w:tabs>
          <w:tab w:val="left" w:pos="6840"/>
        </w:tabs>
        <w:jc w:val="both"/>
        <w:rPr>
          <w:lang w:val="en-US"/>
        </w:rPr>
      </w:pPr>
    </w:p>
    <w:p w14:paraId="2A0E93CC" w14:textId="77777777" w:rsidR="0002722C" w:rsidRPr="00CA38ED" w:rsidRDefault="00021130" w:rsidP="00BC3ED8">
      <w:pPr>
        <w:pStyle w:val="Heading1"/>
      </w:pPr>
      <w:bookmarkStart w:id="19" w:name="_Toc228544192"/>
      <w:r w:rsidRPr="00CA38ED">
        <w:lastRenderedPageBreak/>
        <w:t>Referencias bibliográficas</w:t>
      </w:r>
      <w:bookmarkEnd w:id="19"/>
    </w:p>
    <w:p w14:paraId="0C48C038" w14:textId="77777777" w:rsidR="0002722C" w:rsidRPr="00CA38ED" w:rsidRDefault="0002722C">
      <w:pPr>
        <w:ind w:firstLine="709"/>
        <w:jc w:val="both"/>
      </w:pPr>
    </w:p>
    <w:p w14:paraId="5E02E647" w14:textId="77777777" w:rsidR="0002722C" w:rsidRPr="00CA38ED" w:rsidRDefault="0002722C">
      <w:pPr>
        <w:ind w:firstLine="708"/>
        <w:jc w:val="both"/>
      </w:pPr>
    </w:p>
    <w:p w14:paraId="155A31C9" w14:textId="77777777" w:rsidR="00F37B42" w:rsidRDefault="00B050F5" w:rsidP="006B49F0">
      <w:pPr>
        <w:numPr>
          <w:ilvl w:val="0"/>
          <w:numId w:val="6"/>
        </w:numPr>
        <w:jc w:val="both"/>
        <w:rPr>
          <w:lang w:val="en-US"/>
        </w:rPr>
      </w:pPr>
      <w:r w:rsidRPr="00F37B42">
        <w:rPr>
          <w:lang w:val="en-US"/>
        </w:rPr>
        <w:t>Arora, N., Gandhi, P., and Longstaff, F. A. (2012). Counterparty credit risk and the credit default swap market. Journal of Financial and Quantitative Analysis, 47(1), 119-138.</w:t>
      </w:r>
    </w:p>
    <w:p w14:paraId="07612E17" w14:textId="77777777" w:rsidR="00F37B42" w:rsidRDefault="00B050F5" w:rsidP="005438C5">
      <w:pPr>
        <w:numPr>
          <w:ilvl w:val="0"/>
          <w:numId w:val="6"/>
        </w:numPr>
        <w:jc w:val="both"/>
        <w:rPr>
          <w:lang w:val="en-US"/>
        </w:rPr>
      </w:pPr>
      <w:r w:rsidRPr="00F37B42">
        <w:rPr>
          <w:lang w:val="pt-BR"/>
        </w:rPr>
        <w:t xml:space="preserve">Carvalho, A. G. de, and Marques, F. T. (2020). </w:t>
      </w:r>
      <w:r w:rsidRPr="00F37B42">
        <w:rPr>
          <w:lang w:val="en-US"/>
        </w:rPr>
        <w:t>The microstructure of the Brazilian market for corporate bonds. Revista Brasileira de Gestao de Negocios, 22(Special Issue), 482-500.</w:t>
      </w:r>
    </w:p>
    <w:p w14:paraId="6D6609A9" w14:textId="77777777" w:rsidR="00F37B42" w:rsidRDefault="00B050F5" w:rsidP="00544C26">
      <w:pPr>
        <w:numPr>
          <w:ilvl w:val="0"/>
          <w:numId w:val="6"/>
        </w:numPr>
        <w:jc w:val="both"/>
        <w:rPr>
          <w:lang w:val="en-US"/>
        </w:rPr>
      </w:pPr>
      <w:r w:rsidRPr="00F37B42">
        <w:rPr>
          <w:lang w:val="en-US"/>
        </w:rPr>
        <w:t>Collin-Dufresne, P., Goldstein, R. S., and Martin, J. S. (2001). The determinants of credit spread changes. Journal of Finance, 56(6), 2177-2207.</w:t>
      </w:r>
    </w:p>
    <w:p w14:paraId="0F33731C" w14:textId="77777777" w:rsidR="00F37B42" w:rsidRDefault="00B050F5" w:rsidP="0027198F">
      <w:pPr>
        <w:numPr>
          <w:ilvl w:val="0"/>
          <w:numId w:val="6"/>
        </w:numPr>
        <w:jc w:val="both"/>
        <w:rPr>
          <w:lang w:val="en-US"/>
        </w:rPr>
      </w:pPr>
      <w:r w:rsidRPr="00F37B42">
        <w:rPr>
          <w:lang w:val="en-US"/>
        </w:rPr>
        <w:t>Duffie, D. (1999). Credit swap valuation. Financial Analysts Journal, 55(1), 73-87.</w:t>
      </w:r>
    </w:p>
    <w:p w14:paraId="03C41C41" w14:textId="77777777" w:rsidR="00F37B42" w:rsidRDefault="00B050F5" w:rsidP="00DA03A9">
      <w:pPr>
        <w:numPr>
          <w:ilvl w:val="0"/>
          <w:numId w:val="6"/>
        </w:numPr>
        <w:jc w:val="both"/>
        <w:rPr>
          <w:lang w:val="en-US"/>
        </w:rPr>
      </w:pPr>
      <w:r w:rsidRPr="00F37B42">
        <w:rPr>
          <w:lang w:val="en-US"/>
        </w:rPr>
        <w:t>Durbin, E., and Ng, D. (2001). The sovereign ceiling and emerging market corporate bond spreads: A new dataset and methodology. World Bank Policy Research Working Paper No. 2561.</w:t>
      </w:r>
    </w:p>
    <w:p w14:paraId="439E2505" w14:textId="77777777" w:rsidR="00F37B42" w:rsidRPr="00F37B42" w:rsidRDefault="00B050F5" w:rsidP="00335C39">
      <w:pPr>
        <w:numPr>
          <w:ilvl w:val="0"/>
          <w:numId w:val="6"/>
        </w:numPr>
        <w:jc w:val="both"/>
        <w:rPr>
          <w:lang w:val="pt-BR"/>
        </w:rPr>
      </w:pPr>
      <w:r w:rsidRPr="00F37B42">
        <w:rPr>
          <w:lang w:val="en-US"/>
        </w:rPr>
        <w:t>Espinoza, R. A., and Prasad, A. (2012). Sovereign credit ratings and spreads in emerging markets: Does investment grade matter? IMF Working Paper No. 12/140.</w:t>
      </w:r>
    </w:p>
    <w:p w14:paraId="75D0E658" w14:textId="77777777" w:rsidR="00F37B42" w:rsidRPr="00F37B42" w:rsidRDefault="00B050F5" w:rsidP="000A66C7">
      <w:pPr>
        <w:numPr>
          <w:ilvl w:val="0"/>
          <w:numId w:val="6"/>
        </w:numPr>
        <w:jc w:val="both"/>
        <w:rPr>
          <w:lang w:val="en-US"/>
        </w:rPr>
      </w:pPr>
      <w:r w:rsidRPr="00F37B42">
        <w:rPr>
          <w:lang w:val="es-AR"/>
        </w:rPr>
        <w:t xml:space="preserve">Gomez-Gonzalez, J. E., Uribe, J. M., and Valencia, O. M. (2022). </w:t>
      </w:r>
      <w:r w:rsidRPr="00F37B42">
        <w:rPr>
          <w:lang w:val="en-US"/>
        </w:rPr>
        <w:t xml:space="preserve">Risk spillovers between global corporations and Latin American sovereigns: Global factors matter. </w:t>
      </w:r>
      <w:r w:rsidRPr="00F37B42">
        <w:rPr>
          <w:lang w:val="pt-BR"/>
        </w:rPr>
        <w:t>Applied Economics, 55(13), 1477-1496.</w:t>
      </w:r>
    </w:p>
    <w:p w14:paraId="59233400" w14:textId="77777777" w:rsidR="00F37B42" w:rsidRDefault="00B050F5" w:rsidP="000334A1">
      <w:pPr>
        <w:numPr>
          <w:ilvl w:val="0"/>
          <w:numId w:val="6"/>
        </w:numPr>
        <w:jc w:val="both"/>
        <w:rPr>
          <w:lang w:val="en-US"/>
        </w:rPr>
      </w:pPr>
      <w:r w:rsidRPr="00F37B42">
        <w:rPr>
          <w:lang w:val="en-US"/>
        </w:rPr>
        <w:t>Gonzalez-Rozada, M., and Levy Yeyati, E. (2008). Global factors and emerging market spreads. Economic Journal, 118(533), 1917-1936.</w:t>
      </w:r>
    </w:p>
    <w:p w14:paraId="073586BC" w14:textId="77777777" w:rsidR="00F37B42" w:rsidRDefault="00B050F5" w:rsidP="00DC41B5">
      <w:pPr>
        <w:numPr>
          <w:ilvl w:val="0"/>
          <w:numId w:val="6"/>
        </w:numPr>
        <w:jc w:val="both"/>
        <w:rPr>
          <w:lang w:val="en-US"/>
        </w:rPr>
      </w:pPr>
      <w:r w:rsidRPr="00F37B42">
        <w:rPr>
          <w:lang w:val="en-US"/>
        </w:rPr>
        <w:t>Grandes, M., and Peter, M. (2005). How important is sovereign risk in determining corporate default premia? The case of South Africa. IMF Working Paper No. 05/217.</w:t>
      </w:r>
    </w:p>
    <w:p w14:paraId="0194A1B8" w14:textId="77777777" w:rsidR="00F37B42" w:rsidRDefault="00B050F5" w:rsidP="001D1804">
      <w:pPr>
        <w:numPr>
          <w:ilvl w:val="0"/>
          <w:numId w:val="6"/>
        </w:numPr>
        <w:jc w:val="both"/>
        <w:rPr>
          <w:lang w:val="en-US"/>
        </w:rPr>
      </w:pPr>
      <w:r w:rsidRPr="00F37B42">
        <w:rPr>
          <w:lang w:val="en-US"/>
        </w:rPr>
        <w:t>Grandes, M., Panigo, D. T., and Pasquini, R. A. (2017). Corporate credit spreads and the sovereign ceiling in Latin America. Emerging Markets Finance and Trade, 53(5), 1217-1240.</w:t>
      </w:r>
    </w:p>
    <w:p w14:paraId="5390523C" w14:textId="77777777" w:rsidR="00F37B42" w:rsidRDefault="00B050F5" w:rsidP="00DC2841">
      <w:pPr>
        <w:numPr>
          <w:ilvl w:val="0"/>
          <w:numId w:val="6"/>
        </w:numPr>
        <w:jc w:val="both"/>
        <w:rPr>
          <w:lang w:val="en-US"/>
        </w:rPr>
      </w:pPr>
      <w:r w:rsidRPr="00F37B42">
        <w:rPr>
          <w:lang w:val="en-US"/>
        </w:rPr>
        <w:t>Liu, Z., and Spencer, P. (2013). Modelling sovereign credit spreads with international macro-factors: The case of Brazil 1998-2009. Journal of Banking and Finance, 37(2), 241-256.</w:t>
      </w:r>
    </w:p>
    <w:p w14:paraId="7782D63B" w14:textId="77777777" w:rsidR="00F37B42" w:rsidRPr="00AE2805" w:rsidRDefault="00B050F5" w:rsidP="000F7099">
      <w:pPr>
        <w:numPr>
          <w:ilvl w:val="0"/>
          <w:numId w:val="6"/>
        </w:numPr>
        <w:jc w:val="both"/>
        <w:rPr>
          <w:lang w:val="en-US"/>
        </w:rPr>
      </w:pPr>
      <w:r w:rsidRPr="00F37B42">
        <w:rPr>
          <w:lang w:val="en-US"/>
        </w:rPr>
        <w:t>Longstaff, F. A., Mithal, S., and Neis, E. (2005). Corporate yield spreads: Default risk or liquidity? New evidence from the credit default swap market. Journal of Finance, 60(5), 2213-2253.</w:t>
      </w:r>
    </w:p>
    <w:p w14:paraId="30626309" w14:textId="77777777" w:rsidR="00F37B42" w:rsidRPr="00F37B42" w:rsidRDefault="00B050F5" w:rsidP="0081456C">
      <w:pPr>
        <w:numPr>
          <w:ilvl w:val="0"/>
          <w:numId w:val="6"/>
        </w:numPr>
        <w:jc w:val="both"/>
      </w:pPr>
      <w:r w:rsidRPr="00F37B42">
        <w:rPr>
          <w:lang w:val="en-US"/>
        </w:rPr>
        <w:t xml:space="preserve">Merton, R. C. (1974). On the pricing of corporate debt: The risk structure of interest rates. </w:t>
      </w:r>
      <w:r w:rsidRPr="00F37B42">
        <w:rPr>
          <w:lang w:val="pt-BR"/>
        </w:rPr>
        <w:t>Journal of Finance, 29(2), 449-470.</w:t>
      </w:r>
    </w:p>
    <w:p w14:paraId="416C0E7C" w14:textId="07696777" w:rsidR="00CC6C09" w:rsidRDefault="00B050F5" w:rsidP="00CC6C09">
      <w:pPr>
        <w:numPr>
          <w:ilvl w:val="0"/>
          <w:numId w:val="6"/>
        </w:numPr>
        <w:jc w:val="both"/>
      </w:pPr>
      <w:r w:rsidRPr="00F37B42">
        <w:rPr>
          <w:lang w:val="pt-BR"/>
        </w:rPr>
        <w:t xml:space="preserve">Silva, E. O., and Paulo, W. L. (2015). </w:t>
      </w:r>
      <w:r w:rsidRPr="00F37B42">
        <w:rPr>
          <w:lang w:val="en-US"/>
        </w:rPr>
        <w:t xml:space="preserve">Determinants of sovereign CDS spreads: Evidence from Brazil. </w:t>
      </w:r>
      <w:r w:rsidRPr="00F37B42">
        <w:rPr>
          <w:lang w:val="pt-BR"/>
        </w:rPr>
        <w:t>International Business Research, 8(7), 102-112.</w:t>
      </w:r>
    </w:p>
    <w:sectPr w:rsidR="00CC6C09" w:rsidSect="00F37B42">
      <w:headerReference w:type="default" r:id="rId8"/>
      <w:footerReference w:type="default" r:id="rId9"/>
      <w:pgSz w:w="11907" w:h="16839"/>
      <w:pgMar w:top="1411" w:right="1411" w:bottom="1411" w:left="1699" w:header="70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31C18" w14:textId="77777777" w:rsidR="00066FD7" w:rsidRDefault="00066FD7">
      <w:r>
        <w:separator/>
      </w:r>
    </w:p>
  </w:endnote>
  <w:endnote w:type="continuationSeparator" w:id="0">
    <w:p w14:paraId="4FC8AAD2" w14:textId="77777777" w:rsidR="00066FD7" w:rsidRDefault="00066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44D3B767-1D79-4F31-AE11-CE88A53EFFBF}"/>
  </w:font>
  <w:font w:name="Georgia">
    <w:panose1 w:val="02040502050405020303"/>
    <w:charset w:val="00"/>
    <w:family w:val="roman"/>
    <w:pitch w:val="variable"/>
    <w:sig w:usb0="00000287" w:usb1="00000000" w:usb2="00000000" w:usb3="00000000" w:csb0="0000009F" w:csb1="00000000"/>
    <w:embedItalic r:id="rId2" w:fontKey="{46E652A6-7B1B-4C76-9B2E-E08A7389F495}"/>
  </w:font>
  <w:font w:name="Calibri">
    <w:panose1 w:val="020F0502020204030204"/>
    <w:charset w:val="00"/>
    <w:family w:val="swiss"/>
    <w:pitch w:val="variable"/>
    <w:sig w:usb0="E4002EFF" w:usb1="C200247B" w:usb2="00000009" w:usb3="00000000" w:csb0="000001FF" w:csb1="00000000"/>
    <w:embedRegular r:id="rId3" w:fontKey="{A4E429DC-53F8-4204-8CB2-97AAE10C2EF2}"/>
    <w:embedBold r:id="rId4" w:fontKey="{1E7E8EE4-4CF0-4846-B135-20AF2A01F42B}"/>
  </w:font>
  <w:font w:name="Cambria">
    <w:panose1 w:val="02040503050406030204"/>
    <w:charset w:val="00"/>
    <w:family w:val="roman"/>
    <w:pitch w:val="variable"/>
    <w:sig w:usb0="E00006FF" w:usb1="420024FF" w:usb2="02000000" w:usb3="00000000" w:csb0="0000019F" w:csb1="00000000"/>
    <w:embedRegular r:id="rId5" w:fontKey="{B52A366F-4F4F-4AA1-BF7D-9D819C15AEA0}"/>
    <w:embedBold r:id="rId6" w:fontKey="{E2A3BD4C-0319-4537-81E9-8F42789E224C}"/>
    <w:embedItalic r:id="rId7" w:fontKey="{F329AE3C-2037-4246-9C82-4F6A2E466311}"/>
  </w:font>
  <w:font w:name="Cambria Math">
    <w:panose1 w:val="02040503050406030204"/>
    <w:charset w:val="00"/>
    <w:family w:val="roman"/>
    <w:pitch w:val="variable"/>
    <w:sig w:usb0="E00006FF" w:usb1="420024FF" w:usb2="02000000" w:usb3="00000000" w:csb0="0000019F" w:csb1="00000000"/>
    <w:embedRegular r:id="rId8" w:fontKey="{A9647985-655D-4C8E-B2C0-C938CB0BAF0F}"/>
    <w:embedItalic r:id="rId9" w:fontKey="{63530D81-8FD3-4228-92F4-86225814F0C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6EC2" w14:textId="77777777" w:rsidR="0002722C" w:rsidRDefault="0002722C">
    <w:pPr>
      <w:pBdr>
        <w:top w:val="nil"/>
        <w:left w:val="nil"/>
        <w:bottom w:val="nil"/>
        <w:right w:val="nil"/>
        <w:between w:val="nil"/>
      </w:pBdr>
      <w:tabs>
        <w:tab w:val="center" w:pos="4419"/>
        <w:tab w:val="right" w:pos="8838"/>
      </w:tabs>
      <w:jc w:val="center"/>
      <w:rPr>
        <w:rFonts w:ascii="Arial" w:eastAsia="Arial" w:hAnsi="Arial" w:cs="Arial"/>
        <w:color w:val="000000"/>
      </w:rPr>
    </w:pPr>
  </w:p>
  <w:p w14:paraId="133CFF3E" w14:textId="77777777" w:rsidR="0002722C" w:rsidRDefault="0002722C">
    <w:pPr>
      <w:pBdr>
        <w:top w:val="nil"/>
        <w:left w:val="nil"/>
        <w:bottom w:val="nil"/>
        <w:right w:val="nil"/>
        <w:between w:val="nil"/>
      </w:pBdr>
      <w:tabs>
        <w:tab w:val="center" w:pos="4419"/>
        <w:tab w:val="right" w:pos="8838"/>
      </w:tabs>
      <w:jc w:val="both"/>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03D2D" w14:textId="77777777" w:rsidR="00066FD7" w:rsidRDefault="00066FD7">
      <w:r>
        <w:separator/>
      </w:r>
    </w:p>
  </w:footnote>
  <w:footnote w:type="continuationSeparator" w:id="0">
    <w:p w14:paraId="277D0126" w14:textId="77777777" w:rsidR="00066FD7" w:rsidRDefault="00066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813A" w14:textId="77777777" w:rsidR="0002722C" w:rsidRDefault="00021130">
    <w:pPr>
      <w:pBdr>
        <w:top w:val="nil"/>
        <w:left w:val="nil"/>
        <w:bottom w:val="nil"/>
        <w:right w:val="nil"/>
        <w:between w:val="nil"/>
      </w:pBdr>
      <w:tabs>
        <w:tab w:val="center" w:pos="4419"/>
        <w:tab w:val="right" w:pos="8838"/>
      </w:tabs>
      <w:rPr>
        <w:color w:val="000000"/>
      </w:rPr>
    </w:pPr>
    <w:r>
      <w:rPr>
        <w:color w:val="000000"/>
      </w:rPr>
      <w:tab/>
    </w:r>
    <w:r>
      <w:rPr>
        <w:rFonts w:ascii="Calibri" w:eastAsia="Calibri" w:hAnsi="Calibri" w:cs="Calibri"/>
        <w:b/>
        <w:bCs/>
        <w:noProof/>
        <w:color w:val="000000"/>
        <w:sz w:val="40"/>
        <w:szCs w:val="40"/>
      </w:rPr>
      <w:drawing>
        <wp:inline distT="0" distB="0" distL="0" distR="0" wp14:anchorId="77CCAF3F" wp14:editId="026C07B1">
          <wp:extent cx="5086745" cy="1018477"/>
          <wp:effectExtent l="0" t="0" r="0" b="0"/>
          <wp:docPr id="749213291" name="image1.jpg" descr="S:\ÁREA COMUNICACIÓN\Diseño\1. Encabezado - Pies - Logos\logo-ENAP.jpg"/>
          <wp:cNvGraphicFramePr/>
          <a:graphic xmlns:a="http://schemas.openxmlformats.org/drawingml/2006/main">
            <a:graphicData uri="http://schemas.openxmlformats.org/drawingml/2006/picture">
              <pic:pic xmlns:pic="http://schemas.openxmlformats.org/drawingml/2006/picture">
                <pic:nvPicPr>
                  <pic:cNvPr id="0" name="image1.jpg" descr="S:\ÁREA COMUNICACIÓN\Diseño\1. Encabezado - Pies - Logos\logo-ENAP.jpg"/>
                  <pic:cNvPicPr preferRelativeResize="0"/>
                </pic:nvPicPr>
                <pic:blipFill>
                  <a:blip r:embed="rId1"/>
                  <a:srcRect/>
                  <a:stretch>
                    <a:fillRect/>
                  </a:stretch>
                </pic:blipFill>
                <pic:spPr>
                  <a:xfrm>
                    <a:off x="0" y="0"/>
                    <a:ext cx="5086745" cy="1018477"/>
                  </a:xfrm>
                  <a:prstGeom prst="rect">
                    <a:avLst/>
                  </a:prstGeom>
                  <a:ln/>
                </pic:spPr>
              </pic:pic>
            </a:graphicData>
          </a:graphic>
        </wp:inline>
      </w:drawing>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330"/>
    <w:multiLevelType w:val="hybridMultilevel"/>
    <w:tmpl w:val="74CC1F2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6645CF"/>
    <w:multiLevelType w:val="hybridMultilevel"/>
    <w:tmpl w:val="B8CE51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46FCE"/>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E3DC6"/>
    <w:multiLevelType w:val="hybridMultilevel"/>
    <w:tmpl w:val="4B08C0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C2AA2"/>
    <w:multiLevelType w:val="hybridMultilevel"/>
    <w:tmpl w:val="A20C4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634C0"/>
    <w:multiLevelType w:val="multilevel"/>
    <w:tmpl w:val="252EE02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F42652"/>
    <w:multiLevelType w:val="multilevel"/>
    <w:tmpl w:val="409050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903EE9"/>
    <w:multiLevelType w:val="hybridMultilevel"/>
    <w:tmpl w:val="54DC15DE"/>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FF245AF"/>
    <w:multiLevelType w:val="hybridMultilevel"/>
    <w:tmpl w:val="F6D4E7B4"/>
    <w:lvl w:ilvl="0" w:tplc="0EFA0D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65BB3"/>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337C41"/>
    <w:multiLevelType w:val="hybridMultilevel"/>
    <w:tmpl w:val="411E7948"/>
    <w:lvl w:ilvl="0" w:tplc="AEE0692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34F8A"/>
    <w:multiLevelType w:val="hybridMultilevel"/>
    <w:tmpl w:val="3CEED1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E2C7E"/>
    <w:multiLevelType w:val="hybridMultilevel"/>
    <w:tmpl w:val="BA640C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4A4F3C"/>
    <w:multiLevelType w:val="multilevel"/>
    <w:tmpl w:val="15A6E31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1F3340"/>
    <w:multiLevelType w:val="multilevel"/>
    <w:tmpl w:val="9A0890B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D9360F"/>
    <w:multiLevelType w:val="multilevel"/>
    <w:tmpl w:val="4DBA29B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0D70FA"/>
    <w:multiLevelType w:val="multilevel"/>
    <w:tmpl w:val="25C6888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B856F3"/>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C36F42"/>
    <w:multiLevelType w:val="hybridMultilevel"/>
    <w:tmpl w:val="1AFA2D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900C92"/>
    <w:multiLevelType w:val="multilevel"/>
    <w:tmpl w:val="5CAEE2E2"/>
    <w:lvl w:ilvl="0">
      <w:start w:val="1"/>
      <w:numFmt w:val="decimal"/>
      <w:pStyle w:val="Heading1"/>
      <w:lvlText w:val="%1."/>
      <w:lvlJc w:val="right"/>
      <w:pPr>
        <w:ind w:left="360" w:hanging="360"/>
      </w:pPr>
      <w:rPr>
        <w:b/>
        <w:bCs/>
        <w:sz w:val="28"/>
        <w:szCs w:val="28"/>
      </w:rPr>
    </w:lvl>
    <w:lvl w:ilvl="1">
      <w:start w:val="1"/>
      <w:numFmt w:val="decimal"/>
      <w:pStyle w:val="Heading2"/>
      <w:lvlText w:val="%1.%2."/>
      <w:lvlJc w:val="right"/>
      <w:pPr>
        <w:ind w:left="574" w:hanging="432"/>
      </w:pPr>
    </w:lvl>
    <w:lvl w:ilvl="2">
      <w:start w:val="1"/>
      <w:numFmt w:val="decimal"/>
      <w:pStyle w:val="Heading3"/>
      <w:lvlText w:val="%1.%2.%3."/>
      <w:lvlJc w:val="right"/>
      <w:pPr>
        <w:ind w:left="1224" w:hanging="504"/>
      </w:pPr>
    </w:lvl>
    <w:lvl w:ilvl="3">
      <w:start w:val="1"/>
      <w:numFmt w:val="decimal"/>
      <w:lvlText w:val="%1.%2.%3.%4."/>
      <w:lvlJc w:val="right"/>
      <w:pPr>
        <w:ind w:left="1728" w:hanging="647"/>
      </w:pPr>
    </w:lvl>
    <w:lvl w:ilvl="4">
      <w:start w:val="1"/>
      <w:numFmt w:val="bullet"/>
      <w:lvlText w:val="○"/>
      <w:lvlJc w:val="left"/>
      <w:pPr>
        <w:ind w:left="2232" w:hanging="792"/>
      </w:pPr>
    </w:lvl>
    <w:lvl w:ilvl="5">
      <w:start w:val="1"/>
      <w:numFmt w:val="decimal"/>
      <w:lvlText w:val="%1.%2.%3.%4.○.%6."/>
      <w:lvlJc w:val="right"/>
      <w:pPr>
        <w:ind w:left="2736" w:hanging="935"/>
      </w:pPr>
    </w:lvl>
    <w:lvl w:ilvl="6">
      <w:start w:val="1"/>
      <w:numFmt w:val="decimal"/>
      <w:lvlText w:val="%1.%2.%3.%4.○.%6.%7."/>
      <w:lvlJc w:val="right"/>
      <w:pPr>
        <w:ind w:left="3240" w:hanging="1080"/>
      </w:pPr>
    </w:lvl>
    <w:lvl w:ilvl="7">
      <w:start w:val="1"/>
      <w:numFmt w:val="decimal"/>
      <w:lvlText w:val="%1.%2.%3.%4.○.%6.%7.%8."/>
      <w:lvlJc w:val="right"/>
      <w:pPr>
        <w:ind w:left="3744" w:hanging="1224"/>
      </w:pPr>
    </w:lvl>
    <w:lvl w:ilvl="8">
      <w:start w:val="1"/>
      <w:numFmt w:val="decimal"/>
      <w:lvlText w:val="%1.%2.%3.%4.○.%6.%7.%8.%9."/>
      <w:lvlJc w:val="right"/>
      <w:pPr>
        <w:ind w:left="4320" w:hanging="1440"/>
      </w:pPr>
    </w:lvl>
  </w:abstractNum>
  <w:abstractNum w:abstractNumId="20" w15:restartNumberingAfterBreak="0">
    <w:nsid w:val="34FB3ED1"/>
    <w:multiLevelType w:val="multilevel"/>
    <w:tmpl w:val="4970ACF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E358A9"/>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0A173B"/>
    <w:multiLevelType w:val="hybridMultilevel"/>
    <w:tmpl w:val="B6BCDC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8149C"/>
    <w:multiLevelType w:val="multilevel"/>
    <w:tmpl w:val="7BCCA3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6A1598"/>
    <w:multiLevelType w:val="multilevel"/>
    <w:tmpl w:val="879867B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98770B"/>
    <w:multiLevelType w:val="multilevel"/>
    <w:tmpl w:val="E4E49C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C97B48"/>
    <w:multiLevelType w:val="multilevel"/>
    <w:tmpl w:val="52C6CD1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2D7125"/>
    <w:multiLevelType w:val="hybridMultilevel"/>
    <w:tmpl w:val="EBA4B22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64866"/>
    <w:multiLevelType w:val="hybridMultilevel"/>
    <w:tmpl w:val="80862694"/>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4A2945B4"/>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750AEB"/>
    <w:multiLevelType w:val="hybridMultilevel"/>
    <w:tmpl w:val="354ABC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347DC0"/>
    <w:multiLevelType w:val="hybridMultilevel"/>
    <w:tmpl w:val="09C2C9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D8117E6"/>
    <w:multiLevelType w:val="multilevel"/>
    <w:tmpl w:val="7BCCA3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006AEA"/>
    <w:multiLevelType w:val="multilevel"/>
    <w:tmpl w:val="447A64C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FC2028"/>
    <w:multiLevelType w:val="multilevel"/>
    <w:tmpl w:val="D74E5C2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700EFC"/>
    <w:multiLevelType w:val="hybridMultilevel"/>
    <w:tmpl w:val="EF8A24FC"/>
    <w:lvl w:ilvl="0" w:tplc="0409000F">
      <w:start w:val="1"/>
      <w:numFmt w:val="decimal"/>
      <w:lvlText w:val="%1."/>
      <w:lvlJc w:val="left"/>
      <w:pPr>
        <w:ind w:left="720" w:hanging="360"/>
      </w:pPr>
    </w:lvl>
    <w:lvl w:ilvl="1" w:tplc="22766DF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100329"/>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C27A51"/>
    <w:multiLevelType w:val="multilevel"/>
    <w:tmpl w:val="34261B2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CBA0EB1"/>
    <w:multiLevelType w:val="hybridMultilevel"/>
    <w:tmpl w:val="86366AE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EC91046"/>
    <w:multiLevelType w:val="multilevel"/>
    <w:tmpl w:val="E6C01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1E13F58"/>
    <w:multiLevelType w:val="multilevel"/>
    <w:tmpl w:val="E4E49C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24837A1"/>
    <w:multiLevelType w:val="multilevel"/>
    <w:tmpl w:val="2C122FA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3463C51"/>
    <w:multiLevelType w:val="multilevel"/>
    <w:tmpl w:val="DF3EC8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D12582"/>
    <w:multiLevelType w:val="hybridMultilevel"/>
    <w:tmpl w:val="A47A8C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FD0A8A"/>
    <w:multiLevelType w:val="hybridMultilevel"/>
    <w:tmpl w:val="E926F4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8463B4"/>
    <w:multiLevelType w:val="multilevel"/>
    <w:tmpl w:val="9308409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6867E0"/>
    <w:multiLevelType w:val="hybridMultilevel"/>
    <w:tmpl w:val="01820F00"/>
    <w:lvl w:ilvl="0" w:tplc="3370A4E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949A1"/>
    <w:multiLevelType w:val="hybridMultilevel"/>
    <w:tmpl w:val="DFC2CB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6D67CC"/>
    <w:multiLevelType w:val="multilevel"/>
    <w:tmpl w:val="3C0E530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D7D79BC"/>
    <w:multiLevelType w:val="hybridMultilevel"/>
    <w:tmpl w:val="08ECC6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08771231">
    <w:abstractNumId w:val="14"/>
  </w:num>
  <w:num w:numId="2" w16cid:durableId="577398891">
    <w:abstractNumId w:val="20"/>
  </w:num>
  <w:num w:numId="3" w16cid:durableId="518276742">
    <w:abstractNumId w:val="19"/>
  </w:num>
  <w:num w:numId="4" w16cid:durableId="1254779387">
    <w:abstractNumId w:val="39"/>
  </w:num>
  <w:num w:numId="5" w16cid:durableId="1497107749">
    <w:abstractNumId w:val="43"/>
  </w:num>
  <w:num w:numId="6" w16cid:durableId="515000125">
    <w:abstractNumId w:val="24"/>
  </w:num>
  <w:num w:numId="7" w16cid:durableId="60715062">
    <w:abstractNumId w:val="16"/>
  </w:num>
  <w:num w:numId="8" w16cid:durableId="760417606">
    <w:abstractNumId w:val="42"/>
  </w:num>
  <w:num w:numId="9" w16cid:durableId="1433011759">
    <w:abstractNumId w:val="34"/>
  </w:num>
  <w:num w:numId="10" w16cid:durableId="1671174752">
    <w:abstractNumId w:val="5"/>
  </w:num>
  <w:num w:numId="11" w16cid:durableId="1689795524">
    <w:abstractNumId w:val="41"/>
  </w:num>
  <w:num w:numId="12" w16cid:durableId="1532380181">
    <w:abstractNumId w:val="26"/>
  </w:num>
  <w:num w:numId="13" w16cid:durableId="25524822">
    <w:abstractNumId w:val="1"/>
  </w:num>
  <w:num w:numId="14" w16cid:durableId="1472208711">
    <w:abstractNumId w:val="37"/>
  </w:num>
  <w:num w:numId="15" w16cid:durableId="302538294">
    <w:abstractNumId w:val="3"/>
  </w:num>
  <w:num w:numId="16" w16cid:durableId="231814363">
    <w:abstractNumId w:val="45"/>
  </w:num>
  <w:num w:numId="17" w16cid:durableId="1918325549">
    <w:abstractNumId w:val="33"/>
  </w:num>
  <w:num w:numId="18" w16cid:durableId="2120492230">
    <w:abstractNumId w:val="13"/>
  </w:num>
  <w:num w:numId="19" w16cid:durableId="1246376303">
    <w:abstractNumId w:val="23"/>
  </w:num>
  <w:num w:numId="20" w16cid:durableId="891386633">
    <w:abstractNumId w:val="32"/>
  </w:num>
  <w:num w:numId="21" w16cid:durableId="756483516">
    <w:abstractNumId w:val="15"/>
  </w:num>
  <w:num w:numId="22" w16cid:durableId="1149201572">
    <w:abstractNumId w:val="6"/>
  </w:num>
  <w:num w:numId="23" w16cid:durableId="772751672">
    <w:abstractNumId w:val="31"/>
  </w:num>
  <w:num w:numId="24" w16cid:durableId="1104769444">
    <w:abstractNumId w:val="25"/>
  </w:num>
  <w:num w:numId="25" w16cid:durableId="1105658888">
    <w:abstractNumId w:val="40"/>
  </w:num>
  <w:num w:numId="26" w16cid:durableId="1783381905">
    <w:abstractNumId w:val="17"/>
  </w:num>
  <w:num w:numId="27" w16cid:durableId="375980103">
    <w:abstractNumId w:val="36"/>
  </w:num>
  <w:num w:numId="28" w16cid:durableId="796527286">
    <w:abstractNumId w:val="2"/>
  </w:num>
  <w:num w:numId="29" w16cid:durableId="2124953925">
    <w:abstractNumId w:val="29"/>
  </w:num>
  <w:num w:numId="30" w16cid:durableId="1958876612">
    <w:abstractNumId w:val="21"/>
  </w:num>
  <w:num w:numId="31" w16cid:durableId="1578829671">
    <w:abstractNumId w:val="9"/>
  </w:num>
  <w:num w:numId="32" w16cid:durableId="278342040">
    <w:abstractNumId w:val="12"/>
  </w:num>
  <w:num w:numId="33" w16cid:durableId="103043288">
    <w:abstractNumId w:val="27"/>
  </w:num>
  <w:num w:numId="34" w16cid:durableId="910699986">
    <w:abstractNumId w:val="4"/>
  </w:num>
  <w:num w:numId="35" w16cid:durableId="1279414317">
    <w:abstractNumId w:val="48"/>
  </w:num>
  <w:num w:numId="36" w16cid:durableId="922420112">
    <w:abstractNumId w:val="44"/>
  </w:num>
  <w:num w:numId="37" w16cid:durableId="2705373">
    <w:abstractNumId w:val="7"/>
  </w:num>
  <w:num w:numId="38" w16cid:durableId="315183194">
    <w:abstractNumId w:val="28"/>
  </w:num>
  <w:num w:numId="39" w16cid:durableId="1557667044">
    <w:abstractNumId w:val="0"/>
  </w:num>
  <w:num w:numId="40" w16cid:durableId="427850441">
    <w:abstractNumId w:val="35"/>
  </w:num>
  <w:num w:numId="41" w16cid:durableId="116683760">
    <w:abstractNumId w:val="49"/>
  </w:num>
  <w:num w:numId="42" w16cid:durableId="920214402">
    <w:abstractNumId w:val="38"/>
  </w:num>
  <w:num w:numId="43" w16cid:durableId="1373580181">
    <w:abstractNumId w:val="18"/>
  </w:num>
  <w:num w:numId="44" w16cid:durableId="161701668">
    <w:abstractNumId w:val="22"/>
  </w:num>
  <w:num w:numId="45" w16cid:durableId="805976658">
    <w:abstractNumId w:val="46"/>
  </w:num>
  <w:num w:numId="46" w16cid:durableId="900595946">
    <w:abstractNumId w:val="30"/>
  </w:num>
  <w:num w:numId="47" w16cid:durableId="1921404919">
    <w:abstractNumId w:val="8"/>
  </w:num>
  <w:num w:numId="48" w16cid:durableId="345375443">
    <w:abstractNumId w:val="47"/>
  </w:num>
  <w:num w:numId="49" w16cid:durableId="571961990">
    <w:abstractNumId w:val="10"/>
  </w:num>
  <w:num w:numId="50" w16cid:durableId="470826442">
    <w:abstractNumId w:val="1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22C"/>
    <w:rsid w:val="000001A5"/>
    <w:rsid w:val="00000D78"/>
    <w:rsid w:val="00001366"/>
    <w:rsid w:val="000014D0"/>
    <w:rsid w:val="00002CDF"/>
    <w:rsid w:val="0000327D"/>
    <w:rsid w:val="0000473D"/>
    <w:rsid w:val="00004F3C"/>
    <w:rsid w:val="000055CF"/>
    <w:rsid w:val="000060BE"/>
    <w:rsid w:val="00006A3C"/>
    <w:rsid w:val="00007520"/>
    <w:rsid w:val="00007BCF"/>
    <w:rsid w:val="00007CDB"/>
    <w:rsid w:val="00007CEB"/>
    <w:rsid w:val="000106AF"/>
    <w:rsid w:val="000125BB"/>
    <w:rsid w:val="000129F7"/>
    <w:rsid w:val="00012BFC"/>
    <w:rsid w:val="00012EEA"/>
    <w:rsid w:val="00013DEE"/>
    <w:rsid w:val="00013EE6"/>
    <w:rsid w:val="000140AE"/>
    <w:rsid w:val="0002098E"/>
    <w:rsid w:val="00021130"/>
    <w:rsid w:val="00021332"/>
    <w:rsid w:val="000213AE"/>
    <w:rsid w:val="000229DE"/>
    <w:rsid w:val="00023C66"/>
    <w:rsid w:val="0002527A"/>
    <w:rsid w:val="000255A1"/>
    <w:rsid w:val="000255FA"/>
    <w:rsid w:val="0002722C"/>
    <w:rsid w:val="00027C96"/>
    <w:rsid w:val="0003226B"/>
    <w:rsid w:val="00032C9C"/>
    <w:rsid w:val="00034A95"/>
    <w:rsid w:val="00034BC6"/>
    <w:rsid w:val="00036D5D"/>
    <w:rsid w:val="00036D89"/>
    <w:rsid w:val="00037EE9"/>
    <w:rsid w:val="0004023D"/>
    <w:rsid w:val="00042576"/>
    <w:rsid w:val="00042F91"/>
    <w:rsid w:val="0004315F"/>
    <w:rsid w:val="00045782"/>
    <w:rsid w:val="0004662B"/>
    <w:rsid w:val="0004700B"/>
    <w:rsid w:val="0004735D"/>
    <w:rsid w:val="000527B4"/>
    <w:rsid w:val="000530FC"/>
    <w:rsid w:val="0005442E"/>
    <w:rsid w:val="0005443C"/>
    <w:rsid w:val="000549B1"/>
    <w:rsid w:val="00056480"/>
    <w:rsid w:val="00060826"/>
    <w:rsid w:val="0006119A"/>
    <w:rsid w:val="000612C7"/>
    <w:rsid w:val="00061BAC"/>
    <w:rsid w:val="000628C7"/>
    <w:rsid w:val="00062D5D"/>
    <w:rsid w:val="00064008"/>
    <w:rsid w:val="00066089"/>
    <w:rsid w:val="0006627F"/>
    <w:rsid w:val="00066D42"/>
    <w:rsid w:val="00066FD7"/>
    <w:rsid w:val="000718CD"/>
    <w:rsid w:val="00073BAD"/>
    <w:rsid w:val="00073D56"/>
    <w:rsid w:val="000757BE"/>
    <w:rsid w:val="00075A7F"/>
    <w:rsid w:val="00077253"/>
    <w:rsid w:val="00081095"/>
    <w:rsid w:val="00081456"/>
    <w:rsid w:val="000821D0"/>
    <w:rsid w:val="00083CF2"/>
    <w:rsid w:val="000841CA"/>
    <w:rsid w:val="000843AB"/>
    <w:rsid w:val="000843C1"/>
    <w:rsid w:val="000862F1"/>
    <w:rsid w:val="00092ABD"/>
    <w:rsid w:val="00093F95"/>
    <w:rsid w:val="00094368"/>
    <w:rsid w:val="00094F7D"/>
    <w:rsid w:val="0009548A"/>
    <w:rsid w:val="000958E3"/>
    <w:rsid w:val="0009641D"/>
    <w:rsid w:val="0009766D"/>
    <w:rsid w:val="00097BE0"/>
    <w:rsid w:val="00097EBC"/>
    <w:rsid w:val="000A034A"/>
    <w:rsid w:val="000A0BCF"/>
    <w:rsid w:val="000A1646"/>
    <w:rsid w:val="000A2266"/>
    <w:rsid w:val="000A2629"/>
    <w:rsid w:val="000A2A94"/>
    <w:rsid w:val="000A4096"/>
    <w:rsid w:val="000A4232"/>
    <w:rsid w:val="000A43C7"/>
    <w:rsid w:val="000A4702"/>
    <w:rsid w:val="000A4F88"/>
    <w:rsid w:val="000A532D"/>
    <w:rsid w:val="000A5770"/>
    <w:rsid w:val="000A5AD5"/>
    <w:rsid w:val="000A6156"/>
    <w:rsid w:val="000A704D"/>
    <w:rsid w:val="000B15DC"/>
    <w:rsid w:val="000B3265"/>
    <w:rsid w:val="000B3C59"/>
    <w:rsid w:val="000B4D30"/>
    <w:rsid w:val="000B5914"/>
    <w:rsid w:val="000B6DC9"/>
    <w:rsid w:val="000C00F0"/>
    <w:rsid w:val="000C0C23"/>
    <w:rsid w:val="000C17B0"/>
    <w:rsid w:val="000C1D41"/>
    <w:rsid w:val="000C1DB3"/>
    <w:rsid w:val="000C3797"/>
    <w:rsid w:val="000C41D8"/>
    <w:rsid w:val="000C4743"/>
    <w:rsid w:val="000C671E"/>
    <w:rsid w:val="000C6A93"/>
    <w:rsid w:val="000C6B33"/>
    <w:rsid w:val="000C77EB"/>
    <w:rsid w:val="000D0772"/>
    <w:rsid w:val="000D3904"/>
    <w:rsid w:val="000D40BB"/>
    <w:rsid w:val="000D4306"/>
    <w:rsid w:val="000D4B74"/>
    <w:rsid w:val="000D717D"/>
    <w:rsid w:val="000D7403"/>
    <w:rsid w:val="000D770F"/>
    <w:rsid w:val="000D77E2"/>
    <w:rsid w:val="000E1919"/>
    <w:rsid w:val="000E1AF3"/>
    <w:rsid w:val="000E2BA1"/>
    <w:rsid w:val="000E30B3"/>
    <w:rsid w:val="000E357F"/>
    <w:rsid w:val="000E3CFC"/>
    <w:rsid w:val="000E43CF"/>
    <w:rsid w:val="000E611F"/>
    <w:rsid w:val="000E625E"/>
    <w:rsid w:val="000F04B9"/>
    <w:rsid w:val="000F1B06"/>
    <w:rsid w:val="000F2603"/>
    <w:rsid w:val="000F2FBF"/>
    <w:rsid w:val="000F3B7C"/>
    <w:rsid w:val="000F474B"/>
    <w:rsid w:val="000F6247"/>
    <w:rsid w:val="000F77AE"/>
    <w:rsid w:val="000F7A69"/>
    <w:rsid w:val="001002B9"/>
    <w:rsid w:val="0010041F"/>
    <w:rsid w:val="00100B24"/>
    <w:rsid w:val="00103AFD"/>
    <w:rsid w:val="001051AA"/>
    <w:rsid w:val="0010619E"/>
    <w:rsid w:val="001106DE"/>
    <w:rsid w:val="001108DD"/>
    <w:rsid w:val="00110E78"/>
    <w:rsid w:val="00110EB5"/>
    <w:rsid w:val="00111E4E"/>
    <w:rsid w:val="00112212"/>
    <w:rsid w:val="00112ADA"/>
    <w:rsid w:val="00112C90"/>
    <w:rsid w:val="00112FB8"/>
    <w:rsid w:val="00114AE6"/>
    <w:rsid w:val="00114B35"/>
    <w:rsid w:val="00116816"/>
    <w:rsid w:val="00116FC2"/>
    <w:rsid w:val="00120BE7"/>
    <w:rsid w:val="00121256"/>
    <w:rsid w:val="00121E82"/>
    <w:rsid w:val="001235CD"/>
    <w:rsid w:val="001237ED"/>
    <w:rsid w:val="00124019"/>
    <w:rsid w:val="00125ACD"/>
    <w:rsid w:val="00125CC0"/>
    <w:rsid w:val="00125EBC"/>
    <w:rsid w:val="001263AC"/>
    <w:rsid w:val="0012650D"/>
    <w:rsid w:val="001269E8"/>
    <w:rsid w:val="00127D92"/>
    <w:rsid w:val="00131B15"/>
    <w:rsid w:val="001325B9"/>
    <w:rsid w:val="00132EA5"/>
    <w:rsid w:val="001333FC"/>
    <w:rsid w:val="00135147"/>
    <w:rsid w:val="001369AB"/>
    <w:rsid w:val="00137B91"/>
    <w:rsid w:val="0014186A"/>
    <w:rsid w:val="001421D7"/>
    <w:rsid w:val="001439B5"/>
    <w:rsid w:val="00144AA5"/>
    <w:rsid w:val="0014550A"/>
    <w:rsid w:val="00145763"/>
    <w:rsid w:val="00145971"/>
    <w:rsid w:val="001459BF"/>
    <w:rsid w:val="001507CB"/>
    <w:rsid w:val="00150B2E"/>
    <w:rsid w:val="00150DB0"/>
    <w:rsid w:val="00152077"/>
    <w:rsid w:val="00153172"/>
    <w:rsid w:val="00153E13"/>
    <w:rsid w:val="001546A8"/>
    <w:rsid w:val="00155DE2"/>
    <w:rsid w:val="00155E3F"/>
    <w:rsid w:val="00157444"/>
    <w:rsid w:val="00160366"/>
    <w:rsid w:val="00160CCB"/>
    <w:rsid w:val="001619EE"/>
    <w:rsid w:val="00162C0F"/>
    <w:rsid w:val="001648AE"/>
    <w:rsid w:val="0016548A"/>
    <w:rsid w:val="00167F34"/>
    <w:rsid w:val="001701A0"/>
    <w:rsid w:val="001715D0"/>
    <w:rsid w:val="001718DD"/>
    <w:rsid w:val="00172B9D"/>
    <w:rsid w:val="001739F9"/>
    <w:rsid w:val="00173E94"/>
    <w:rsid w:val="00176C17"/>
    <w:rsid w:val="00180254"/>
    <w:rsid w:val="001802CD"/>
    <w:rsid w:val="00180522"/>
    <w:rsid w:val="00180CF8"/>
    <w:rsid w:val="00181F35"/>
    <w:rsid w:val="001822E1"/>
    <w:rsid w:val="00182473"/>
    <w:rsid w:val="001831E2"/>
    <w:rsid w:val="0018558D"/>
    <w:rsid w:val="0018617F"/>
    <w:rsid w:val="001865D7"/>
    <w:rsid w:val="00187EF7"/>
    <w:rsid w:val="0019046E"/>
    <w:rsid w:val="001906E2"/>
    <w:rsid w:val="001908D2"/>
    <w:rsid w:val="0019112B"/>
    <w:rsid w:val="00191665"/>
    <w:rsid w:val="00191748"/>
    <w:rsid w:val="00191931"/>
    <w:rsid w:val="00192D60"/>
    <w:rsid w:val="00193DC5"/>
    <w:rsid w:val="00195956"/>
    <w:rsid w:val="001A043A"/>
    <w:rsid w:val="001A0482"/>
    <w:rsid w:val="001A0484"/>
    <w:rsid w:val="001A468B"/>
    <w:rsid w:val="001A5782"/>
    <w:rsid w:val="001A588A"/>
    <w:rsid w:val="001A6C4F"/>
    <w:rsid w:val="001A776D"/>
    <w:rsid w:val="001B178F"/>
    <w:rsid w:val="001B1C38"/>
    <w:rsid w:val="001B769D"/>
    <w:rsid w:val="001C018B"/>
    <w:rsid w:val="001C0744"/>
    <w:rsid w:val="001C116C"/>
    <w:rsid w:val="001C1927"/>
    <w:rsid w:val="001C1B6B"/>
    <w:rsid w:val="001C1D69"/>
    <w:rsid w:val="001C239F"/>
    <w:rsid w:val="001C2A1A"/>
    <w:rsid w:val="001C37BF"/>
    <w:rsid w:val="001C396C"/>
    <w:rsid w:val="001C4D17"/>
    <w:rsid w:val="001C4E25"/>
    <w:rsid w:val="001C58D2"/>
    <w:rsid w:val="001C5CDE"/>
    <w:rsid w:val="001C5DB9"/>
    <w:rsid w:val="001C5EF9"/>
    <w:rsid w:val="001C7435"/>
    <w:rsid w:val="001C7437"/>
    <w:rsid w:val="001C76FF"/>
    <w:rsid w:val="001D1168"/>
    <w:rsid w:val="001D241B"/>
    <w:rsid w:val="001D322E"/>
    <w:rsid w:val="001D5078"/>
    <w:rsid w:val="001D5732"/>
    <w:rsid w:val="001E062A"/>
    <w:rsid w:val="001E0A87"/>
    <w:rsid w:val="001E1AD1"/>
    <w:rsid w:val="001E207D"/>
    <w:rsid w:val="001E2618"/>
    <w:rsid w:val="001E28F2"/>
    <w:rsid w:val="001E2978"/>
    <w:rsid w:val="001E4183"/>
    <w:rsid w:val="001E699F"/>
    <w:rsid w:val="001E6DA3"/>
    <w:rsid w:val="001E78B8"/>
    <w:rsid w:val="001E7F5E"/>
    <w:rsid w:val="001F0A0F"/>
    <w:rsid w:val="001F0AE3"/>
    <w:rsid w:val="001F16C4"/>
    <w:rsid w:val="001F1794"/>
    <w:rsid w:val="001F2126"/>
    <w:rsid w:val="001F22D0"/>
    <w:rsid w:val="001F2D36"/>
    <w:rsid w:val="001F3E75"/>
    <w:rsid w:val="001F5CA5"/>
    <w:rsid w:val="00200DD9"/>
    <w:rsid w:val="0020101A"/>
    <w:rsid w:val="00203694"/>
    <w:rsid w:val="00203EED"/>
    <w:rsid w:val="00204142"/>
    <w:rsid w:val="0020433D"/>
    <w:rsid w:val="002069CD"/>
    <w:rsid w:val="002073EA"/>
    <w:rsid w:val="00207E29"/>
    <w:rsid w:val="0021053B"/>
    <w:rsid w:val="002109B4"/>
    <w:rsid w:val="0021105F"/>
    <w:rsid w:val="00211715"/>
    <w:rsid w:val="00211883"/>
    <w:rsid w:val="00211B00"/>
    <w:rsid w:val="0021231A"/>
    <w:rsid w:val="002158B7"/>
    <w:rsid w:val="00215E79"/>
    <w:rsid w:val="002163D2"/>
    <w:rsid w:val="00220F62"/>
    <w:rsid w:val="002212DB"/>
    <w:rsid w:val="00223C58"/>
    <w:rsid w:val="0022455A"/>
    <w:rsid w:val="00225792"/>
    <w:rsid w:val="00226881"/>
    <w:rsid w:val="002269E8"/>
    <w:rsid w:val="00227CB5"/>
    <w:rsid w:val="00227E73"/>
    <w:rsid w:val="0023200F"/>
    <w:rsid w:val="00234D8E"/>
    <w:rsid w:val="002359DB"/>
    <w:rsid w:val="002366D2"/>
    <w:rsid w:val="0024098B"/>
    <w:rsid w:val="002440B8"/>
    <w:rsid w:val="002460D3"/>
    <w:rsid w:val="00246B4F"/>
    <w:rsid w:val="00253636"/>
    <w:rsid w:val="00254A8D"/>
    <w:rsid w:val="002569A4"/>
    <w:rsid w:val="00256C0D"/>
    <w:rsid w:val="002600E5"/>
    <w:rsid w:val="002617BC"/>
    <w:rsid w:val="00261A5F"/>
    <w:rsid w:val="00263CB2"/>
    <w:rsid w:val="002660EB"/>
    <w:rsid w:val="00266CE2"/>
    <w:rsid w:val="002675FD"/>
    <w:rsid w:val="00270BB3"/>
    <w:rsid w:val="002711FA"/>
    <w:rsid w:val="00272E2E"/>
    <w:rsid w:val="002732E9"/>
    <w:rsid w:val="00273999"/>
    <w:rsid w:val="00274648"/>
    <w:rsid w:val="002746EE"/>
    <w:rsid w:val="00274D3D"/>
    <w:rsid w:val="00275321"/>
    <w:rsid w:val="0027543B"/>
    <w:rsid w:val="00277812"/>
    <w:rsid w:val="00277AD9"/>
    <w:rsid w:val="00280665"/>
    <w:rsid w:val="00280ABC"/>
    <w:rsid w:val="00280E94"/>
    <w:rsid w:val="0028113D"/>
    <w:rsid w:val="00282346"/>
    <w:rsid w:val="00283FE0"/>
    <w:rsid w:val="00284A7F"/>
    <w:rsid w:val="002866D5"/>
    <w:rsid w:val="00286EF1"/>
    <w:rsid w:val="00287126"/>
    <w:rsid w:val="002871AA"/>
    <w:rsid w:val="00287D32"/>
    <w:rsid w:val="002910DA"/>
    <w:rsid w:val="00292830"/>
    <w:rsid w:val="00293378"/>
    <w:rsid w:val="002933A9"/>
    <w:rsid w:val="00295885"/>
    <w:rsid w:val="00295D2A"/>
    <w:rsid w:val="00295FF5"/>
    <w:rsid w:val="002961F4"/>
    <w:rsid w:val="00296C58"/>
    <w:rsid w:val="002A063D"/>
    <w:rsid w:val="002A1679"/>
    <w:rsid w:val="002A1998"/>
    <w:rsid w:val="002A1CFE"/>
    <w:rsid w:val="002A2DA4"/>
    <w:rsid w:val="002A2DCA"/>
    <w:rsid w:val="002A35D6"/>
    <w:rsid w:val="002A3B94"/>
    <w:rsid w:val="002A41B0"/>
    <w:rsid w:val="002A5B78"/>
    <w:rsid w:val="002A5EBA"/>
    <w:rsid w:val="002A6923"/>
    <w:rsid w:val="002A6A71"/>
    <w:rsid w:val="002A7003"/>
    <w:rsid w:val="002A7A7B"/>
    <w:rsid w:val="002A7FDF"/>
    <w:rsid w:val="002B139A"/>
    <w:rsid w:val="002B1B0B"/>
    <w:rsid w:val="002B2851"/>
    <w:rsid w:val="002B2B28"/>
    <w:rsid w:val="002B4AD6"/>
    <w:rsid w:val="002B5E81"/>
    <w:rsid w:val="002B5FC6"/>
    <w:rsid w:val="002B713A"/>
    <w:rsid w:val="002C0349"/>
    <w:rsid w:val="002C27B6"/>
    <w:rsid w:val="002C4A7B"/>
    <w:rsid w:val="002C51D2"/>
    <w:rsid w:val="002C5632"/>
    <w:rsid w:val="002C587B"/>
    <w:rsid w:val="002C5C8D"/>
    <w:rsid w:val="002C6F73"/>
    <w:rsid w:val="002D0C10"/>
    <w:rsid w:val="002D1432"/>
    <w:rsid w:val="002D1947"/>
    <w:rsid w:val="002D2D1C"/>
    <w:rsid w:val="002D3AA6"/>
    <w:rsid w:val="002D547C"/>
    <w:rsid w:val="002D581D"/>
    <w:rsid w:val="002D7099"/>
    <w:rsid w:val="002E0B2B"/>
    <w:rsid w:val="002E12FA"/>
    <w:rsid w:val="002E13E1"/>
    <w:rsid w:val="002E1C37"/>
    <w:rsid w:val="002E2374"/>
    <w:rsid w:val="002E30DA"/>
    <w:rsid w:val="002E518C"/>
    <w:rsid w:val="002E5A2C"/>
    <w:rsid w:val="002E7A57"/>
    <w:rsid w:val="002E7DE0"/>
    <w:rsid w:val="002F0851"/>
    <w:rsid w:val="002F0EED"/>
    <w:rsid w:val="002F1BEC"/>
    <w:rsid w:val="002F1FCB"/>
    <w:rsid w:val="002F2774"/>
    <w:rsid w:val="002F2A51"/>
    <w:rsid w:val="002F3B63"/>
    <w:rsid w:val="002F51EE"/>
    <w:rsid w:val="00300240"/>
    <w:rsid w:val="00300B1F"/>
    <w:rsid w:val="003026D7"/>
    <w:rsid w:val="00303E93"/>
    <w:rsid w:val="00303EC0"/>
    <w:rsid w:val="00305A8C"/>
    <w:rsid w:val="003061C2"/>
    <w:rsid w:val="00306203"/>
    <w:rsid w:val="0030735A"/>
    <w:rsid w:val="00307719"/>
    <w:rsid w:val="00307EE6"/>
    <w:rsid w:val="003100C5"/>
    <w:rsid w:val="00311602"/>
    <w:rsid w:val="00312AF6"/>
    <w:rsid w:val="00312E63"/>
    <w:rsid w:val="003138C0"/>
    <w:rsid w:val="0031409E"/>
    <w:rsid w:val="0031448C"/>
    <w:rsid w:val="00314716"/>
    <w:rsid w:val="00314EF9"/>
    <w:rsid w:val="0031513D"/>
    <w:rsid w:val="003154DB"/>
    <w:rsid w:val="00315A91"/>
    <w:rsid w:val="00315CE5"/>
    <w:rsid w:val="00316986"/>
    <w:rsid w:val="0032087F"/>
    <w:rsid w:val="003220D6"/>
    <w:rsid w:val="003231CF"/>
    <w:rsid w:val="00325993"/>
    <w:rsid w:val="003300D6"/>
    <w:rsid w:val="003307D5"/>
    <w:rsid w:val="0033091F"/>
    <w:rsid w:val="0033275F"/>
    <w:rsid w:val="0033489F"/>
    <w:rsid w:val="00335111"/>
    <w:rsid w:val="00335DD5"/>
    <w:rsid w:val="00337373"/>
    <w:rsid w:val="00337B9A"/>
    <w:rsid w:val="00340A12"/>
    <w:rsid w:val="00341D16"/>
    <w:rsid w:val="00343C1C"/>
    <w:rsid w:val="003443D5"/>
    <w:rsid w:val="0034643B"/>
    <w:rsid w:val="0035024C"/>
    <w:rsid w:val="0035040D"/>
    <w:rsid w:val="00350529"/>
    <w:rsid w:val="00350E19"/>
    <w:rsid w:val="00351E41"/>
    <w:rsid w:val="00353729"/>
    <w:rsid w:val="003539C6"/>
    <w:rsid w:val="00354424"/>
    <w:rsid w:val="00354C1D"/>
    <w:rsid w:val="003554C6"/>
    <w:rsid w:val="003575C1"/>
    <w:rsid w:val="00357BAC"/>
    <w:rsid w:val="00360107"/>
    <w:rsid w:val="0036085F"/>
    <w:rsid w:val="00361F89"/>
    <w:rsid w:val="00362360"/>
    <w:rsid w:val="0036287F"/>
    <w:rsid w:val="0036401A"/>
    <w:rsid w:val="00365073"/>
    <w:rsid w:val="0036663A"/>
    <w:rsid w:val="00366678"/>
    <w:rsid w:val="00367081"/>
    <w:rsid w:val="003674CD"/>
    <w:rsid w:val="00367779"/>
    <w:rsid w:val="00367861"/>
    <w:rsid w:val="0037014B"/>
    <w:rsid w:val="003738CA"/>
    <w:rsid w:val="003740FF"/>
    <w:rsid w:val="003742C2"/>
    <w:rsid w:val="003744DB"/>
    <w:rsid w:val="00374500"/>
    <w:rsid w:val="00374770"/>
    <w:rsid w:val="00374B28"/>
    <w:rsid w:val="00375675"/>
    <w:rsid w:val="00380309"/>
    <w:rsid w:val="0038155C"/>
    <w:rsid w:val="00381566"/>
    <w:rsid w:val="00381828"/>
    <w:rsid w:val="0038255F"/>
    <w:rsid w:val="00383AC8"/>
    <w:rsid w:val="00386F2F"/>
    <w:rsid w:val="003906D6"/>
    <w:rsid w:val="00390D95"/>
    <w:rsid w:val="00391084"/>
    <w:rsid w:val="003914C4"/>
    <w:rsid w:val="00391CF5"/>
    <w:rsid w:val="00392907"/>
    <w:rsid w:val="00392A24"/>
    <w:rsid w:val="003932FF"/>
    <w:rsid w:val="00393889"/>
    <w:rsid w:val="0039397B"/>
    <w:rsid w:val="00394D12"/>
    <w:rsid w:val="0039690B"/>
    <w:rsid w:val="00396D7C"/>
    <w:rsid w:val="003977AA"/>
    <w:rsid w:val="003A0BAD"/>
    <w:rsid w:val="003A0DF7"/>
    <w:rsid w:val="003A1958"/>
    <w:rsid w:val="003A2675"/>
    <w:rsid w:val="003A3570"/>
    <w:rsid w:val="003A43EA"/>
    <w:rsid w:val="003A6EC1"/>
    <w:rsid w:val="003A71E7"/>
    <w:rsid w:val="003A72BE"/>
    <w:rsid w:val="003A78A7"/>
    <w:rsid w:val="003B006E"/>
    <w:rsid w:val="003B0F4A"/>
    <w:rsid w:val="003B12F4"/>
    <w:rsid w:val="003B27E3"/>
    <w:rsid w:val="003B419A"/>
    <w:rsid w:val="003B53DD"/>
    <w:rsid w:val="003B66C0"/>
    <w:rsid w:val="003B6A19"/>
    <w:rsid w:val="003B7187"/>
    <w:rsid w:val="003C011F"/>
    <w:rsid w:val="003C0713"/>
    <w:rsid w:val="003C197E"/>
    <w:rsid w:val="003C212B"/>
    <w:rsid w:val="003C5F24"/>
    <w:rsid w:val="003C730B"/>
    <w:rsid w:val="003C7E98"/>
    <w:rsid w:val="003D1108"/>
    <w:rsid w:val="003D162F"/>
    <w:rsid w:val="003D22C1"/>
    <w:rsid w:val="003D2386"/>
    <w:rsid w:val="003D371D"/>
    <w:rsid w:val="003D564E"/>
    <w:rsid w:val="003D5B6F"/>
    <w:rsid w:val="003D61CB"/>
    <w:rsid w:val="003D6341"/>
    <w:rsid w:val="003D6BD5"/>
    <w:rsid w:val="003D6D40"/>
    <w:rsid w:val="003D75C1"/>
    <w:rsid w:val="003E0558"/>
    <w:rsid w:val="003E0C5B"/>
    <w:rsid w:val="003E17EA"/>
    <w:rsid w:val="003E4378"/>
    <w:rsid w:val="003E4447"/>
    <w:rsid w:val="003E59B8"/>
    <w:rsid w:val="003F0370"/>
    <w:rsid w:val="003F067F"/>
    <w:rsid w:val="003F08F1"/>
    <w:rsid w:val="003F215D"/>
    <w:rsid w:val="003F2C71"/>
    <w:rsid w:val="003F2C9A"/>
    <w:rsid w:val="003F3715"/>
    <w:rsid w:val="003F382D"/>
    <w:rsid w:val="003F427D"/>
    <w:rsid w:val="003F707D"/>
    <w:rsid w:val="00400D93"/>
    <w:rsid w:val="00400F1D"/>
    <w:rsid w:val="00401A8F"/>
    <w:rsid w:val="00401B39"/>
    <w:rsid w:val="00402229"/>
    <w:rsid w:val="00402F8B"/>
    <w:rsid w:val="0040347D"/>
    <w:rsid w:val="0040406B"/>
    <w:rsid w:val="004052F7"/>
    <w:rsid w:val="00405A2C"/>
    <w:rsid w:val="004063E9"/>
    <w:rsid w:val="00406419"/>
    <w:rsid w:val="004075A0"/>
    <w:rsid w:val="0040777B"/>
    <w:rsid w:val="00410D77"/>
    <w:rsid w:val="00412023"/>
    <w:rsid w:val="00412117"/>
    <w:rsid w:val="004126A9"/>
    <w:rsid w:val="00412971"/>
    <w:rsid w:val="004149EC"/>
    <w:rsid w:val="004150F4"/>
    <w:rsid w:val="00415937"/>
    <w:rsid w:val="00415AA5"/>
    <w:rsid w:val="00415ACD"/>
    <w:rsid w:val="00415BD0"/>
    <w:rsid w:val="0041728F"/>
    <w:rsid w:val="00417599"/>
    <w:rsid w:val="00417707"/>
    <w:rsid w:val="004201F0"/>
    <w:rsid w:val="0042115C"/>
    <w:rsid w:val="00421DF8"/>
    <w:rsid w:val="00422CB8"/>
    <w:rsid w:val="00424C31"/>
    <w:rsid w:val="00425100"/>
    <w:rsid w:val="004301F2"/>
    <w:rsid w:val="00430A58"/>
    <w:rsid w:val="00430DD5"/>
    <w:rsid w:val="00431A8B"/>
    <w:rsid w:val="004329B6"/>
    <w:rsid w:val="00432E73"/>
    <w:rsid w:val="004338B0"/>
    <w:rsid w:val="00433A77"/>
    <w:rsid w:val="004347BE"/>
    <w:rsid w:val="00434E40"/>
    <w:rsid w:val="00435020"/>
    <w:rsid w:val="00440C4B"/>
    <w:rsid w:val="004422D7"/>
    <w:rsid w:val="00442824"/>
    <w:rsid w:val="00443E1B"/>
    <w:rsid w:val="004440FB"/>
    <w:rsid w:val="00444288"/>
    <w:rsid w:val="004477E0"/>
    <w:rsid w:val="004505A1"/>
    <w:rsid w:val="004506ED"/>
    <w:rsid w:val="004507DA"/>
    <w:rsid w:val="00451652"/>
    <w:rsid w:val="0045448E"/>
    <w:rsid w:val="004550E2"/>
    <w:rsid w:val="00457213"/>
    <w:rsid w:val="004612BD"/>
    <w:rsid w:val="00462D2A"/>
    <w:rsid w:val="004630C9"/>
    <w:rsid w:val="00464A56"/>
    <w:rsid w:val="004653CE"/>
    <w:rsid w:val="00465A83"/>
    <w:rsid w:val="00465CAC"/>
    <w:rsid w:val="0046638F"/>
    <w:rsid w:val="00466F5E"/>
    <w:rsid w:val="00467FE9"/>
    <w:rsid w:val="00471C19"/>
    <w:rsid w:val="004721BC"/>
    <w:rsid w:val="00472CE8"/>
    <w:rsid w:val="00473071"/>
    <w:rsid w:val="00473834"/>
    <w:rsid w:val="004747F6"/>
    <w:rsid w:val="004754EC"/>
    <w:rsid w:val="004762C0"/>
    <w:rsid w:val="00476E4D"/>
    <w:rsid w:val="00476FAD"/>
    <w:rsid w:val="0047707C"/>
    <w:rsid w:val="00477BCF"/>
    <w:rsid w:val="004803A0"/>
    <w:rsid w:val="0048255E"/>
    <w:rsid w:val="004843A7"/>
    <w:rsid w:val="00491224"/>
    <w:rsid w:val="00491DC7"/>
    <w:rsid w:val="00492A31"/>
    <w:rsid w:val="00493C9F"/>
    <w:rsid w:val="004945C7"/>
    <w:rsid w:val="00494987"/>
    <w:rsid w:val="0049505C"/>
    <w:rsid w:val="0049605B"/>
    <w:rsid w:val="00496559"/>
    <w:rsid w:val="004976D0"/>
    <w:rsid w:val="00497A4C"/>
    <w:rsid w:val="00497CD9"/>
    <w:rsid w:val="004A045C"/>
    <w:rsid w:val="004A10C1"/>
    <w:rsid w:val="004A1D99"/>
    <w:rsid w:val="004A22A7"/>
    <w:rsid w:val="004A271E"/>
    <w:rsid w:val="004A2777"/>
    <w:rsid w:val="004A416B"/>
    <w:rsid w:val="004A5B54"/>
    <w:rsid w:val="004A6D76"/>
    <w:rsid w:val="004A735B"/>
    <w:rsid w:val="004A748A"/>
    <w:rsid w:val="004A7788"/>
    <w:rsid w:val="004B090F"/>
    <w:rsid w:val="004B15ED"/>
    <w:rsid w:val="004B18B1"/>
    <w:rsid w:val="004B2681"/>
    <w:rsid w:val="004B4457"/>
    <w:rsid w:val="004B7E82"/>
    <w:rsid w:val="004B7F6E"/>
    <w:rsid w:val="004C1D04"/>
    <w:rsid w:val="004C1E3E"/>
    <w:rsid w:val="004D07D3"/>
    <w:rsid w:val="004D138E"/>
    <w:rsid w:val="004D2D37"/>
    <w:rsid w:val="004D385A"/>
    <w:rsid w:val="004D3979"/>
    <w:rsid w:val="004D3D7A"/>
    <w:rsid w:val="004D49C9"/>
    <w:rsid w:val="004D63FF"/>
    <w:rsid w:val="004D6EE4"/>
    <w:rsid w:val="004D7D0C"/>
    <w:rsid w:val="004E15CF"/>
    <w:rsid w:val="004E1652"/>
    <w:rsid w:val="004E258C"/>
    <w:rsid w:val="004E29A6"/>
    <w:rsid w:val="004E3E20"/>
    <w:rsid w:val="004E455B"/>
    <w:rsid w:val="004E4EAB"/>
    <w:rsid w:val="004E5179"/>
    <w:rsid w:val="004E557D"/>
    <w:rsid w:val="004E5E17"/>
    <w:rsid w:val="004E6EE8"/>
    <w:rsid w:val="004E7486"/>
    <w:rsid w:val="004F03F0"/>
    <w:rsid w:val="004F11CE"/>
    <w:rsid w:val="004F1825"/>
    <w:rsid w:val="004F23CE"/>
    <w:rsid w:val="004F2BBD"/>
    <w:rsid w:val="004F2D71"/>
    <w:rsid w:val="004F3475"/>
    <w:rsid w:val="004F3750"/>
    <w:rsid w:val="004F48F7"/>
    <w:rsid w:val="004F4C4A"/>
    <w:rsid w:val="004F50D2"/>
    <w:rsid w:val="004F515F"/>
    <w:rsid w:val="004F586F"/>
    <w:rsid w:val="004F630F"/>
    <w:rsid w:val="004F66B7"/>
    <w:rsid w:val="004F66B9"/>
    <w:rsid w:val="004F79C6"/>
    <w:rsid w:val="0050020D"/>
    <w:rsid w:val="005002C7"/>
    <w:rsid w:val="00500EF4"/>
    <w:rsid w:val="0050188C"/>
    <w:rsid w:val="005030C2"/>
    <w:rsid w:val="00503ABD"/>
    <w:rsid w:val="005042AD"/>
    <w:rsid w:val="00504FF8"/>
    <w:rsid w:val="0050543F"/>
    <w:rsid w:val="0050572F"/>
    <w:rsid w:val="00507453"/>
    <w:rsid w:val="0051083B"/>
    <w:rsid w:val="00512AB1"/>
    <w:rsid w:val="0051379E"/>
    <w:rsid w:val="00513E0C"/>
    <w:rsid w:val="00513F49"/>
    <w:rsid w:val="005151F2"/>
    <w:rsid w:val="00515552"/>
    <w:rsid w:val="005155AB"/>
    <w:rsid w:val="00516313"/>
    <w:rsid w:val="005177AC"/>
    <w:rsid w:val="00521319"/>
    <w:rsid w:val="00521458"/>
    <w:rsid w:val="00521CC7"/>
    <w:rsid w:val="00522C2F"/>
    <w:rsid w:val="0052349B"/>
    <w:rsid w:val="00524887"/>
    <w:rsid w:val="00524A08"/>
    <w:rsid w:val="005251D5"/>
    <w:rsid w:val="00525D3A"/>
    <w:rsid w:val="00526F89"/>
    <w:rsid w:val="00527413"/>
    <w:rsid w:val="00527D37"/>
    <w:rsid w:val="00531131"/>
    <w:rsid w:val="0053287E"/>
    <w:rsid w:val="005329E6"/>
    <w:rsid w:val="00533021"/>
    <w:rsid w:val="00533CA5"/>
    <w:rsid w:val="0053442E"/>
    <w:rsid w:val="00534906"/>
    <w:rsid w:val="00534DC0"/>
    <w:rsid w:val="0053500A"/>
    <w:rsid w:val="00535190"/>
    <w:rsid w:val="00535854"/>
    <w:rsid w:val="00536DE8"/>
    <w:rsid w:val="005370AC"/>
    <w:rsid w:val="00537591"/>
    <w:rsid w:val="005420F9"/>
    <w:rsid w:val="005437EB"/>
    <w:rsid w:val="00545BDC"/>
    <w:rsid w:val="00545DED"/>
    <w:rsid w:val="0054630E"/>
    <w:rsid w:val="00547F44"/>
    <w:rsid w:val="00547F5D"/>
    <w:rsid w:val="005509CE"/>
    <w:rsid w:val="0055179F"/>
    <w:rsid w:val="00551C32"/>
    <w:rsid w:val="00552A36"/>
    <w:rsid w:val="005539F1"/>
    <w:rsid w:val="005563CB"/>
    <w:rsid w:val="005575BB"/>
    <w:rsid w:val="0056214D"/>
    <w:rsid w:val="0056305B"/>
    <w:rsid w:val="0056318B"/>
    <w:rsid w:val="0056434C"/>
    <w:rsid w:val="00564E1F"/>
    <w:rsid w:val="005652A3"/>
    <w:rsid w:val="00566967"/>
    <w:rsid w:val="005700EE"/>
    <w:rsid w:val="00570A62"/>
    <w:rsid w:val="005714F0"/>
    <w:rsid w:val="00573A81"/>
    <w:rsid w:val="00575A40"/>
    <w:rsid w:val="00575C37"/>
    <w:rsid w:val="00575F26"/>
    <w:rsid w:val="005763BD"/>
    <w:rsid w:val="00576D31"/>
    <w:rsid w:val="0058062A"/>
    <w:rsid w:val="00581A1E"/>
    <w:rsid w:val="00583C9E"/>
    <w:rsid w:val="00583D1D"/>
    <w:rsid w:val="00585EA8"/>
    <w:rsid w:val="005860C7"/>
    <w:rsid w:val="00586903"/>
    <w:rsid w:val="00586AB3"/>
    <w:rsid w:val="005870DC"/>
    <w:rsid w:val="0059109D"/>
    <w:rsid w:val="00591540"/>
    <w:rsid w:val="00591BA9"/>
    <w:rsid w:val="0059330E"/>
    <w:rsid w:val="00596236"/>
    <w:rsid w:val="00596DC0"/>
    <w:rsid w:val="005A0F71"/>
    <w:rsid w:val="005A151C"/>
    <w:rsid w:val="005A1837"/>
    <w:rsid w:val="005A1AF2"/>
    <w:rsid w:val="005A291E"/>
    <w:rsid w:val="005A2B0F"/>
    <w:rsid w:val="005A2F15"/>
    <w:rsid w:val="005A33F7"/>
    <w:rsid w:val="005A3A2A"/>
    <w:rsid w:val="005A549D"/>
    <w:rsid w:val="005A5EDA"/>
    <w:rsid w:val="005A68A8"/>
    <w:rsid w:val="005A6C94"/>
    <w:rsid w:val="005A70BF"/>
    <w:rsid w:val="005A788E"/>
    <w:rsid w:val="005B016C"/>
    <w:rsid w:val="005B1217"/>
    <w:rsid w:val="005B2367"/>
    <w:rsid w:val="005B2FEC"/>
    <w:rsid w:val="005B5B87"/>
    <w:rsid w:val="005B5EF0"/>
    <w:rsid w:val="005B7E9C"/>
    <w:rsid w:val="005C045B"/>
    <w:rsid w:val="005C07C6"/>
    <w:rsid w:val="005C170B"/>
    <w:rsid w:val="005C19E5"/>
    <w:rsid w:val="005C2AE4"/>
    <w:rsid w:val="005C395F"/>
    <w:rsid w:val="005C404D"/>
    <w:rsid w:val="005C598D"/>
    <w:rsid w:val="005C5DD4"/>
    <w:rsid w:val="005C647A"/>
    <w:rsid w:val="005C65CA"/>
    <w:rsid w:val="005C683C"/>
    <w:rsid w:val="005C793A"/>
    <w:rsid w:val="005C7997"/>
    <w:rsid w:val="005C7A08"/>
    <w:rsid w:val="005D12AD"/>
    <w:rsid w:val="005D19B3"/>
    <w:rsid w:val="005D46D9"/>
    <w:rsid w:val="005D48DA"/>
    <w:rsid w:val="005D4EE2"/>
    <w:rsid w:val="005D58AD"/>
    <w:rsid w:val="005D5EB9"/>
    <w:rsid w:val="005D6D5A"/>
    <w:rsid w:val="005E1683"/>
    <w:rsid w:val="005E1AE4"/>
    <w:rsid w:val="005E1D8E"/>
    <w:rsid w:val="005E26B6"/>
    <w:rsid w:val="005E3246"/>
    <w:rsid w:val="005E39A4"/>
    <w:rsid w:val="005E4791"/>
    <w:rsid w:val="005E4CF1"/>
    <w:rsid w:val="005F2353"/>
    <w:rsid w:val="005F3BBA"/>
    <w:rsid w:val="005F3ED4"/>
    <w:rsid w:val="005F4AF2"/>
    <w:rsid w:val="005F56A7"/>
    <w:rsid w:val="005F5AC2"/>
    <w:rsid w:val="005F5D84"/>
    <w:rsid w:val="005F6488"/>
    <w:rsid w:val="005F6B87"/>
    <w:rsid w:val="005F76C0"/>
    <w:rsid w:val="006001B9"/>
    <w:rsid w:val="0060084F"/>
    <w:rsid w:val="0060097E"/>
    <w:rsid w:val="006019EB"/>
    <w:rsid w:val="006036A6"/>
    <w:rsid w:val="006038BE"/>
    <w:rsid w:val="00604068"/>
    <w:rsid w:val="00604923"/>
    <w:rsid w:val="00604C66"/>
    <w:rsid w:val="00604D89"/>
    <w:rsid w:val="006053BE"/>
    <w:rsid w:val="006061DD"/>
    <w:rsid w:val="00606676"/>
    <w:rsid w:val="006068C5"/>
    <w:rsid w:val="00607AA1"/>
    <w:rsid w:val="00607F95"/>
    <w:rsid w:val="00611CCB"/>
    <w:rsid w:val="006122F4"/>
    <w:rsid w:val="0061304A"/>
    <w:rsid w:val="00613BA3"/>
    <w:rsid w:val="00614305"/>
    <w:rsid w:val="00614B15"/>
    <w:rsid w:val="00616A97"/>
    <w:rsid w:val="00617C2B"/>
    <w:rsid w:val="006210DA"/>
    <w:rsid w:val="006223A5"/>
    <w:rsid w:val="00622DDD"/>
    <w:rsid w:val="00622FFE"/>
    <w:rsid w:val="006267AA"/>
    <w:rsid w:val="0063211F"/>
    <w:rsid w:val="00632209"/>
    <w:rsid w:val="006340C2"/>
    <w:rsid w:val="00634694"/>
    <w:rsid w:val="00635BB4"/>
    <w:rsid w:val="0063687B"/>
    <w:rsid w:val="00636B44"/>
    <w:rsid w:val="00636B56"/>
    <w:rsid w:val="00637629"/>
    <w:rsid w:val="0064035A"/>
    <w:rsid w:val="006410B8"/>
    <w:rsid w:val="00641B9A"/>
    <w:rsid w:val="00641D27"/>
    <w:rsid w:val="00641D2B"/>
    <w:rsid w:val="00641F74"/>
    <w:rsid w:val="00642AEF"/>
    <w:rsid w:val="00646B8D"/>
    <w:rsid w:val="006470CF"/>
    <w:rsid w:val="00647454"/>
    <w:rsid w:val="0064758E"/>
    <w:rsid w:val="0064786D"/>
    <w:rsid w:val="006501DD"/>
    <w:rsid w:val="00654884"/>
    <w:rsid w:val="00657980"/>
    <w:rsid w:val="00661447"/>
    <w:rsid w:val="00661C61"/>
    <w:rsid w:val="0066265F"/>
    <w:rsid w:val="00662D52"/>
    <w:rsid w:val="00662E30"/>
    <w:rsid w:val="00663907"/>
    <w:rsid w:val="00664808"/>
    <w:rsid w:val="00664C0C"/>
    <w:rsid w:val="0066529A"/>
    <w:rsid w:val="006665CE"/>
    <w:rsid w:val="00667621"/>
    <w:rsid w:val="00670C83"/>
    <w:rsid w:val="006718E1"/>
    <w:rsid w:val="00671B1A"/>
    <w:rsid w:val="006725EB"/>
    <w:rsid w:val="00677BB1"/>
    <w:rsid w:val="00677E17"/>
    <w:rsid w:val="00677E3C"/>
    <w:rsid w:val="006801C1"/>
    <w:rsid w:val="00683244"/>
    <w:rsid w:val="00683841"/>
    <w:rsid w:val="00683865"/>
    <w:rsid w:val="00683E24"/>
    <w:rsid w:val="00685DA9"/>
    <w:rsid w:val="00685FB4"/>
    <w:rsid w:val="00686CDC"/>
    <w:rsid w:val="00686EF8"/>
    <w:rsid w:val="00686F38"/>
    <w:rsid w:val="00687666"/>
    <w:rsid w:val="00687E7A"/>
    <w:rsid w:val="00691F1C"/>
    <w:rsid w:val="00691F5B"/>
    <w:rsid w:val="00692242"/>
    <w:rsid w:val="00692DAB"/>
    <w:rsid w:val="006934AE"/>
    <w:rsid w:val="0069365F"/>
    <w:rsid w:val="00694492"/>
    <w:rsid w:val="00696AEE"/>
    <w:rsid w:val="00697438"/>
    <w:rsid w:val="006976C2"/>
    <w:rsid w:val="00697A62"/>
    <w:rsid w:val="006A0AEC"/>
    <w:rsid w:val="006A158C"/>
    <w:rsid w:val="006A20B7"/>
    <w:rsid w:val="006A2188"/>
    <w:rsid w:val="006A2348"/>
    <w:rsid w:val="006A3DF4"/>
    <w:rsid w:val="006A42A4"/>
    <w:rsid w:val="006A46C0"/>
    <w:rsid w:val="006A6537"/>
    <w:rsid w:val="006A7707"/>
    <w:rsid w:val="006A7BE7"/>
    <w:rsid w:val="006A7E24"/>
    <w:rsid w:val="006B1435"/>
    <w:rsid w:val="006B16A4"/>
    <w:rsid w:val="006B30D6"/>
    <w:rsid w:val="006B6A77"/>
    <w:rsid w:val="006B7B47"/>
    <w:rsid w:val="006B7DE5"/>
    <w:rsid w:val="006C042D"/>
    <w:rsid w:val="006C0440"/>
    <w:rsid w:val="006C0948"/>
    <w:rsid w:val="006C14FB"/>
    <w:rsid w:val="006C2373"/>
    <w:rsid w:val="006C312F"/>
    <w:rsid w:val="006C3BAB"/>
    <w:rsid w:val="006C45F2"/>
    <w:rsid w:val="006C469D"/>
    <w:rsid w:val="006C55B3"/>
    <w:rsid w:val="006C596E"/>
    <w:rsid w:val="006C6872"/>
    <w:rsid w:val="006C6ABB"/>
    <w:rsid w:val="006C6C18"/>
    <w:rsid w:val="006C77EF"/>
    <w:rsid w:val="006C7A32"/>
    <w:rsid w:val="006C7A7D"/>
    <w:rsid w:val="006D0340"/>
    <w:rsid w:val="006D05CD"/>
    <w:rsid w:val="006D11CD"/>
    <w:rsid w:val="006D1307"/>
    <w:rsid w:val="006D15D8"/>
    <w:rsid w:val="006D2345"/>
    <w:rsid w:val="006D2D4A"/>
    <w:rsid w:val="006D6F1A"/>
    <w:rsid w:val="006D7820"/>
    <w:rsid w:val="006D7D61"/>
    <w:rsid w:val="006E023C"/>
    <w:rsid w:val="006E0991"/>
    <w:rsid w:val="006E1334"/>
    <w:rsid w:val="006E3A10"/>
    <w:rsid w:val="006E447A"/>
    <w:rsid w:val="006E4944"/>
    <w:rsid w:val="006E4DE5"/>
    <w:rsid w:val="006E7787"/>
    <w:rsid w:val="006E7CE4"/>
    <w:rsid w:val="006E7F11"/>
    <w:rsid w:val="006F031D"/>
    <w:rsid w:val="006F08AF"/>
    <w:rsid w:val="006F09E3"/>
    <w:rsid w:val="006F24E3"/>
    <w:rsid w:val="006F3F1E"/>
    <w:rsid w:val="006F4592"/>
    <w:rsid w:val="006F4C6D"/>
    <w:rsid w:val="006F5C8E"/>
    <w:rsid w:val="006F6837"/>
    <w:rsid w:val="006F6D4B"/>
    <w:rsid w:val="006F6F27"/>
    <w:rsid w:val="006F73EC"/>
    <w:rsid w:val="006F7556"/>
    <w:rsid w:val="00700029"/>
    <w:rsid w:val="00700576"/>
    <w:rsid w:val="007009AC"/>
    <w:rsid w:val="0070262D"/>
    <w:rsid w:val="00703E79"/>
    <w:rsid w:val="007049BA"/>
    <w:rsid w:val="0070616C"/>
    <w:rsid w:val="00706FF6"/>
    <w:rsid w:val="0070781F"/>
    <w:rsid w:val="00707986"/>
    <w:rsid w:val="007114A2"/>
    <w:rsid w:val="00711D25"/>
    <w:rsid w:val="007121C5"/>
    <w:rsid w:val="0071284A"/>
    <w:rsid w:val="00712F2F"/>
    <w:rsid w:val="0071426F"/>
    <w:rsid w:val="00715091"/>
    <w:rsid w:val="00716B31"/>
    <w:rsid w:val="007209A5"/>
    <w:rsid w:val="00720AF1"/>
    <w:rsid w:val="00720BC7"/>
    <w:rsid w:val="00721067"/>
    <w:rsid w:val="00721EC0"/>
    <w:rsid w:val="0072348D"/>
    <w:rsid w:val="00723543"/>
    <w:rsid w:val="00724CCA"/>
    <w:rsid w:val="00725097"/>
    <w:rsid w:val="00726089"/>
    <w:rsid w:val="00726E1F"/>
    <w:rsid w:val="00727F9A"/>
    <w:rsid w:val="00730FC0"/>
    <w:rsid w:val="00732D0D"/>
    <w:rsid w:val="007341EE"/>
    <w:rsid w:val="00734B90"/>
    <w:rsid w:val="007354FB"/>
    <w:rsid w:val="00735893"/>
    <w:rsid w:val="007360E7"/>
    <w:rsid w:val="007365BD"/>
    <w:rsid w:val="007367DF"/>
    <w:rsid w:val="00737738"/>
    <w:rsid w:val="007407B0"/>
    <w:rsid w:val="00740CC8"/>
    <w:rsid w:val="007410E7"/>
    <w:rsid w:val="00742004"/>
    <w:rsid w:val="007420C0"/>
    <w:rsid w:val="00742691"/>
    <w:rsid w:val="00745619"/>
    <w:rsid w:val="0074603B"/>
    <w:rsid w:val="00747C09"/>
    <w:rsid w:val="0075024F"/>
    <w:rsid w:val="00750699"/>
    <w:rsid w:val="007512A2"/>
    <w:rsid w:val="007512D2"/>
    <w:rsid w:val="00751A81"/>
    <w:rsid w:val="00753028"/>
    <w:rsid w:val="00753364"/>
    <w:rsid w:val="0075339F"/>
    <w:rsid w:val="00753739"/>
    <w:rsid w:val="0075404F"/>
    <w:rsid w:val="007541E1"/>
    <w:rsid w:val="00755209"/>
    <w:rsid w:val="0075639E"/>
    <w:rsid w:val="0075694E"/>
    <w:rsid w:val="007603C0"/>
    <w:rsid w:val="00760E07"/>
    <w:rsid w:val="007611C2"/>
    <w:rsid w:val="00762C87"/>
    <w:rsid w:val="00762E5D"/>
    <w:rsid w:val="00763981"/>
    <w:rsid w:val="00763DD8"/>
    <w:rsid w:val="00764024"/>
    <w:rsid w:val="0076469C"/>
    <w:rsid w:val="0076488A"/>
    <w:rsid w:val="00765A2A"/>
    <w:rsid w:val="00770D49"/>
    <w:rsid w:val="00771682"/>
    <w:rsid w:val="00772E7E"/>
    <w:rsid w:val="0077432D"/>
    <w:rsid w:val="00775676"/>
    <w:rsid w:val="00776475"/>
    <w:rsid w:val="007778B6"/>
    <w:rsid w:val="00777D30"/>
    <w:rsid w:val="007805E0"/>
    <w:rsid w:val="00780BC2"/>
    <w:rsid w:val="007810F8"/>
    <w:rsid w:val="00781501"/>
    <w:rsid w:val="007815C4"/>
    <w:rsid w:val="00782B12"/>
    <w:rsid w:val="00785C0E"/>
    <w:rsid w:val="00786A8E"/>
    <w:rsid w:val="007907EE"/>
    <w:rsid w:val="007934A0"/>
    <w:rsid w:val="00793E52"/>
    <w:rsid w:val="0079490E"/>
    <w:rsid w:val="00794AB8"/>
    <w:rsid w:val="007954A1"/>
    <w:rsid w:val="0079666C"/>
    <w:rsid w:val="00797F61"/>
    <w:rsid w:val="007A30D2"/>
    <w:rsid w:val="007A3B94"/>
    <w:rsid w:val="007A5784"/>
    <w:rsid w:val="007A5901"/>
    <w:rsid w:val="007A7D0B"/>
    <w:rsid w:val="007B1F90"/>
    <w:rsid w:val="007B2C20"/>
    <w:rsid w:val="007B2D20"/>
    <w:rsid w:val="007B30A7"/>
    <w:rsid w:val="007B33AF"/>
    <w:rsid w:val="007B457B"/>
    <w:rsid w:val="007B4BB8"/>
    <w:rsid w:val="007B6401"/>
    <w:rsid w:val="007C095B"/>
    <w:rsid w:val="007C0C40"/>
    <w:rsid w:val="007C1243"/>
    <w:rsid w:val="007C1A77"/>
    <w:rsid w:val="007C21B4"/>
    <w:rsid w:val="007C43D9"/>
    <w:rsid w:val="007C43DB"/>
    <w:rsid w:val="007C4EB7"/>
    <w:rsid w:val="007C6CC9"/>
    <w:rsid w:val="007C72FF"/>
    <w:rsid w:val="007D0609"/>
    <w:rsid w:val="007D1DEA"/>
    <w:rsid w:val="007D1F91"/>
    <w:rsid w:val="007D265F"/>
    <w:rsid w:val="007D3382"/>
    <w:rsid w:val="007D4481"/>
    <w:rsid w:val="007D5145"/>
    <w:rsid w:val="007D52B8"/>
    <w:rsid w:val="007D55C6"/>
    <w:rsid w:val="007D55D9"/>
    <w:rsid w:val="007D674C"/>
    <w:rsid w:val="007E09F6"/>
    <w:rsid w:val="007E0B7E"/>
    <w:rsid w:val="007E18AA"/>
    <w:rsid w:val="007E27C3"/>
    <w:rsid w:val="007E3417"/>
    <w:rsid w:val="007E438F"/>
    <w:rsid w:val="007E4B50"/>
    <w:rsid w:val="007E558C"/>
    <w:rsid w:val="007E5B6A"/>
    <w:rsid w:val="007E5EE2"/>
    <w:rsid w:val="007E5F29"/>
    <w:rsid w:val="007E68BF"/>
    <w:rsid w:val="007E7F17"/>
    <w:rsid w:val="007F04E2"/>
    <w:rsid w:val="007F1401"/>
    <w:rsid w:val="007F331D"/>
    <w:rsid w:val="007F4445"/>
    <w:rsid w:val="007F4480"/>
    <w:rsid w:val="007F7705"/>
    <w:rsid w:val="007F7AC1"/>
    <w:rsid w:val="007F7DC7"/>
    <w:rsid w:val="008018C4"/>
    <w:rsid w:val="00801EDD"/>
    <w:rsid w:val="00802CCE"/>
    <w:rsid w:val="008041D2"/>
    <w:rsid w:val="008044A9"/>
    <w:rsid w:val="00805DEF"/>
    <w:rsid w:val="00806027"/>
    <w:rsid w:val="00806110"/>
    <w:rsid w:val="00807666"/>
    <w:rsid w:val="00807B9A"/>
    <w:rsid w:val="00810469"/>
    <w:rsid w:val="00811F37"/>
    <w:rsid w:val="008121D1"/>
    <w:rsid w:val="0081317C"/>
    <w:rsid w:val="00814925"/>
    <w:rsid w:val="00815C9B"/>
    <w:rsid w:val="00815F7F"/>
    <w:rsid w:val="00816A4A"/>
    <w:rsid w:val="0081715A"/>
    <w:rsid w:val="00817C4E"/>
    <w:rsid w:val="00817FAF"/>
    <w:rsid w:val="00820C7F"/>
    <w:rsid w:val="008216CE"/>
    <w:rsid w:val="008216DB"/>
    <w:rsid w:val="00821C76"/>
    <w:rsid w:val="00823501"/>
    <w:rsid w:val="008239E1"/>
    <w:rsid w:val="00826440"/>
    <w:rsid w:val="0082691C"/>
    <w:rsid w:val="008278C8"/>
    <w:rsid w:val="00827A2B"/>
    <w:rsid w:val="00827AE0"/>
    <w:rsid w:val="00827F94"/>
    <w:rsid w:val="0083007D"/>
    <w:rsid w:val="00830F7A"/>
    <w:rsid w:val="00831300"/>
    <w:rsid w:val="00831CF8"/>
    <w:rsid w:val="008331E9"/>
    <w:rsid w:val="00833294"/>
    <w:rsid w:val="00833A5C"/>
    <w:rsid w:val="00834075"/>
    <w:rsid w:val="00835133"/>
    <w:rsid w:val="00836D40"/>
    <w:rsid w:val="008377D4"/>
    <w:rsid w:val="00837C79"/>
    <w:rsid w:val="00840D4E"/>
    <w:rsid w:val="00844456"/>
    <w:rsid w:val="0084496B"/>
    <w:rsid w:val="00844BAC"/>
    <w:rsid w:val="00845FFD"/>
    <w:rsid w:val="00847645"/>
    <w:rsid w:val="008518C6"/>
    <w:rsid w:val="008525BE"/>
    <w:rsid w:val="008527B6"/>
    <w:rsid w:val="0085298D"/>
    <w:rsid w:val="00852C3F"/>
    <w:rsid w:val="008530CD"/>
    <w:rsid w:val="00853566"/>
    <w:rsid w:val="008539EA"/>
    <w:rsid w:val="0085478E"/>
    <w:rsid w:val="008547B4"/>
    <w:rsid w:val="008551D6"/>
    <w:rsid w:val="008552B3"/>
    <w:rsid w:val="00855ABB"/>
    <w:rsid w:val="00855CC6"/>
    <w:rsid w:val="008571F3"/>
    <w:rsid w:val="008606F4"/>
    <w:rsid w:val="0086074D"/>
    <w:rsid w:val="0086132F"/>
    <w:rsid w:val="0086315E"/>
    <w:rsid w:val="008653C7"/>
    <w:rsid w:val="00865437"/>
    <w:rsid w:val="00865B96"/>
    <w:rsid w:val="00867A29"/>
    <w:rsid w:val="00870725"/>
    <w:rsid w:val="00870875"/>
    <w:rsid w:val="00870CF5"/>
    <w:rsid w:val="008716C2"/>
    <w:rsid w:val="00871A59"/>
    <w:rsid w:val="0087217D"/>
    <w:rsid w:val="008723D8"/>
    <w:rsid w:val="00873255"/>
    <w:rsid w:val="008742C5"/>
    <w:rsid w:val="008756FD"/>
    <w:rsid w:val="008762FE"/>
    <w:rsid w:val="008767C5"/>
    <w:rsid w:val="0088073C"/>
    <w:rsid w:val="00881C6A"/>
    <w:rsid w:val="008821B5"/>
    <w:rsid w:val="00882B94"/>
    <w:rsid w:val="00882BE0"/>
    <w:rsid w:val="0088398A"/>
    <w:rsid w:val="00884993"/>
    <w:rsid w:val="00884A29"/>
    <w:rsid w:val="00884F60"/>
    <w:rsid w:val="00885DE6"/>
    <w:rsid w:val="00886390"/>
    <w:rsid w:val="008868BA"/>
    <w:rsid w:val="0088728A"/>
    <w:rsid w:val="008903F3"/>
    <w:rsid w:val="00890A88"/>
    <w:rsid w:val="00890F09"/>
    <w:rsid w:val="008946B6"/>
    <w:rsid w:val="00894FBE"/>
    <w:rsid w:val="0089507D"/>
    <w:rsid w:val="008958B0"/>
    <w:rsid w:val="0089609F"/>
    <w:rsid w:val="00896EC9"/>
    <w:rsid w:val="00897890"/>
    <w:rsid w:val="008A05BF"/>
    <w:rsid w:val="008A105E"/>
    <w:rsid w:val="008A167A"/>
    <w:rsid w:val="008A26EA"/>
    <w:rsid w:val="008A2C2A"/>
    <w:rsid w:val="008A2D38"/>
    <w:rsid w:val="008A4242"/>
    <w:rsid w:val="008A4417"/>
    <w:rsid w:val="008A4CD6"/>
    <w:rsid w:val="008A4D48"/>
    <w:rsid w:val="008A5020"/>
    <w:rsid w:val="008A5946"/>
    <w:rsid w:val="008A61FC"/>
    <w:rsid w:val="008A7571"/>
    <w:rsid w:val="008A7DDC"/>
    <w:rsid w:val="008B0A41"/>
    <w:rsid w:val="008B0BE6"/>
    <w:rsid w:val="008B18E0"/>
    <w:rsid w:val="008B2961"/>
    <w:rsid w:val="008B49F2"/>
    <w:rsid w:val="008B4FE5"/>
    <w:rsid w:val="008B6C09"/>
    <w:rsid w:val="008B7334"/>
    <w:rsid w:val="008B744C"/>
    <w:rsid w:val="008B7B0B"/>
    <w:rsid w:val="008B7F14"/>
    <w:rsid w:val="008C0E84"/>
    <w:rsid w:val="008C11A4"/>
    <w:rsid w:val="008C2256"/>
    <w:rsid w:val="008C2EE0"/>
    <w:rsid w:val="008C32D5"/>
    <w:rsid w:val="008C33D1"/>
    <w:rsid w:val="008C487D"/>
    <w:rsid w:val="008C4FF6"/>
    <w:rsid w:val="008C54A8"/>
    <w:rsid w:val="008C58CD"/>
    <w:rsid w:val="008C5D13"/>
    <w:rsid w:val="008C5E46"/>
    <w:rsid w:val="008C7B87"/>
    <w:rsid w:val="008D0392"/>
    <w:rsid w:val="008D071C"/>
    <w:rsid w:val="008D0DB6"/>
    <w:rsid w:val="008D0E46"/>
    <w:rsid w:val="008D2903"/>
    <w:rsid w:val="008D2CCD"/>
    <w:rsid w:val="008D3D20"/>
    <w:rsid w:val="008D416F"/>
    <w:rsid w:val="008D6711"/>
    <w:rsid w:val="008E382C"/>
    <w:rsid w:val="008E4935"/>
    <w:rsid w:val="008E4A99"/>
    <w:rsid w:val="008E51E3"/>
    <w:rsid w:val="008E5987"/>
    <w:rsid w:val="008E5B5F"/>
    <w:rsid w:val="008F03D1"/>
    <w:rsid w:val="008F0741"/>
    <w:rsid w:val="008F0F0F"/>
    <w:rsid w:val="008F1712"/>
    <w:rsid w:val="008F1FB1"/>
    <w:rsid w:val="008F35BE"/>
    <w:rsid w:val="008F37C0"/>
    <w:rsid w:val="008F4906"/>
    <w:rsid w:val="008F4A28"/>
    <w:rsid w:val="008F4EF4"/>
    <w:rsid w:val="008F5C7B"/>
    <w:rsid w:val="008F7A01"/>
    <w:rsid w:val="008F7EFC"/>
    <w:rsid w:val="009006EC"/>
    <w:rsid w:val="009028F3"/>
    <w:rsid w:val="0090339C"/>
    <w:rsid w:val="00903E6B"/>
    <w:rsid w:val="00904548"/>
    <w:rsid w:val="00905087"/>
    <w:rsid w:val="00905146"/>
    <w:rsid w:val="009052B3"/>
    <w:rsid w:val="00906FA3"/>
    <w:rsid w:val="00912DE5"/>
    <w:rsid w:val="0091319A"/>
    <w:rsid w:val="009139FF"/>
    <w:rsid w:val="00916C70"/>
    <w:rsid w:val="00916FDB"/>
    <w:rsid w:val="009173C7"/>
    <w:rsid w:val="009174B4"/>
    <w:rsid w:val="00917A9F"/>
    <w:rsid w:val="00920419"/>
    <w:rsid w:val="0092098C"/>
    <w:rsid w:val="00921B47"/>
    <w:rsid w:val="009238F1"/>
    <w:rsid w:val="00923DFA"/>
    <w:rsid w:val="009251C0"/>
    <w:rsid w:val="009253E5"/>
    <w:rsid w:val="00925812"/>
    <w:rsid w:val="00926636"/>
    <w:rsid w:val="009278A7"/>
    <w:rsid w:val="009279F4"/>
    <w:rsid w:val="0093020A"/>
    <w:rsid w:val="00931F4B"/>
    <w:rsid w:val="0093263F"/>
    <w:rsid w:val="00932DAA"/>
    <w:rsid w:val="00933565"/>
    <w:rsid w:val="00934545"/>
    <w:rsid w:val="009351B1"/>
    <w:rsid w:val="00935335"/>
    <w:rsid w:val="009369E3"/>
    <w:rsid w:val="00937505"/>
    <w:rsid w:val="00940C2A"/>
    <w:rsid w:val="00941F94"/>
    <w:rsid w:val="00942381"/>
    <w:rsid w:val="00942B35"/>
    <w:rsid w:val="00942D4A"/>
    <w:rsid w:val="009436EE"/>
    <w:rsid w:val="00943775"/>
    <w:rsid w:val="009441B5"/>
    <w:rsid w:val="009458D4"/>
    <w:rsid w:val="00945DF3"/>
    <w:rsid w:val="00946A6D"/>
    <w:rsid w:val="0094785B"/>
    <w:rsid w:val="00947A14"/>
    <w:rsid w:val="00950F64"/>
    <w:rsid w:val="00952577"/>
    <w:rsid w:val="009525F6"/>
    <w:rsid w:val="009526E9"/>
    <w:rsid w:val="00953040"/>
    <w:rsid w:val="0095331B"/>
    <w:rsid w:val="0095392F"/>
    <w:rsid w:val="00953C4E"/>
    <w:rsid w:val="00955D6B"/>
    <w:rsid w:val="00956522"/>
    <w:rsid w:val="009571B9"/>
    <w:rsid w:val="00957F2F"/>
    <w:rsid w:val="009622ED"/>
    <w:rsid w:val="00962802"/>
    <w:rsid w:val="00962BF1"/>
    <w:rsid w:val="00962F0D"/>
    <w:rsid w:val="009630A4"/>
    <w:rsid w:val="0096376A"/>
    <w:rsid w:val="00964700"/>
    <w:rsid w:val="00971215"/>
    <w:rsid w:val="00973EA1"/>
    <w:rsid w:val="0097539A"/>
    <w:rsid w:val="0097556E"/>
    <w:rsid w:val="009757AD"/>
    <w:rsid w:val="009759DE"/>
    <w:rsid w:val="00975F46"/>
    <w:rsid w:val="00976721"/>
    <w:rsid w:val="009773F7"/>
    <w:rsid w:val="00977D3C"/>
    <w:rsid w:val="00977DCD"/>
    <w:rsid w:val="00977FE3"/>
    <w:rsid w:val="00980169"/>
    <w:rsid w:val="0098169D"/>
    <w:rsid w:val="00981DBE"/>
    <w:rsid w:val="00983CDC"/>
    <w:rsid w:val="00985AC1"/>
    <w:rsid w:val="00985C37"/>
    <w:rsid w:val="009860A2"/>
    <w:rsid w:val="00986EC5"/>
    <w:rsid w:val="00986F68"/>
    <w:rsid w:val="0098707E"/>
    <w:rsid w:val="009900FA"/>
    <w:rsid w:val="009908E2"/>
    <w:rsid w:val="00993475"/>
    <w:rsid w:val="00994F27"/>
    <w:rsid w:val="00995B56"/>
    <w:rsid w:val="00996442"/>
    <w:rsid w:val="00996466"/>
    <w:rsid w:val="00996844"/>
    <w:rsid w:val="009A0328"/>
    <w:rsid w:val="009A043C"/>
    <w:rsid w:val="009A2F05"/>
    <w:rsid w:val="009A475D"/>
    <w:rsid w:val="009A4AE2"/>
    <w:rsid w:val="009A5149"/>
    <w:rsid w:val="009A5D37"/>
    <w:rsid w:val="009A79A0"/>
    <w:rsid w:val="009B22D6"/>
    <w:rsid w:val="009B27BC"/>
    <w:rsid w:val="009B3645"/>
    <w:rsid w:val="009B41FA"/>
    <w:rsid w:val="009B4B1F"/>
    <w:rsid w:val="009B55BF"/>
    <w:rsid w:val="009B56BC"/>
    <w:rsid w:val="009B5C54"/>
    <w:rsid w:val="009B5F56"/>
    <w:rsid w:val="009B6649"/>
    <w:rsid w:val="009B6C20"/>
    <w:rsid w:val="009B6E76"/>
    <w:rsid w:val="009B7769"/>
    <w:rsid w:val="009B7EE9"/>
    <w:rsid w:val="009C0400"/>
    <w:rsid w:val="009C05E5"/>
    <w:rsid w:val="009C0773"/>
    <w:rsid w:val="009C3C26"/>
    <w:rsid w:val="009C411F"/>
    <w:rsid w:val="009C50F4"/>
    <w:rsid w:val="009C5A0F"/>
    <w:rsid w:val="009C6054"/>
    <w:rsid w:val="009C60FF"/>
    <w:rsid w:val="009C66CF"/>
    <w:rsid w:val="009D04C5"/>
    <w:rsid w:val="009D070B"/>
    <w:rsid w:val="009D1B8F"/>
    <w:rsid w:val="009D1F1C"/>
    <w:rsid w:val="009D268F"/>
    <w:rsid w:val="009D2C1F"/>
    <w:rsid w:val="009D2D87"/>
    <w:rsid w:val="009D3635"/>
    <w:rsid w:val="009D4D30"/>
    <w:rsid w:val="009D5CAB"/>
    <w:rsid w:val="009D714E"/>
    <w:rsid w:val="009D77AD"/>
    <w:rsid w:val="009E012C"/>
    <w:rsid w:val="009E15EA"/>
    <w:rsid w:val="009E2648"/>
    <w:rsid w:val="009E4972"/>
    <w:rsid w:val="009E5C79"/>
    <w:rsid w:val="009E5CD6"/>
    <w:rsid w:val="009E650A"/>
    <w:rsid w:val="009E6E10"/>
    <w:rsid w:val="009F08AA"/>
    <w:rsid w:val="009F0E95"/>
    <w:rsid w:val="009F2BB7"/>
    <w:rsid w:val="009F6C03"/>
    <w:rsid w:val="009F768D"/>
    <w:rsid w:val="009F797C"/>
    <w:rsid w:val="009F7E7D"/>
    <w:rsid w:val="00A01403"/>
    <w:rsid w:val="00A01D37"/>
    <w:rsid w:val="00A0370E"/>
    <w:rsid w:val="00A03868"/>
    <w:rsid w:val="00A040F0"/>
    <w:rsid w:val="00A04C20"/>
    <w:rsid w:val="00A07577"/>
    <w:rsid w:val="00A10D1F"/>
    <w:rsid w:val="00A11435"/>
    <w:rsid w:val="00A1216E"/>
    <w:rsid w:val="00A12AE1"/>
    <w:rsid w:val="00A13283"/>
    <w:rsid w:val="00A13615"/>
    <w:rsid w:val="00A142B7"/>
    <w:rsid w:val="00A14BDA"/>
    <w:rsid w:val="00A1515B"/>
    <w:rsid w:val="00A15BDD"/>
    <w:rsid w:val="00A15C04"/>
    <w:rsid w:val="00A160CE"/>
    <w:rsid w:val="00A1757D"/>
    <w:rsid w:val="00A17B9F"/>
    <w:rsid w:val="00A20C0E"/>
    <w:rsid w:val="00A227B7"/>
    <w:rsid w:val="00A230BD"/>
    <w:rsid w:val="00A23CEC"/>
    <w:rsid w:val="00A24320"/>
    <w:rsid w:val="00A26BD4"/>
    <w:rsid w:val="00A26E12"/>
    <w:rsid w:val="00A27321"/>
    <w:rsid w:val="00A301AB"/>
    <w:rsid w:val="00A30A70"/>
    <w:rsid w:val="00A32AE4"/>
    <w:rsid w:val="00A33D7C"/>
    <w:rsid w:val="00A34BD6"/>
    <w:rsid w:val="00A35BEB"/>
    <w:rsid w:val="00A3607E"/>
    <w:rsid w:val="00A361DE"/>
    <w:rsid w:val="00A36373"/>
    <w:rsid w:val="00A36CDD"/>
    <w:rsid w:val="00A36E81"/>
    <w:rsid w:val="00A3703B"/>
    <w:rsid w:val="00A37080"/>
    <w:rsid w:val="00A37846"/>
    <w:rsid w:val="00A37F30"/>
    <w:rsid w:val="00A4103C"/>
    <w:rsid w:val="00A41BDE"/>
    <w:rsid w:val="00A41C79"/>
    <w:rsid w:val="00A42A9C"/>
    <w:rsid w:val="00A42AA7"/>
    <w:rsid w:val="00A4307C"/>
    <w:rsid w:val="00A43A64"/>
    <w:rsid w:val="00A51626"/>
    <w:rsid w:val="00A5162A"/>
    <w:rsid w:val="00A51CEA"/>
    <w:rsid w:val="00A52C56"/>
    <w:rsid w:val="00A52CDF"/>
    <w:rsid w:val="00A534CB"/>
    <w:rsid w:val="00A54698"/>
    <w:rsid w:val="00A56493"/>
    <w:rsid w:val="00A5680C"/>
    <w:rsid w:val="00A57587"/>
    <w:rsid w:val="00A57759"/>
    <w:rsid w:val="00A57E92"/>
    <w:rsid w:val="00A6029F"/>
    <w:rsid w:val="00A62CFD"/>
    <w:rsid w:val="00A633B3"/>
    <w:rsid w:val="00A64510"/>
    <w:rsid w:val="00A6611A"/>
    <w:rsid w:val="00A66472"/>
    <w:rsid w:val="00A66FA0"/>
    <w:rsid w:val="00A673A3"/>
    <w:rsid w:val="00A70D51"/>
    <w:rsid w:val="00A70FE1"/>
    <w:rsid w:val="00A711B6"/>
    <w:rsid w:val="00A722BA"/>
    <w:rsid w:val="00A72726"/>
    <w:rsid w:val="00A72A2F"/>
    <w:rsid w:val="00A72B05"/>
    <w:rsid w:val="00A76DB0"/>
    <w:rsid w:val="00A80A7B"/>
    <w:rsid w:val="00A81519"/>
    <w:rsid w:val="00A81832"/>
    <w:rsid w:val="00A84FFE"/>
    <w:rsid w:val="00A85755"/>
    <w:rsid w:val="00A86840"/>
    <w:rsid w:val="00A86869"/>
    <w:rsid w:val="00A86EA7"/>
    <w:rsid w:val="00A870CF"/>
    <w:rsid w:val="00A87B62"/>
    <w:rsid w:val="00A90446"/>
    <w:rsid w:val="00A90A94"/>
    <w:rsid w:val="00A91AF7"/>
    <w:rsid w:val="00A92840"/>
    <w:rsid w:val="00A930ED"/>
    <w:rsid w:val="00A94AAC"/>
    <w:rsid w:val="00A94D32"/>
    <w:rsid w:val="00A94E4C"/>
    <w:rsid w:val="00A94F82"/>
    <w:rsid w:val="00A95A64"/>
    <w:rsid w:val="00A962A2"/>
    <w:rsid w:val="00A9680F"/>
    <w:rsid w:val="00A96E7A"/>
    <w:rsid w:val="00A97008"/>
    <w:rsid w:val="00AA0120"/>
    <w:rsid w:val="00AA05AE"/>
    <w:rsid w:val="00AA12E9"/>
    <w:rsid w:val="00AA46A5"/>
    <w:rsid w:val="00AA7286"/>
    <w:rsid w:val="00AA743C"/>
    <w:rsid w:val="00AA74C2"/>
    <w:rsid w:val="00AA77CC"/>
    <w:rsid w:val="00AB0404"/>
    <w:rsid w:val="00AB0C3D"/>
    <w:rsid w:val="00AB2C8F"/>
    <w:rsid w:val="00AB2FE7"/>
    <w:rsid w:val="00AB40EA"/>
    <w:rsid w:val="00AB4509"/>
    <w:rsid w:val="00AB4A77"/>
    <w:rsid w:val="00AB665F"/>
    <w:rsid w:val="00AB6D24"/>
    <w:rsid w:val="00AB6D9E"/>
    <w:rsid w:val="00AB780A"/>
    <w:rsid w:val="00AB7825"/>
    <w:rsid w:val="00AC0E8C"/>
    <w:rsid w:val="00AC12A4"/>
    <w:rsid w:val="00AC12AD"/>
    <w:rsid w:val="00AC18D9"/>
    <w:rsid w:val="00AC1BD8"/>
    <w:rsid w:val="00AC27BE"/>
    <w:rsid w:val="00AC336B"/>
    <w:rsid w:val="00AC5C01"/>
    <w:rsid w:val="00AD0B0C"/>
    <w:rsid w:val="00AD0CA0"/>
    <w:rsid w:val="00AD0F3E"/>
    <w:rsid w:val="00AD1347"/>
    <w:rsid w:val="00AD18F3"/>
    <w:rsid w:val="00AD1DD6"/>
    <w:rsid w:val="00AD1EFC"/>
    <w:rsid w:val="00AD1F3E"/>
    <w:rsid w:val="00AD3EF4"/>
    <w:rsid w:val="00AD62FA"/>
    <w:rsid w:val="00AD6C99"/>
    <w:rsid w:val="00AD7838"/>
    <w:rsid w:val="00AD798C"/>
    <w:rsid w:val="00AE2805"/>
    <w:rsid w:val="00AE35D5"/>
    <w:rsid w:val="00AE3E01"/>
    <w:rsid w:val="00AE4503"/>
    <w:rsid w:val="00AE4F9C"/>
    <w:rsid w:val="00AE5B9A"/>
    <w:rsid w:val="00AE62CB"/>
    <w:rsid w:val="00AE72A9"/>
    <w:rsid w:val="00AE75A2"/>
    <w:rsid w:val="00AE7915"/>
    <w:rsid w:val="00AE7A99"/>
    <w:rsid w:val="00AF04AF"/>
    <w:rsid w:val="00AF172D"/>
    <w:rsid w:val="00AF26EE"/>
    <w:rsid w:val="00AF2A6A"/>
    <w:rsid w:val="00AF2F33"/>
    <w:rsid w:val="00AF30AC"/>
    <w:rsid w:val="00AF3DF4"/>
    <w:rsid w:val="00AF3F0F"/>
    <w:rsid w:val="00AF44A3"/>
    <w:rsid w:val="00AF4F6F"/>
    <w:rsid w:val="00AF5E6A"/>
    <w:rsid w:val="00AF5F6A"/>
    <w:rsid w:val="00AF647A"/>
    <w:rsid w:val="00AF7DC6"/>
    <w:rsid w:val="00B0113B"/>
    <w:rsid w:val="00B01955"/>
    <w:rsid w:val="00B02117"/>
    <w:rsid w:val="00B032D5"/>
    <w:rsid w:val="00B0346E"/>
    <w:rsid w:val="00B03E61"/>
    <w:rsid w:val="00B050F5"/>
    <w:rsid w:val="00B05D8A"/>
    <w:rsid w:val="00B06638"/>
    <w:rsid w:val="00B07406"/>
    <w:rsid w:val="00B0768B"/>
    <w:rsid w:val="00B10F07"/>
    <w:rsid w:val="00B11537"/>
    <w:rsid w:val="00B12404"/>
    <w:rsid w:val="00B12DC1"/>
    <w:rsid w:val="00B13046"/>
    <w:rsid w:val="00B13477"/>
    <w:rsid w:val="00B142CF"/>
    <w:rsid w:val="00B14DE4"/>
    <w:rsid w:val="00B16AE0"/>
    <w:rsid w:val="00B1746B"/>
    <w:rsid w:val="00B17645"/>
    <w:rsid w:val="00B17E0D"/>
    <w:rsid w:val="00B2092A"/>
    <w:rsid w:val="00B20C5A"/>
    <w:rsid w:val="00B22D69"/>
    <w:rsid w:val="00B23313"/>
    <w:rsid w:val="00B24DCA"/>
    <w:rsid w:val="00B25ABA"/>
    <w:rsid w:val="00B25BE2"/>
    <w:rsid w:val="00B25E7F"/>
    <w:rsid w:val="00B267AA"/>
    <w:rsid w:val="00B26E9B"/>
    <w:rsid w:val="00B27767"/>
    <w:rsid w:val="00B278AB"/>
    <w:rsid w:val="00B31AEC"/>
    <w:rsid w:val="00B31ED7"/>
    <w:rsid w:val="00B32850"/>
    <w:rsid w:val="00B341D9"/>
    <w:rsid w:val="00B3516A"/>
    <w:rsid w:val="00B36B25"/>
    <w:rsid w:val="00B37B66"/>
    <w:rsid w:val="00B410DE"/>
    <w:rsid w:val="00B41A88"/>
    <w:rsid w:val="00B44CEE"/>
    <w:rsid w:val="00B459AB"/>
    <w:rsid w:val="00B51391"/>
    <w:rsid w:val="00B55385"/>
    <w:rsid w:val="00B56F1A"/>
    <w:rsid w:val="00B57005"/>
    <w:rsid w:val="00B60486"/>
    <w:rsid w:val="00B60908"/>
    <w:rsid w:val="00B60DD8"/>
    <w:rsid w:val="00B618E2"/>
    <w:rsid w:val="00B620D8"/>
    <w:rsid w:val="00B62E71"/>
    <w:rsid w:val="00B635F7"/>
    <w:rsid w:val="00B636A9"/>
    <w:rsid w:val="00B637D0"/>
    <w:rsid w:val="00B64932"/>
    <w:rsid w:val="00B64AB7"/>
    <w:rsid w:val="00B65017"/>
    <w:rsid w:val="00B6640F"/>
    <w:rsid w:val="00B70534"/>
    <w:rsid w:val="00B708C1"/>
    <w:rsid w:val="00B73A18"/>
    <w:rsid w:val="00B7453F"/>
    <w:rsid w:val="00B7707A"/>
    <w:rsid w:val="00B7745D"/>
    <w:rsid w:val="00B77841"/>
    <w:rsid w:val="00B77D37"/>
    <w:rsid w:val="00B810E0"/>
    <w:rsid w:val="00B81DD9"/>
    <w:rsid w:val="00B81E3A"/>
    <w:rsid w:val="00B83AA1"/>
    <w:rsid w:val="00B83F35"/>
    <w:rsid w:val="00B8454D"/>
    <w:rsid w:val="00B874A2"/>
    <w:rsid w:val="00B87DE2"/>
    <w:rsid w:val="00B915AB"/>
    <w:rsid w:val="00B9277D"/>
    <w:rsid w:val="00B92C7E"/>
    <w:rsid w:val="00B937C5"/>
    <w:rsid w:val="00B94900"/>
    <w:rsid w:val="00B959AF"/>
    <w:rsid w:val="00B9695A"/>
    <w:rsid w:val="00B9745F"/>
    <w:rsid w:val="00BA02B8"/>
    <w:rsid w:val="00BA222A"/>
    <w:rsid w:val="00BA2F05"/>
    <w:rsid w:val="00BA3C1A"/>
    <w:rsid w:val="00BA400C"/>
    <w:rsid w:val="00BA49E2"/>
    <w:rsid w:val="00BA4C59"/>
    <w:rsid w:val="00BA569A"/>
    <w:rsid w:val="00BB0444"/>
    <w:rsid w:val="00BB308C"/>
    <w:rsid w:val="00BB38E1"/>
    <w:rsid w:val="00BB3C28"/>
    <w:rsid w:val="00BB404F"/>
    <w:rsid w:val="00BB4182"/>
    <w:rsid w:val="00BB6037"/>
    <w:rsid w:val="00BB6F53"/>
    <w:rsid w:val="00BC01C8"/>
    <w:rsid w:val="00BC0B03"/>
    <w:rsid w:val="00BC134E"/>
    <w:rsid w:val="00BC25AE"/>
    <w:rsid w:val="00BC3ED8"/>
    <w:rsid w:val="00BC6501"/>
    <w:rsid w:val="00BD015C"/>
    <w:rsid w:val="00BD03D7"/>
    <w:rsid w:val="00BD1013"/>
    <w:rsid w:val="00BD1BE1"/>
    <w:rsid w:val="00BD2964"/>
    <w:rsid w:val="00BD2DBC"/>
    <w:rsid w:val="00BD3400"/>
    <w:rsid w:val="00BD3B6A"/>
    <w:rsid w:val="00BD5BDD"/>
    <w:rsid w:val="00BD606F"/>
    <w:rsid w:val="00BD62A3"/>
    <w:rsid w:val="00BD6B06"/>
    <w:rsid w:val="00BD6B6A"/>
    <w:rsid w:val="00BD6EBA"/>
    <w:rsid w:val="00BE03E8"/>
    <w:rsid w:val="00BE0EE3"/>
    <w:rsid w:val="00BE11D9"/>
    <w:rsid w:val="00BE1238"/>
    <w:rsid w:val="00BE29E6"/>
    <w:rsid w:val="00BE40F4"/>
    <w:rsid w:val="00BE518D"/>
    <w:rsid w:val="00BE5434"/>
    <w:rsid w:val="00BE5939"/>
    <w:rsid w:val="00BE6396"/>
    <w:rsid w:val="00BE7B40"/>
    <w:rsid w:val="00BF1D16"/>
    <w:rsid w:val="00BF274B"/>
    <w:rsid w:val="00BF31F8"/>
    <w:rsid w:val="00BF544A"/>
    <w:rsid w:val="00BF5FEB"/>
    <w:rsid w:val="00BF61CB"/>
    <w:rsid w:val="00BF7FAA"/>
    <w:rsid w:val="00C0008A"/>
    <w:rsid w:val="00C0012C"/>
    <w:rsid w:val="00C0027B"/>
    <w:rsid w:val="00C009ED"/>
    <w:rsid w:val="00C01302"/>
    <w:rsid w:val="00C016CF"/>
    <w:rsid w:val="00C019AE"/>
    <w:rsid w:val="00C033BC"/>
    <w:rsid w:val="00C05039"/>
    <w:rsid w:val="00C05675"/>
    <w:rsid w:val="00C06E65"/>
    <w:rsid w:val="00C07EF7"/>
    <w:rsid w:val="00C128A4"/>
    <w:rsid w:val="00C133E6"/>
    <w:rsid w:val="00C13D4A"/>
    <w:rsid w:val="00C153DB"/>
    <w:rsid w:val="00C15EF1"/>
    <w:rsid w:val="00C1679B"/>
    <w:rsid w:val="00C2014D"/>
    <w:rsid w:val="00C20B15"/>
    <w:rsid w:val="00C22281"/>
    <w:rsid w:val="00C22C0A"/>
    <w:rsid w:val="00C24802"/>
    <w:rsid w:val="00C2623B"/>
    <w:rsid w:val="00C263BD"/>
    <w:rsid w:val="00C32CC6"/>
    <w:rsid w:val="00C34E0C"/>
    <w:rsid w:val="00C3510F"/>
    <w:rsid w:val="00C35657"/>
    <w:rsid w:val="00C36977"/>
    <w:rsid w:val="00C371AB"/>
    <w:rsid w:val="00C40F80"/>
    <w:rsid w:val="00C42718"/>
    <w:rsid w:val="00C42E9F"/>
    <w:rsid w:val="00C43040"/>
    <w:rsid w:val="00C451CA"/>
    <w:rsid w:val="00C464A9"/>
    <w:rsid w:val="00C472C8"/>
    <w:rsid w:val="00C474C0"/>
    <w:rsid w:val="00C47EEC"/>
    <w:rsid w:val="00C5088B"/>
    <w:rsid w:val="00C526B3"/>
    <w:rsid w:val="00C52B7C"/>
    <w:rsid w:val="00C55338"/>
    <w:rsid w:val="00C576FC"/>
    <w:rsid w:val="00C57FE1"/>
    <w:rsid w:val="00C61D68"/>
    <w:rsid w:val="00C61F53"/>
    <w:rsid w:val="00C64423"/>
    <w:rsid w:val="00C6497F"/>
    <w:rsid w:val="00C64A39"/>
    <w:rsid w:val="00C651EA"/>
    <w:rsid w:val="00C65E57"/>
    <w:rsid w:val="00C661B3"/>
    <w:rsid w:val="00C66395"/>
    <w:rsid w:val="00C663C3"/>
    <w:rsid w:val="00C70001"/>
    <w:rsid w:val="00C70838"/>
    <w:rsid w:val="00C71049"/>
    <w:rsid w:val="00C71A38"/>
    <w:rsid w:val="00C72B1E"/>
    <w:rsid w:val="00C75F64"/>
    <w:rsid w:val="00C76327"/>
    <w:rsid w:val="00C76765"/>
    <w:rsid w:val="00C76A93"/>
    <w:rsid w:val="00C76D44"/>
    <w:rsid w:val="00C80E80"/>
    <w:rsid w:val="00C812EC"/>
    <w:rsid w:val="00C81E81"/>
    <w:rsid w:val="00C83104"/>
    <w:rsid w:val="00C83440"/>
    <w:rsid w:val="00C87993"/>
    <w:rsid w:val="00C87EB0"/>
    <w:rsid w:val="00C915D0"/>
    <w:rsid w:val="00C91675"/>
    <w:rsid w:val="00C91F4E"/>
    <w:rsid w:val="00C92514"/>
    <w:rsid w:val="00C92A72"/>
    <w:rsid w:val="00C92B63"/>
    <w:rsid w:val="00C9371D"/>
    <w:rsid w:val="00C939C4"/>
    <w:rsid w:val="00C95229"/>
    <w:rsid w:val="00C9533F"/>
    <w:rsid w:val="00C96392"/>
    <w:rsid w:val="00C9670E"/>
    <w:rsid w:val="00CA1E91"/>
    <w:rsid w:val="00CA1F99"/>
    <w:rsid w:val="00CA38ED"/>
    <w:rsid w:val="00CA3AC2"/>
    <w:rsid w:val="00CA43E1"/>
    <w:rsid w:val="00CA4570"/>
    <w:rsid w:val="00CA4E84"/>
    <w:rsid w:val="00CA54B9"/>
    <w:rsid w:val="00CA5536"/>
    <w:rsid w:val="00CB0BE9"/>
    <w:rsid w:val="00CB1AE3"/>
    <w:rsid w:val="00CB2519"/>
    <w:rsid w:val="00CB3DBE"/>
    <w:rsid w:val="00CB713C"/>
    <w:rsid w:val="00CC0619"/>
    <w:rsid w:val="00CC0A3C"/>
    <w:rsid w:val="00CC0AD3"/>
    <w:rsid w:val="00CC13D1"/>
    <w:rsid w:val="00CC13FB"/>
    <w:rsid w:val="00CC3C8E"/>
    <w:rsid w:val="00CC3F8E"/>
    <w:rsid w:val="00CC4620"/>
    <w:rsid w:val="00CC6C09"/>
    <w:rsid w:val="00CD0345"/>
    <w:rsid w:val="00CD0E93"/>
    <w:rsid w:val="00CD14B9"/>
    <w:rsid w:val="00CD1975"/>
    <w:rsid w:val="00CD198D"/>
    <w:rsid w:val="00CD35CA"/>
    <w:rsid w:val="00CD4EB1"/>
    <w:rsid w:val="00CD501F"/>
    <w:rsid w:val="00CD599C"/>
    <w:rsid w:val="00CD7FEA"/>
    <w:rsid w:val="00CE00EB"/>
    <w:rsid w:val="00CE2B0E"/>
    <w:rsid w:val="00CE6F10"/>
    <w:rsid w:val="00CE7293"/>
    <w:rsid w:val="00CF060F"/>
    <w:rsid w:val="00CF0654"/>
    <w:rsid w:val="00CF0C84"/>
    <w:rsid w:val="00CF18E7"/>
    <w:rsid w:val="00CF2606"/>
    <w:rsid w:val="00CF3173"/>
    <w:rsid w:val="00CF32B4"/>
    <w:rsid w:val="00CF40CE"/>
    <w:rsid w:val="00CF5F2E"/>
    <w:rsid w:val="00CF68A2"/>
    <w:rsid w:val="00CF70AC"/>
    <w:rsid w:val="00CF71BF"/>
    <w:rsid w:val="00D013F7"/>
    <w:rsid w:val="00D02B8A"/>
    <w:rsid w:val="00D0458E"/>
    <w:rsid w:val="00D04AB3"/>
    <w:rsid w:val="00D0579C"/>
    <w:rsid w:val="00D05C2E"/>
    <w:rsid w:val="00D070D3"/>
    <w:rsid w:val="00D079AA"/>
    <w:rsid w:val="00D07C50"/>
    <w:rsid w:val="00D112F5"/>
    <w:rsid w:val="00D11B79"/>
    <w:rsid w:val="00D12B77"/>
    <w:rsid w:val="00D1391A"/>
    <w:rsid w:val="00D146B5"/>
    <w:rsid w:val="00D14B44"/>
    <w:rsid w:val="00D14BB8"/>
    <w:rsid w:val="00D20643"/>
    <w:rsid w:val="00D21135"/>
    <w:rsid w:val="00D21276"/>
    <w:rsid w:val="00D21DC4"/>
    <w:rsid w:val="00D2216E"/>
    <w:rsid w:val="00D231E9"/>
    <w:rsid w:val="00D2400A"/>
    <w:rsid w:val="00D24800"/>
    <w:rsid w:val="00D2483C"/>
    <w:rsid w:val="00D252B7"/>
    <w:rsid w:val="00D26F07"/>
    <w:rsid w:val="00D2710D"/>
    <w:rsid w:val="00D2727D"/>
    <w:rsid w:val="00D27C02"/>
    <w:rsid w:val="00D302E3"/>
    <w:rsid w:val="00D30C6A"/>
    <w:rsid w:val="00D31404"/>
    <w:rsid w:val="00D3287B"/>
    <w:rsid w:val="00D32B67"/>
    <w:rsid w:val="00D3405D"/>
    <w:rsid w:val="00D343F9"/>
    <w:rsid w:val="00D3764A"/>
    <w:rsid w:val="00D408DA"/>
    <w:rsid w:val="00D414A9"/>
    <w:rsid w:val="00D416B6"/>
    <w:rsid w:val="00D41DC6"/>
    <w:rsid w:val="00D42B46"/>
    <w:rsid w:val="00D43F39"/>
    <w:rsid w:val="00D46725"/>
    <w:rsid w:val="00D468A5"/>
    <w:rsid w:val="00D47595"/>
    <w:rsid w:val="00D511BF"/>
    <w:rsid w:val="00D51D05"/>
    <w:rsid w:val="00D53674"/>
    <w:rsid w:val="00D54308"/>
    <w:rsid w:val="00D547F0"/>
    <w:rsid w:val="00D54BD4"/>
    <w:rsid w:val="00D55377"/>
    <w:rsid w:val="00D560A9"/>
    <w:rsid w:val="00D56FA9"/>
    <w:rsid w:val="00D5718D"/>
    <w:rsid w:val="00D61C13"/>
    <w:rsid w:val="00D62180"/>
    <w:rsid w:val="00D64FFD"/>
    <w:rsid w:val="00D6505A"/>
    <w:rsid w:val="00D652FD"/>
    <w:rsid w:val="00D65602"/>
    <w:rsid w:val="00D66149"/>
    <w:rsid w:val="00D67004"/>
    <w:rsid w:val="00D67235"/>
    <w:rsid w:val="00D70A32"/>
    <w:rsid w:val="00D71551"/>
    <w:rsid w:val="00D71A78"/>
    <w:rsid w:val="00D72127"/>
    <w:rsid w:val="00D756BB"/>
    <w:rsid w:val="00D761E1"/>
    <w:rsid w:val="00D7654E"/>
    <w:rsid w:val="00D76E62"/>
    <w:rsid w:val="00D771D4"/>
    <w:rsid w:val="00D77702"/>
    <w:rsid w:val="00D801DA"/>
    <w:rsid w:val="00D81034"/>
    <w:rsid w:val="00D8325D"/>
    <w:rsid w:val="00D8467E"/>
    <w:rsid w:val="00D84F2F"/>
    <w:rsid w:val="00D86451"/>
    <w:rsid w:val="00D8652D"/>
    <w:rsid w:val="00D86926"/>
    <w:rsid w:val="00D86B42"/>
    <w:rsid w:val="00D90658"/>
    <w:rsid w:val="00D90674"/>
    <w:rsid w:val="00D90C9F"/>
    <w:rsid w:val="00D9146C"/>
    <w:rsid w:val="00D914D1"/>
    <w:rsid w:val="00D9275E"/>
    <w:rsid w:val="00D92BE2"/>
    <w:rsid w:val="00D94896"/>
    <w:rsid w:val="00D96D13"/>
    <w:rsid w:val="00D9717C"/>
    <w:rsid w:val="00D97A9D"/>
    <w:rsid w:val="00D97A9F"/>
    <w:rsid w:val="00DA0334"/>
    <w:rsid w:val="00DA05A7"/>
    <w:rsid w:val="00DA0BD3"/>
    <w:rsid w:val="00DA2704"/>
    <w:rsid w:val="00DA338F"/>
    <w:rsid w:val="00DA412C"/>
    <w:rsid w:val="00DA4345"/>
    <w:rsid w:val="00DA49CF"/>
    <w:rsid w:val="00DA6A4B"/>
    <w:rsid w:val="00DA76E0"/>
    <w:rsid w:val="00DB0CEE"/>
    <w:rsid w:val="00DB1298"/>
    <w:rsid w:val="00DB1EE6"/>
    <w:rsid w:val="00DB29B6"/>
    <w:rsid w:val="00DB2D36"/>
    <w:rsid w:val="00DB377D"/>
    <w:rsid w:val="00DB4402"/>
    <w:rsid w:val="00DB4499"/>
    <w:rsid w:val="00DB4990"/>
    <w:rsid w:val="00DB5BE1"/>
    <w:rsid w:val="00DB5CF0"/>
    <w:rsid w:val="00DB6D6B"/>
    <w:rsid w:val="00DC0EA6"/>
    <w:rsid w:val="00DC17A6"/>
    <w:rsid w:val="00DC1C8D"/>
    <w:rsid w:val="00DC220E"/>
    <w:rsid w:val="00DC31E4"/>
    <w:rsid w:val="00DC4678"/>
    <w:rsid w:val="00DC47CA"/>
    <w:rsid w:val="00DC5BD8"/>
    <w:rsid w:val="00DD3797"/>
    <w:rsid w:val="00DD379D"/>
    <w:rsid w:val="00DD3836"/>
    <w:rsid w:val="00DD4F4D"/>
    <w:rsid w:val="00DD5A91"/>
    <w:rsid w:val="00DD5CF4"/>
    <w:rsid w:val="00DD642E"/>
    <w:rsid w:val="00DD705B"/>
    <w:rsid w:val="00DD7164"/>
    <w:rsid w:val="00DD7FB2"/>
    <w:rsid w:val="00DE0795"/>
    <w:rsid w:val="00DE24EC"/>
    <w:rsid w:val="00DE34DE"/>
    <w:rsid w:val="00DE35FE"/>
    <w:rsid w:val="00DE37CE"/>
    <w:rsid w:val="00DE550C"/>
    <w:rsid w:val="00DE5D19"/>
    <w:rsid w:val="00DE61BF"/>
    <w:rsid w:val="00DE6553"/>
    <w:rsid w:val="00DE76AE"/>
    <w:rsid w:val="00DF03E7"/>
    <w:rsid w:val="00DF0544"/>
    <w:rsid w:val="00DF0B8F"/>
    <w:rsid w:val="00DF2C6C"/>
    <w:rsid w:val="00DF4E35"/>
    <w:rsid w:val="00DF4F1D"/>
    <w:rsid w:val="00DF61DB"/>
    <w:rsid w:val="00DF7DC6"/>
    <w:rsid w:val="00E0125E"/>
    <w:rsid w:val="00E01FB0"/>
    <w:rsid w:val="00E028C6"/>
    <w:rsid w:val="00E02F86"/>
    <w:rsid w:val="00E04332"/>
    <w:rsid w:val="00E04FD3"/>
    <w:rsid w:val="00E05D69"/>
    <w:rsid w:val="00E0600D"/>
    <w:rsid w:val="00E06051"/>
    <w:rsid w:val="00E07EC5"/>
    <w:rsid w:val="00E106A8"/>
    <w:rsid w:val="00E10E13"/>
    <w:rsid w:val="00E1158A"/>
    <w:rsid w:val="00E11EDF"/>
    <w:rsid w:val="00E12929"/>
    <w:rsid w:val="00E148F2"/>
    <w:rsid w:val="00E15F45"/>
    <w:rsid w:val="00E1774A"/>
    <w:rsid w:val="00E2137B"/>
    <w:rsid w:val="00E21EE9"/>
    <w:rsid w:val="00E22991"/>
    <w:rsid w:val="00E230B1"/>
    <w:rsid w:val="00E233C6"/>
    <w:rsid w:val="00E2440C"/>
    <w:rsid w:val="00E2457B"/>
    <w:rsid w:val="00E25059"/>
    <w:rsid w:val="00E2581F"/>
    <w:rsid w:val="00E25FB2"/>
    <w:rsid w:val="00E27E6D"/>
    <w:rsid w:val="00E3019E"/>
    <w:rsid w:val="00E30C1E"/>
    <w:rsid w:val="00E310A5"/>
    <w:rsid w:val="00E31335"/>
    <w:rsid w:val="00E317DF"/>
    <w:rsid w:val="00E33C4F"/>
    <w:rsid w:val="00E33D91"/>
    <w:rsid w:val="00E33DDB"/>
    <w:rsid w:val="00E3533D"/>
    <w:rsid w:val="00E354EC"/>
    <w:rsid w:val="00E35BC3"/>
    <w:rsid w:val="00E362AD"/>
    <w:rsid w:val="00E3630F"/>
    <w:rsid w:val="00E36754"/>
    <w:rsid w:val="00E37B68"/>
    <w:rsid w:val="00E4141A"/>
    <w:rsid w:val="00E416ED"/>
    <w:rsid w:val="00E42260"/>
    <w:rsid w:val="00E429F2"/>
    <w:rsid w:val="00E42BC0"/>
    <w:rsid w:val="00E430DE"/>
    <w:rsid w:val="00E4380E"/>
    <w:rsid w:val="00E453F2"/>
    <w:rsid w:val="00E4561C"/>
    <w:rsid w:val="00E45D77"/>
    <w:rsid w:val="00E466FC"/>
    <w:rsid w:val="00E50CEF"/>
    <w:rsid w:val="00E54E5D"/>
    <w:rsid w:val="00E55A9F"/>
    <w:rsid w:val="00E55DAF"/>
    <w:rsid w:val="00E57140"/>
    <w:rsid w:val="00E57C72"/>
    <w:rsid w:val="00E602D1"/>
    <w:rsid w:val="00E60B66"/>
    <w:rsid w:val="00E62044"/>
    <w:rsid w:val="00E6227C"/>
    <w:rsid w:val="00E624F8"/>
    <w:rsid w:val="00E62B44"/>
    <w:rsid w:val="00E63C5C"/>
    <w:rsid w:val="00E63CC5"/>
    <w:rsid w:val="00E648C5"/>
    <w:rsid w:val="00E64FF8"/>
    <w:rsid w:val="00E654CA"/>
    <w:rsid w:val="00E70BF7"/>
    <w:rsid w:val="00E728CA"/>
    <w:rsid w:val="00E72C4A"/>
    <w:rsid w:val="00E745B5"/>
    <w:rsid w:val="00E74C83"/>
    <w:rsid w:val="00E75F8D"/>
    <w:rsid w:val="00E76D8E"/>
    <w:rsid w:val="00E77AAB"/>
    <w:rsid w:val="00E81CB4"/>
    <w:rsid w:val="00E84B10"/>
    <w:rsid w:val="00E84E21"/>
    <w:rsid w:val="00E85B8E"/>
    <w:rsid w:val="00E86A7E"/>
    <w:rsid w:val="00E86D5D"/>
    <w:rsid w:val="00E9052D"/>
    <w:rsid w:val="00E91936"/>
    <w:rsid w:val="00E91955"/>
    <w:rsid w:val="00E92460"/>
    <w:rsid w:val="00E9277E"/>
    <w:rsid w:val="00E92A61"/>
    <w:rsid w:val="00E93B9C"/>
    <w:rsid w:val="00E95058"/>
    <w:rsid w:val="00E965D8"/>
    <w:rsid w:val="00E96C4E"/>
    <w:rsid w:val="00E97C95"/>
    <w:rsid w:val="00EA04AE"/>
    <w:rsid w:val="00EA0C74"/>
    <w:rsid w:val="00EA11FE"/>
    <w:rsid w:val="00EA303B"/>
    <w:rsid w:val="00EA382B"/>
    <w:rsid w:val="00EA4264"/>
    <w:rsid w:val="00EA550B"/>
    <w:rsid w:val="00EA6E2F"/>
    <w:rsid w:val="00EA78D3"/>
    <w:rsid w:val="00EB0563"/>
    <w:rsid w:val="00EB2597"/>
    <w:rsid w:val="00EB4F36"/>
    <w:rsid w:val="00EB5A1D"/>
    <w:rsid w:val="00EB63DF"/>
    <w:rsid w:val="00EB6EA5"/>
    <w:rsid w:val="00EB6EAE"/>
    <w:rsid w:val="00EC04CD"/>
    <w:rsid w:val="00EC0E05"/>
    <w:rsid w:val="00EC1418"/>
    <w:rsid w:val="00EC1889"/>
    <w:rsid w:val="00EC2C11"/>
    <w:rsid w:val="00EC2F2D"/>
    <w:rsid w:val="00EC3DE2"/>
    <w:rsid w:val="00EC47B5"/>
    <w:rsid w:val="00EC4F5B"/>
    <w:rsid w:val="00EC57E1"/>
    <w:rsid w:val="00EC6E62"/>
    <w:rsid w:val="00ED1D46"/>
    <w:rsid w:val="00ED263C"/>
    <w:rsid w:val="00ED2887"/>
    <w:rsid w:val="00ED2BA6"/>
    <w:rsid w:val="00ED2EAD"/>
    <w:rsid w:val="00ED362F"/>
    <w:rsid w:val="00ED378A"/>
    <w:rsid w:val="00ED37EE"/>
    <w:rsid w:val="00ED3C3E"/>
    <w:rsid w:val="00ED3C45"/>
    <w:rsid w:val="00ED3CAB"/>
    <w:rsid w:val="00ED3F93"/>
    <w:rsid w:val="00ED4F6E"/>
    <w:rsid w:val="00ED57CE"/>
    <w:rsid w:val="00ED7A5C"/>
    <w:rsid w:val="00EE02EB"/>
    <w:rsid w:val="00EE0324"/>
    <w:rsid w:val="00EE0B03"/>
    <w:rsid w:val="00EE13A9"/>
    <w:rsid w:val="00EE1A44"/>
    <w:rsid w:val="00EE1D11"/>
    <w:rsid w:val="00EE28A0"/>
    <w:rsid w:val="00EE34FD"/>
    <w:rsid w:val="00EE5DB4"/>
    <w:rsid w:val="00EF124E"/>
    <w:rsid w:val="00EF1717"/>
    <w:rsid w:val="00EF2A14"/>
    <w:rsid w:val="00EF468A"/>
    <w:rsid w:val="00EF49C5"/>
    <w:rsid w:val="00EF53AC"/>
    <w:rsid w:val="00EF62E4"/>
    <w:rsid w:val="00EF6446"/>
    <w:rsid w:val="00EF6D15"/>
    <w:rsid w:val="00EF7BF7"/>
    <w:rsid w:val="00F00109"/>
    <w:rsid w:val="00F00772"/>
    <w:rsid w:val="00F00CE6"/>
    <w:rsid w:val="00F03532"/>
    <w:rsid w:val="00F0416B"/>
    <w:rsid w:val="00F05623"/>
    <w:rsid w:val="00F05ECC"/>
    <w:rsid w:val="00F060FF"/>
    <w:rsid w:val="00F06FAD"/>
    <w:rsid w:val="00F07B0C"/>
    <w:rsid w:val="00F10F55"/>
    <w:rsid w:val="00F13B85"/>
    <w:rsid w:val="00F14082"/>
    <w:rsid w:val="00F14272"/>
    <w:rsid w:val="00F147A8"/>
    <w:rsid w:val="00F150EF"/>
    <w:rsid w:val="00F16123"/>
    <w:rsid w:val="00F16425"/>
    <w:rsid w:val="00F2089C"/>
    <w:rsid w:val="00F20D3E"/>
    <w:rsid w:val="00F22663"/>
    <w:rsid w:val="00F2268C"/>
    <w:rsid w:val="00F23399"/>
    <w:rsid w:val="00F2390C"/>
    <w:rsid w:val="00F243E6"/>
    <w:rsid w:val="00F25126"/>
    <w:rsid w:val="00F26653"/>
    <w:rsid w:val="00F26F5A"/>
    <w:rsid w:val="00F27EAD"/>
    <w:rsid w:val="00F308EB"/>
    <w:rsid w:val="00F3094C"/>
    <w:rsid w:val="00F3141F"/>
    <w:rsid w:val="00F3273D"/>
    <w:rsid w:val="00F32BEA"/>
    <w:rsid w:val="00F332AC"/>
    <w:rsid w:val="00F336E3"/>
    <w:rsid w:val="00F34929"/>
    <w:rsid w:val="00F37B42"/>
    <w:rsid w:val="00F41B50"/>
    <w:rsid w:val="00F420A4"/>
    <w:rsid w:val="00F43623"/>
    <w:rsid w:val="00F4596C"/>
    <w:rsid w:val="00F45970"/>
    <w:rsid w:val="00F463B4"/>
    <w:rsid w:val="00F512E2"/>
    <w:rsid w:val="00F5231C"/>
    <w:rsid w:val="00F525EF"/>
    <w:rsid w:val="00F52833"/>
    <w:rsid w:val="00F52D8D"/>
    <w:rsid w:val="00F54A0D"/>
    <w:rsid w:val="00F556BB"/>
    <w:rsid w:val="00F6112B"/>
    <w:rsid w:val="00F61D62"/>
    <w:rsid w:val="00F62A5F"/>
    <w:rsid w:val="00F6351E"/>
    <w:rsid w:val="00F64AA9"/>
    <w:rsid w:val="00F659AB"/>
    <w:rsid w:val="00F66053"/>
    <w:rsid w:val="00F67915"/>
    <w:rsid w:val="00F67E60"/>
    <w:rsid w:val="00F705B9"/>
    <w:rsid w:val="00F70877"/>
    <w:rsid w:val="00F70A0A"/>
    <w:rsid w:val="00F7207D"/>
    <w:rsid w:val="00F73CC4"/>
    <w:rsid w:val="00F740A2"/>
    <w:rsid w:val="00F74EE2"/>
    <w:rsid w:val="00F751A1"/>
    <w:rsid w:val="00F7542E"/>
    <w:rsid w:val="00F755AB"/>
    <w:rsid w:val="00F7618D"/>
    <w:rsid w:val="00F769B6"/>
    <w:rsid w:val="00F7729F"/>
    <w:rsid w:val="00F80981"/>
    <w:rsid w:val="00F80E26"/>
    <w:rsid w:val="00F82980"/>
    <w:rsid w:val="00F82FF3"/>
    <w:rsid w:val="00F83B1A"/>
    <w:rsid w:val="00F844B3"/>
    <w:rsid w:val="00F858B9"/>
    <w:rsid w:val="00F85A43"/>
    <w:rsid w:val="00F86714"/>
    <w:rsid w:val="00F873CA"/>
    <w:rsid w:val="00F87B80"/>
    <w:rsid w:val="00F907EF"/>
    <w:rsid w:val="00F923F1"/>
    <w:rsid w:val="00F926C0"/>
    <w:rsid w:val="00F92704"/>
    <w:rsid w:val="00F93AC9"/>
    <w:rsid w:val="00F96B88"/>
    <w:rsid w:val="00F97FE6"/>
    <w:rsid w:val="00FA1907"/>
    <w:rsid w:val="00FA1A59"/>
    <w:rsid w:val="00FA3574"/>
    <w:rsid w:val="00FA3694"/>
    <w:rsid w:val="00FA41B1"/>
    <w:rsid w:val="00FA557F"/>
    <w:rsid w:val="00FA67F1"/>
    <w:rsid w:val="00FA69F6"/>
    <w:rsid w:val="00FA6F3E"/>
    <w:rsid w:val="00FB15A9"/>
    <w:rsid w:val="00FB1C96"/>
    <w:rsid w:val="00FB2A31"/>
    <w:rsid w:val="00FB3AA8"/>
    <w:rsid w:val="00FB40A5"/>
    <w:rsid w:val="00FB5C69"/>
    <w:rsid w:val="00FB61BA"/>
    <w:rsid w:val="00FB71EF"/>
    <w:rsid w:val="00FB7484"/>
    <w:rsid w:val="00FB7799"/>
    <w:rsid w:val="00FB7B1C"/>
    <w:rsid w:val="00FC0278"/>
    <w:rsid w:val="00FC3174"/>
    <w:rsid w:val="00FC35C1"/>
    <w:rsid w:val="00FC66BB"/>
    <w:rsid w:val="00FD03C9"/>
    <w:rsid w:val="00FD045D"/>
    <w:rsid w:val="00FD0769"/>
    <w:rsid w:val="00FD23F9"/>
    <w:rsid w:val="00FD2768"/>
    <w:rsid w:val="00FD5B2B"/>
    <w:rsid w:val="00FD670E"/>
    <w:rsid w:val="00FE07D6"/>
    <w:rsid w:val="00FE1F3B"/>
    <w:rsid w:val="00FE2538"/>
    <w:rsid w:val="00FE3E38"/>
    <w:rsid w:val="00FE5796"/>
    <w:rsid w:val="00FE7DCC"/>
    <w:rsid w:val="00FF004F"/>
    <w:rsid w:val="00FF00D4"/>
    <w:rsid w:val="00FF02B1"/>
    <w:rsid w:val="00FF3E0F"/>
    <w:rsid w:val="00FF5064"/>
    <w:rsid w:val="00FF5E85"/>
    <w:rsid w:val="00FF69B7"/>
    <w:rsid w:val="00FF7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4932"/>
  <w15:docId w15:val="{CE465C5E-B623-4DB5-8BF9-6E0D31C1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694"/>
  </w:style>
  <w:style w:type="paragraph" w:styleId="Heading1">
    <w:name w:val="heading 1"/>
    <w:basedOn w:val="Normal"/>
    <w:next w:val="Normal"/>
    <w:uiPriority w:val="9"/>
    <w:qFormat/>
    <w:rsid w:val="0091319A"/>
    <w:pPr>
      <w:numPr>
        <w:numId w:val="3"/>
      </w:numPr>
      <w:jc w:val="center"/>
      <w:outlineLvl w:val="0"/>
    </w:pPr>
    <w:rPr>
      <w:b/>
      <w:bCs/>
      <w:sz w:val="28"/>
      <w:szCs w:val="28"/>
    </w:rPr>
  </w:style>
  <w:style w:type="paragraph" w:styleId="Heading2">
    <w:name w:val="heading 2"/>
    <w:basedOn w:val="Normal"/>
    <w:next w:val="Normal"/>
    <w:uiPriority w:val="9"/>
    <w:unhideWhenUsed/>
    <w:qFormat/>
    <w:rsid w:val="00D1391A"/>
    <w:pPr>
      <w:numPr>
        <w:ilvl w:val="1"/>
        <w:numId w:val="3"/>
      </w:numPr>
      <w:jc w:val="center"/>
      <w:outlineLvl w:val="1"/>
    </w:pPr>
    <w:rPr>
      <w:b/>
      <w:bCs/>
      <w:sz w:val="28"/>
      <w:szCs w:val="28"/>
    </w:rPr>
  </w:style>
  <w:style w:type="paragraph" w:styleId="Heading3">
    <w:name w:val="heading 3"/>
    <w:basedOn w:val="Normal"/>
    <w:next w:val="Normal"/>
    <w:uiPriority w:val="9"/>
    <w:unhideWhenUsed/>
    <w:qFormat/>
    <w:rsid w:val="00A4103C"/>
    <w:pPr>
      <w:numPr>
        <w:ilvl w:val="2"/>
        <w:numId w:val="3"/>
      </w:numPr>
      <w:jc w:val="center"/>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037EE9"/>
    <w:pPr>
      <w:keepNext/>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037EE9"/>
    <w:pPr>
      <w:spacing w:after="100"/>
    </w:pPr>
  </w:style>
  <w:style w:type="character" w:styleId="Hyperlink">
    <w:name w:val="Hyperlink"/>
    <w:basedOn w:val="DefaultParagraphFont"/>
    <w:uiPriority w:val="99"/>
    <w:unhideWhenUsed/>
    <w:rsid w:val="00037EE9"/>
    <w:rPr>
      <w:color w:val="0000FF" w:themeColor="hyperlink"/>
      <w:u w:val="single"/>
    </w:rPr>
  </w:style>
  <w:style w:type="paragraph" w:styleId="ListParagraph">
    <w:name w:val="List Paragraph"/>
    <w:basedOn w:val="Normal"/>
    <w:uiPriority w:val="34"/>
    <w:qFormat/>
    <w:rsid w:val="006053BE"/>
    <w:pPr>
      <w:ind w:left="720"/>
      <w:contextualSpacing/>
    </w:pPr>
  </w:style>
  <w:style w:type="paragraph" w:styleId="TOC2">
    <w:name w:val="toc 2"/>
    <w:basedOn w:val="Normal"/>
    <w:next w:val="Normal"/>
    <w:autoRedefine/>
    <w:uiPriority w:val="39"/>
    <w:unhideWhenUsed/>
    <w:rsid w:val="006F6D4B"/>
    <w:pPr>
      <w:spacing w:after="100"/>
      <w:ind w:left="240"/>
    </w:pPr>
  </w:style>
  <w:style w:type="paragraph" w:styleId="TOC3">
    <w:name w:val="toc 3"/>
    <w:basedOn w:val="Normal"/>
    <w:next w:val="Normal"/>
    <w:autoRedefine/>
    <w:uiPriority w:val="39"/>
    <w:unhideWhenUsed/>
    <w:rsid w:val="00EE0B03"/>
    <w:pPr>
      <w:spacing w:after="100"/>
      <w:ind w:left="480"/>
    </w:pPr>
  </w:style>
  <w:style w:type="character" w:styleId="UnresolvedMention">
    <w:name w:val="Unresolved Mention"/>
    <w:basedOn w:val="DefaultParagraphFont"/>
    <w:uiPriority w:val="99"/>
    <w:semiHidden/>
    <w:unhideWhenUsed/>
    <w:rsid w:val="00A96E7A"/>
    <w:rPr>
      <w:color w:val="605E5C"/>
      <w:shd w:val="clear" w:color="auto" w:fill="E1DFDD"/>
    </w:rPr>
  </w:style>
  <w:style w:type="character" w:styleId="PlaceholderText">
    <w:name w:val="Placeholder Text"/>
    <w:basedOn w:val="DefaultParagraphFont"/>
    <w:uiPriority w:val="99"/>
    <w:semiHidden/>
    <w:rsid w:val="00AE35D5"/>
    <w:rPr>
      <w:color w:val="666666"/>
    </w:rPr>
  </w:style>
  <w:style w:type="table" w:styleId="PlainTable2">
    <w:name w:val="Plain Table 2"/>
    <w:basedOn w:val="TableNormal"/>
    <w:uiPriority w:val="42"/>
    <w:rsid w:val="0058690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9A5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377D4"/>
    <w:pPr>
      <w:spacing w:after="200"/>
    </w:pPr>
    <w:rPr>
      <w:i/>
      <w:iCs/>
      <w:color w:val="1F497D" w:themeColor="text2"/>
      <w:sz w:val="18"/>
      <w:szCs w:val="18"/>
    </w:rPr>
  </w:style>
  <w:style w:type="paragraph" w:styleId="NormalWeb">
    <w:name w:val="Normal (Web)"/>
    <w:basedOn w:val="Normal"/>
    <w:uiPriority w:val="99"/>
    <w:unhideWhenUsed/>
    <w:rsid w:val="002D0C10"/>
    <w:pPr>
      <w:spacing w:before="100" w:beforeAutospacing="1" w:after="100" w:afterAutospacing="1"/>
    </w:pPr>
    <w:rPr>
      <w:lang w:val="en-US"/>
    </w:rPr>
  </w:style>
  <w:style w:type="character" w:styleId="Emphasis">
    <w:name w:val="Emphasis"/>
    <w:basedOn w:val="DefaultParagraphFont"/>
    <w:uiPriority w:val="20"/>
    <w:qFormat/>
    <w:rsid w:val="002D0C10"/>
    <w:rPr>
      <w:i/>
      <w:iCs/>
    </w:rPr>
  </w:style>
  <w:style w:type="table" w:styleId="PlainTable1">
    <w:name w:val="Plain Table 1"/>
    <w:basedOn w:val="TableNormal"/>
    <w:uiPriority w:val="41"/>
    <w:rsid w:val="009767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307719"/>
    <w:rPr>
      <w:b/>
      <w:bCs/>
    </w:rPr>
  </w:style>
  <w:style w:type="table" w:styleId="TableGridLight">
    <w:name w:val="Grid Table Light"/>
    <w:basedOn w:val="TableNormal"/>
    <w:uiPriority w:val="40"/>
    <w:rsid w:val="002A5B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653CE"/>
    <w:pPr>
      <w:tabs>
        <w:tab w:val="center" w:pos="4680"/>
        <w:tab w:val="right" w:pos="9360"/>
      </w:tabs>
    </w:pPr>
  </w:style>
  <w:style w:type="character" w:customStyle="1" w:styleId="HeaderChar">
    <w:name w:val="Header Char"/>
    <w:basedOn w:val="DefaultParagraphFont"/>
    <w:link w:val="Header"/>
    <w:uiPriority w:val="99"/>
    <w:rsid w:val="004653CE"/>
  </w:style>
  <w:style w:type="paragraph" w:styleId="Footer">
    <w:name w:val="footer"/>
    <w:basedOn w:val="Normal"/>
    <w:link w:val="FooterChar"/>
    <w:uiPriority w:val="99"/>
    <w:unhideWhenUsed/>
    <w:rsid w:val="004653CE"/>
    <w:pPr>
      <w:tabs>
        <w:tab w:val="center" w:pos="4680"/>
        <w:tab w:val="right" w:pos="9360"/>
      </w:tabs>
    </w:pPr>
  </w:style>
  <w:style w:type="character" w:customStyle="1" w:styleId="FooterChar">
    <w:name w:val="Footer Char"/>
    <w:basedOn w:val="DefaultParagraphFont"/>
    <w:link w:val="Footer"/>
    <w:uiPriority w:val="99"/>
    <w:rsid w:val="004653CE"/>
  </w:style>
  <w:style w:type="paragraph" w:styleId="FootnoteText">
    <w:name w:val="footnote text"/>
    <w:basedOn w:val="Normal"/>
    <w:link w:val="FootnoteTextChar"/>
    <w:uiPriority w:val="99"/>
    <w:semiHidden/>
    <w:unhideWhenUsed/>
    <w:rsid w:val="0079490E"/>
    <w:rPr>
      <w:sz w:val="20"/>
      <w:szCs w:val="20"/>
    </w:rPr>
  </w:style>
  <w:style w:type="character" w:customStyle="1" w:styleId="FootnoteTextChar">
    <w:name w:val="Footnote Text Char"/>
    <w:basedOn w:val="DefaultParagraphFont"/>
    <w:link w:val="FootnoteText"/>
    <w:uiPriority w:val="99"/>
    <w:semiHidden/>
    <w:rsid w:val="0079490E"/>
    <w:rPr>
      <w:sz w:val="20"/>
      <w:szCs w:val="20"/>
    </w:rPr>
  </w:style>
  <w:style w:type="character" w:styleId="FootnoteReference">
    <w:name w:val="footnote reference"/>
    <w:basedOn w:val="DefaultParagraphFont"/>
    <w:uiPriority w:val="99"/>
    <w:semiHidden/>
    <w:unhideWhenUsed/>
    <w:rsid w:val="007949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195">
      <w:marLeft w:val="0"/>
      <w:marRight w:val="0"/>
      <w:marTop w:val="0"/>
      <w:marBottom w:val="0"/>
      <w:divBdr>
        <w:top w:val="none" w:sz="0" w:space="0" w:color="auto"/>
        <w:left w:val="none" w:sz="0" w:space="0" w:color="auto"/>
        <w:bottom w:val="none" w:sz="0" w:space="0" w:color="auto"/>
        <w:right w:val="none" w:sz="0" w:space="0" w:color="auto"/>
      </w:divBdr>
    </w:div>
    <w:div w:id="861941925">
      <w:marLeft w:val="0"/>
      <w:marRight w:val="0"/>
      <w:marTop w:val="0"/>
      <w:marBottom w:val="0"/>
      <w:divBdr>
        <w:top w:val="none" w:sz="0" w:space="0" w:color="auto"/>
        <w:left w:val="none" w:sz="0" w:space="0" w:color="auto"/>
        <w:bottom w:val="none" w:sz="0" w:space="0" w:color="auto"/>
        <w:right w:val="none" w:sz="0" w:space="0" w:color="auto"/>
      </w:divBdr>
    </w:div>
    <w:div w:id="1226067247">
      <w:marLeft w:val="0"/>
      <w:marRight w:val="0"/>
      <w:marTop w:val="0"/>
      <w:marBottom w:val="0"/>
      <w:divBdr>
        <w:top w:val="none" w:sz="0" w:space="0" w:color="auto"/>
        <w:left w:val="none" w:sz="0" w:space="0" w:color="auto"/>
        <w:bottom w:val="none" w:sz="0" w:space="0" w:color="auto"/>
        <w:right w:val="none" w:sz="0" w:space="0" w:color="auto"/>
      </w:divBdr>
    </w:div>
    <w:div w:id="1901287257">
      <w:marLeft w:val="0"/>
      <w:marRight w:val="0"/>
      <w:marTop w:val="0"/>
      <w:marBottom w:val="0"/>
      <w:divBdr>
        <w:top w:val="none" w:sz="0" w:space="0" w:color="auto"/>
        <w:left w:val="none" w:sz="0" w:space="0" w:color="auto"/>
        <w:bottom w:val="none" w:sz="0" w:space="0" w:color="auto"/>
        <w:right w:val="none" w:sz="0" w:space="0" w:color="auto"/>
      </w:divBdr>
    </w:div>
    <w:div w:id="199452350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03094-3304-400E-9F19-C0192F71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12677</TotalTime>
  <Pages>20</Pages>
  <Words>8343</Words>
  <Characters>47558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Bloomberg LP</Company>
  <LinksUpToDate>false</LinksUpToDate>
  <CharactersWithSpaces>55790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Siqueira, Thiago</dc:creator>
  <cp:lastModifiedBy>Siqueira, Thiago</cp:lastModifiedBy>
  <cp:revision>218</cp:revision>
  <cp:lastPrinted>2026-01-18T13:10:00Z</cp:lastPrinted>
  <dcterms:created xsi:type="dcterms:W3CDTF">2026-04-05T23:10:00Z</dcterms:created>
  <dcterms:modified xsi:type="dcterms:W3CDTF">2026-05-01T19:59:00Z</dcterms:modified>
</cp:coreProperties>
</file>