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08DF10" w14:textId="77777777" w:rsidR="00103B39" w:rsidRDefault="00A5593E" w:rsidP="00A5593E">
      <w:pPr>
        <w:pStyle w:val="Heading1"/>
        <w:jc w:val="center"/>
      </w:pPr>
      <w:r>
        <w:t>Modelo de Serviços – Template</w:t>
      </w:r>
    </w:p>
    <w:p w14:paraId="2B6266EB" w14:textId="77777777" w:rsidR="00A5593E" w:rsidRDefault="00A5593E" w:rsidP="00A5593E">
      <w:pPr>
        <w:pStyle w:val="NoSpacing"/>
        <w:jc w:val="center"/>
      </w:pPr>
    </w:p>
    <w:p w14:paraId="791313D1" w14:textId="77777777" w:rsidR="00A5593E" w:rsidRDefault="00A5593E" w:rsidP="00A5593E">
      <w:pPr>
        <w:pStyle w:val="Heading1"/>
      </w:pPr>
      <w:r>
        <w:t>Objetivo</w:t>
      </w:r>
    </w:p>
    <w:p w14:paraId="332ABA83" w14:textId="097987D6" w:rsidR="007E52CC" w:rsidRDefault="00A5593E" w:rsidP="00A5593E">
      <w:pPr>
        <w:jc w:val="both"/>
      </w:pPr>
      <w:r>
        <w:t>Este documento apresenta o modelo de descrição de um serviço SOA.  Ele tem por objetivo capturar a especificação dos elementos funcionais, não funcionais e organizacionais associados a um serviço SOA.</w:t>
      </w:r>
      <w:r w:rsidR="00082B9F">
        <w:t xml:space="preserve"> </w:t>
      </w:r>
      <w:r w:rsidR="007E52CC">
        <w:t xml:space="preserve">Neste momento, este documento é uma proposta que será discutida e </w:t>
      </w:r>
      <w:r w:rsidR="001A1660">
        <w:t>aprimorada</w:t>
      </w:r>
      <w:r w:rsidR="007E52CC">
        <w:t xml:space="preserve"> dentro da Oficina de Especificação de Serviços do projeto SIGG.</w:t>
      </w:r>
    </w:p>
    <w:p w14:paraId="615E0D0A" w14:textId="77777777" w:rsidR="00A5593E" w:rsidRDefault="00A5593E" w:rsidP="00A5593E">
      <w:pPr>
        <w:pStyle w:val="Heading1"/>
      </w:pPr>
      <w:r>
        <w:t>Nome e Descrição</w:t>
      </w:r>
    </w:p>
    <w:p w14:paraId="702728A6" w14:textId="77777777" w:rsidR="00A5593E" w:rsidRDefault="00A5593E" w:rsidP="00A5593E">
      <w:pPr>
        <w:jc w:val="both"/>
        <w:rPr>
          <w:i/>
          <w:color w:val="548DD4" w:themeColor="text2" w:themeTint="99"/>
        </w:rPr>
      </w:pPr>
      <w:r w:rsidRPr="00A5593E">
        <w:rPr>
          <w:i/>
          <w:color w:val="548DD4" w:themeColor="text2" w:themeTint="99"/>
        </w:rPr>
        <w:t>&lt;Nome do Serviço&gt; em formato verbo</w:t>
      </w:r>
      <w:r>
        <w:rPr>
          <w:i/>
          <w:color w:val="548DD4" w:themeColor="text2" w:themeTint="99"/>
        </w:rPr>
        <w:t xml:space="preserve"> no infinitivo</w:t>
      </w:r>
      <w:r w:rsidRPr="00A5593E">
        <w:rPr>
          <w:i/>
          <w:color w:val="548DD4" w:themeColor="text2" w:themeTint="99"/>
        </w:rPr>
        <w:t xml:space="preserve"> + objeto e um descrição de um parágrafo sobre o serviço que indique o objetivo do mesmo</w:t>
      </w:r>
      <w:r>
        <w:rPr>
          <w:i/>
          <w:color w:val="548DD4" w:themeColor="text2" w:themeTint="99"/>
        </w:rPr>
        <w:t>.</w:t>
      </w:r>
    </w:p>
    <w:p w14:paraId="294F575A" w14:textId="564E6A62" w:rsidR="00A5593E" w:rsidRPr="00A5593E" w:rsidRDefault="00A5593E" w:rsidP="00A5593E">
      <w:pPr>
        <w:jc w:val="both"/>
        <w:rPr>
          <w:i/>
          <w:color w:val="548DD4" w:themeColor="text2" w:themeTint="99"/>
        </w:rPr>
      </w:pPr>
      <w:r w:rsidRPr="00A5593E">
        <w:rPr>
          <w:i/>
          <w:color w:val="548DD4" w:themeColor="text2" w:themeTint="99"/>
        </w:rPr>
        <w:t>Exemplo</w:t>
      </w:r>
      <w:r w:rsidR="003B5A90">
        <w:rPr>
          <w:i/>
          <w:color w:val="548DD4" w:themeColor="text2" w:themeTint="99"/>
        </w:rPr>
        <w:t xml:space="preserve"> de nome</w:t>
      </w:r>
      <w:r w:rsidRPr="00A5593E">
        <w:rPr>
          <w:i/>
          <w:color w:val="548DD4" w:themeColor="text2" w:themeTint="99"/>
        </w:rPr>
        <w:t>: Recuperar Unidade Administrativa</w:t>
      </w:r>
      <w:r w:rsidR="001E7AE0">
        <w:rPr>
          <w:i/>
          <w:color w:val="548DD4" w:themeColor="text2" w:themeTint="99"/>
        </w:rPr>
        <w:t xml:space="preserve"> ou Recuperar Informações Criminais</w:t>
      </w:r>
      <w:r w:rsidRPr="00A5593E">
        <w:rPr>
          <w:i/>
          <w:color w:val="548DD4" w:themeColor="text2" w:themeTint="99"/>
        </w:rPr>
        <w:t>.</w:t>
      </w:r>
    </w:p>
    <w:p w14:paraId="63D6D2A9" w14:textId="77777777" w:rsidR="00A5593E" w:rsidRDefault="00A5593E" w:rsidP="00A5593E">
      <w:pPr>
        <w:pStyle w:val="Heading1"/>
      </w:pPr>
      <w:r>
        <w:t>Processos de Negócio Associados</w:t>
      </w:r>
    </w:p>
    <w:p w14:paraId="435C9BB9" w14:textId="77777777" w:rsidR="00A5593E" w:rsidRDefault="00A5593E" w:rsidP="00A5593E">
      <w:pPr>
        <w:jc w:val="both"/>
        <w:rPr>
          <w:i/>
          <w:color w:val="548DD4" w:themeColor="text2" w:themeTint="99"/>
        </w:rPr>
      </w:pPr>
      <w:r w:rsidRPr="00A5593E">
        <w:rPr>
          <w:i/>
          <w:color w:val="548DD4" w:themeColor="text2" w:themeTint="99"/>
        </w:rPr>
        <w:t>&lt;Nome do</w:t>
      </w:r>
      <w:r>
        <w:rPr>
          <w:i/>
          <w:color w:val="548DD4" w:themeColor="text2" w:themeTint="99"/>
        </w:rPr>
        <w:t>s</w:t>
      </w:r>
      <w:r w:rsidRPr="00A5593E">
        <w:rPr>
          <w:i/>
          <w:color w:val="548DD4" w:themeColor="text2" w:themeTint="99"/>
        </w:rPr>
        <w:t xml:space="preserve"> </w:t>
      </w:r>
      <w:r>
        <w:rPr>
          <w:i/>
          <w:color w:val="548DD4" w:themeColor="text2" w:themeTint="99"/>
        </w:rPr>
        <w:t>Processos associados&gt;. Um serviço é um ativo reusável de negócio. Ele deve ser usado por diversos processos de negócio da organização. Esta seção deve indicar</w:t>
      </w:r>
      <w:r w:rsidR="000A7D0F">
        <w:rPr>
          <w:i/>
          <w:color w:val="548DD4" w:themeColor="text2" w:themeTint="99"/>
        </w:rPr>
        <w:t xml:space="preserve"> os processos de negócio que podem reusar o serviço sendo aqui proposto</w:t>
      </w:r>
      <w:r>
        <w:rPr>
          <w:i/>
          <w:color w:val="548DD4" w:themeColor="text2" w:themeTint="99"/>
        </w:rPr>
        <w:t>.</w:t>
      </w:r>
    </w:p>
    <w:p w14:paraId="52CEEB7C" w14:textId="77777777" w:rsidR="00A5593E" w:rsidRPr="00A5593E" w:rsidRDefault="00A5593E" w:rsidP="00A5593E">
      <w:pPr>
        <w:jc w:val="both"/>
        <w:rPr>
          <w:i/>
          <w:color w:val="548DD4" w:themeColor="text2" w:themeTint="99"/>
        </w:rPr>
      </w:pPr>
      <w:r w:rsidRPr="00A5593E">
        <w:rPr>
          <w:i/>
          <w:color w:val="548DD4" w:themeColor="text2" w:themeTint="99"/>
        </w:rPr>
        <w:t xml:space="preserve">Exemplo: </w:t>
      </w:r>
      <w:r>
        <w:rPr>
          <w:i/>
          <w:color w:val="548DD4" w:themeColor="text2" w:themeTint="99"/>
        </w:rPr>
        <w:t>Processo: Gerir Demanda Contábil</w:t>
      </w:r>
      <w:r w:rsidRPr="00A5593E">
        <w:rPr>
          <w:i/>
          <w:color w:val="548DD4" w:themeColor="text2" w:themeTint="99"/>
        </w:rPr>
        <w:t>.</w:t>
      </w:r>
    </w:p>
    <w:p w14:paraId="672CE7BC" w14:textId="77777777" w:rsidR="000A7D0F" w:rsidRDefault="000A7D0F" w:rsidP="000A7D0F">
      <w:pPr>
        <w:pStyle w:val="Heading1"/>
      </w:pPr>
      <w:r>
        <w:t>Áreas Funcionais</w:t>
      </w:r>
    </w:p>
    <w:p w14:paraId="40C30285" w14:textId="77777777" w:rsidR="000A7D0F" w:rsidRPr="00C96736" w:rsidRDefault="000A7D0F" w:rsidP="000A7D0F">
      <w:pPr>
        <w:jc w:val="both"/>
        <w:rPr>
          <w:i/>
          <w:color w:val="548DD4" w:themeColor="text2" w:themeTint="99"/>
        </w:rPr>
      </w:pPr>
      <w:r w:rsidRPr="00C96736">
        <w:rPr>
          <w:i/>
          <w:color w:val="548DD4" w:themeColor="text2" w:themeTint="99"/>
        </w:rPr>
        <w:t>Raras organizações possuem uma estrutura funcional orientada por processos. Portanto, é importante conhecer as áreas funcionais relacionadas a um processo por motivos de governança. Um modelo particularmente útil é determinar a matriz de responsabilidades sobre o serviço a partir das áreas funcionais. O modelo RACI é uma ferramenta que pode auxiliar. No RACI temos:</w:t>
      </w:r>
    </w:p>
    <w:p w14:paraId="14447F63" w14:textId="77777777" w:rsidR="000A7D0F" w:rsidRPr="00C96736" w:rsidRDefault="000A7D0F" w:rsidP="000A7D0F">
      <w:pPr>
        <w:pStyle w:val="ListParagraph"/>
        <w:numPr>
          <w:ilvl w:val="0"/>
          <w:numId w:val="1"/>
        </w:numPr>
        <w:jc w:val="both"/>
        <w:rPr>
          <w:i/>
          <w:color w:val="548DD4" w:themeColor="text2" w:themeTint="99"/>
        </w:rPr>
      </w:pPr>
      <w:r w:rsidRPr="00C96736">
        <w:rPr>
          <w:i/>
          <w:color w:val="548DD4" w:themeColor="text2" w:themeTint="99"/>
        </w:rPr>
        <w:t>Áreas responsáveis: Áreas que possuem responsabilidade na definição e evolução do serviço.</w:t>
      </w:r>
    </w:p>
    <w:p w14:paraId="22D7AEFE" w14:textId="77777777" w:rsidR="000A7D0F" w:rsidRPr="00C96736" w:rsidRDefault="000A7D0F" w:rsidP="000A7D0F">
      <w:pPr>
        <w:pStyle w:val="ListParagraph"/>
        <w:numPr>
          <w:ilvl w:val="0"/>
          <w:numId w:val="1"/>
        </w:numPr>
        <w:jc w:val="both"/>
        <w:rPr>
          <w:i/>
          <w:color w:val="548DD4" w:themeColor="text2" w:themeTint="99"/>
        </w:rPr>
      </w:pPr>
      <w:r w:rsidRPr="00C96736">
        <w:rPr>
          <w:i/>
          <w:color w:val="548DD4" w:themeColor="text2" w:themeTint="99"/>
        </w:rPr>
        <w:t>Área/Setor/Pessoa Autoridade: Área/Setor/Pessoa que irá aprovar formalmente a definição ou evolução do serviço.</w:t>
      </w:r>
    </w:p>
    <w:p w14:paraId="4760F853" w14:textId="77777777" w:rsidR="007230F8" w:rsidRPr="00C96736" w:rsidRDefault="007230F8" w:rsidP="007230F8">
      <w:pPr>
        <w:pStyle w:val="ListParagraph"/>
        <w:numPr>
          <w:ilvl w:val="0"/>
          <w:numId w:val="1"/>
        </w:numPr>
        <w:jc w:val="both"/>
        <w:rPr>
          <w:i/>
          <w:color w:val="548DD4" w:themeColor="text2" w:themeTint="99"/>
        </w:rPr>
      </w:pPr>
      <w:r w:rsidRPr="00C96736">
        <w:rPr>
          <w:i/>
          <w:color w:val="548DD4" w:themeColor="text2" w:themeTint="99"/>
        </w:rPr>
        <w:t>Áreas consultadas: Áreas que devem ser consultadas na definição e evolução do serviço.</w:t>
      </w:r>
    </w:p>
    <w:p w14:paraId="6E236EE0" w14:textId="77777777" w:rsidR="000A7D0F" w:rsidRPr="00C96736" w:rsidRDefault="007230F8" w:rsidP="000A7D0F">
      <w:pPr>
        <w:pStyle w:val="ListParagraph"/>
        <w:numPr>
          <w:ilvl w:val="0"/>
          <w:numId w:val="1"/>
        </w:numPr>
        <w:jc w:val="both"/>
        <w:rPr>
          <w:i/>
          <w:color w:val="548DD4" w:themeColor="text2" w:themeTint="99"/>
        </w:rPr>
      </w:pPr>
      <w:r w:rsidRPr="00C96736">
        <w:rPr>
          <w:i/>
          <w:color w:val="548DD4" w:themeColor="text2" w:themeTint="99"/>
        </w:rPr>
        <w:t>Áreas que devem ser informadas na definição e evolução do serviço.</w:t>
      </w:r>
    </w:p>
    <w:p w14:paraId="606188B3" w14:textId="77777777" w:rsidR="007230F8" w:rsidRPr="00C96736" w:rsidRDefault="007230F8" w:rsidP="007230F8">
      <w:pPr>
        <w:jc w:val="both"/>
        <w:rPr>
          <w:i/>
          <w:color w:val="548DD4" w:themeColor="text2" w:themeTint="99"/>
        </w:rPr>
      </w:pPr>
      <w:r w:rsidRPr="00C96736">
        <w:rPr>
          <w:i/>
          <w:color w:val="548DD4" w:themeColor="text2" w:themeTint="99"/>
        </w:rPr>
        <w:t>Exemplo: Fábrica de Software PRODEMGE é corresponsável pelo serviço.</w:t>
      </w:r>
    </w:p>
    <w:p w14:paraId="11C0ADB8" w14:textId="7827C278" w:rsidR="00C96736" w:rsidRDefault="00C96736" w:rsidP="00C96736">
      <w:pPr>
        <w:pStyle w:val="Heading1"/>
      </w:pPr>
      <w:r>
        <w:lastRenderedPageBreak/>
        <w:t>Atores de Negócio</w:t>
      </w:r>
    </w:p>
    <w:p w14:paraId="2D42D666" w14:textId="75D3C32F" w:rsidR="00C96736" w:rsidRPr="00C96736" w:rsidRDefault="00C96736" w:rsidP="00C96736">
      <w:pPr>
        <w:jc w:val="both"/>
        <w:rPr>
          <w:i/>
        </w:rPr>
      </w:pPr>
      <w:r>
        <w:rPr>
          <w:i/>
          <w:color w:val="548DD4" w:themeColor="text2" w:themeTint="99"/>
        </w:rPr>
        <w:t>Os atores que acionam ou se relacionam com o serviço devem ser conhecidos</w:t>
      </w:r>
      <w:r w:rsidR="00C37117">
        <w:rPr>
          <w:i/>
          <w:color w:val="548DD4" w:themeColor="text2" w:themeTint="99"/>
        </w:rPr>
        <w:t xml:space="preserve"> e definidos nesta seção</w:t>
      </w:r>
      <w:r>
        <w:rPr>
          <w:i/>
          <w:color w:val="548DD4" w:themeColor="text2" w:themeTint="99"/>
        </w:rPr>
        <w:t>. Um ator de negócio pode uma secretaria</w:t>
      </w:r>
      <w:r w:rsidR="00C37117">
        <w:rPr>
          <w:i/>
          <w:color w:val="548DD4" w:themeColor="text2" w:themeTint="99"/>
        </w:rPr>
        <w:t>, autarquia</w:t>
      </w:r>
      <w:r>
        <w:rPr>
          <w:i/>
          <w:color w:val="548DD4" w:themeColor="text2" w:themeTint="99"/>
        </w:rPr>
        <w:t xml:space="preserve">, fundação, </w:t>
      </w:r>
      <w:r w:rsidR="00C37117">
        <w:rPr>
          <w:i/>
          <w:color w:val="548DD4" w:themeColor="text2" w:themeTint="99"/>
        </w:rPr>
        <w:t>tribunal</w:t>
      </w:r>
      <w:r>
        <w:rPr>
          <w:i/>
          <w:color w:val="548DD4" w:themeColor="text2" w:themeTint="99"/>
        </w:rPr>
        <w:t>, órgão, instituição ou mesmo um grupo de pessoas.</w:t>
      </w:r>
    </w:p>
    <w:p w14:paraId="37306CDB" w14:textId="0A8D7970" w:rsidR="007D13CB" w:rsidRDefault="004010FD" w:rsidP="007D13CB">
      <w:pPr>
        <w:pStyle w:val="Heading1"/>
      </w:pPr>
      <w:r>
        <w:t xml:space="preserve">Contratos </w:t>
      </w:r>
      <w:r w:rsidR="007D13CB">
        <w:t>e Operações</w:t>
      </w:r>
    </w:p>
    <w:p w14:paraId="341C8709" w14:textId="67921347" w:rsidR="007D13CB" w:rsidRDefault="007D13CB" w:rsidP="00F26740">
      <w:pPr>
        <w:jc w:val="both"/>
        <w:rPr>
          <w:i/>
          <w:color w:val="548DD4" w:themeColor="text2" w:themeTint="99"/>
        </w:rPr>
      </w:pPr>
      <w:r w:rsidRPr="007D13CB">
        <w:rPr>
          <w:i/>
          <w:color w:val="548DD4" w:themeColor="text2" w:themeTint="99"/>
        </w:rPr>
        <w:t xml:space="preserve">Um serviço deve ser expresso através de um contrato de operações. Em alguns cenários um serviço </w:t>
      </w:r>
      <w:r>
        <w:rPr>
          <w:i/>
          <w:color w:val="548DD4" w:themeColor="text2" w:themeTint="99"/>
        </w:rPr>
        <w:t>pode possuir mais de um contrato. Um exemplo é a consulta de informações sobre um cidadão, que pode ter dois contratos:</w:t>
      </w:r>
    </w:p>
    <w:p w14:paraId="065AE1B8" w14:textId="425DADB0" w:rsidR="007D13CB" w:rsidRDefault="007D13CB" w:rsidP="007D13CB">
      <w:pPr>
        <w:pStyle w:val="ListParagraph"/>
        <w:numPr>
          <w:ilvl w:val="0"/>
          <w:numId w:val="2"/>
        </w:numPr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>Obtenção de informações residenciais, disponível para algumas secretarias;</w:t>
      </w:r>
    </w:p>
    <w:p w14:paraId="4C8C6DD0" w14:textId="6007AE41" w:rsidR="007D13CB" w:rsidRDefault="007D13CB" w:rsidP="007D13CB">
      <w:pPr>
        <w:pStyle w:val="ListParagraph"/>
        <w:numPr>
          <w:ilvl w:val="0"/>
          <w:numId w:val="2"/>
        </w:numPr>
        <w:jc w:val="both"/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>Obtenção de informações criminais, disponível para uma secretaria de segurança ou polícia militar.</w:t>
      </w:r>
    </w:p>
    <w:p w14:paraId="425F608C" w14:textId="450543D7" w:rsidR="007D13CB" w:rsidRDefault="007D13CB" w:rsidP="007D13CB">
      <w:pPr>
        <w:jc w:val="both"/>
        <w:rPr>
          <w:i/>
          <w:color w:val="548DD4" w:themeColor="text2" w:themeTint="99"/>
        </w:rPr>
      </w:pPr>
      <w:r>
        <w:rPr>
          <w:color w:val="548DD4" w:themeColor="text2" w:themeTint="99"/>
        </w:rPr>
        <w:t xml:space="preserve"> </w:t>
      </w:r>
      <w:r>
        <w:rPr>
          <w:i/>
          <w:color w:val="548DD4" w:themeColor="text2" w:themeTint="99"/>
        </w:rPr>
        <w:t>Esta seção deve apresentar o contratos com as operações do serviço. Cada operação deve ser escrito em formato de verbo no infinitivo.</w:t>
      </w:r>
      <w:r w:rsidR="004010FD">
        <w:rPr>
          <w:i/>
          <w:color w:val="548DD4" w:themeColor="text2" w:themeTint="99"/>
        </w:rPr>
        <w:t xml:space="preserve"> Opcionalmente, um formato de diagramas (ex.: Diagrama de componentes UML</w:t>
      </w:r>
      <w:r w:rsidR="00F26740">
        <w:rPr>
          <w:i/>
          <w:color w:val="548DD4" w:themeColor="text2" w:themeTint="99"/>
        </w:rPr>
        <w:t xml:space="preserve"> 2</w:t>
      </w:r>
      <w:r w:rsidR="004010FD">
        <w:rPr>
          <w:i/>
          <w:color w:val="548DD4" w:themeColor="text2" w:themeTint="99"/>
        </w:rPr>
        <w:t>) pode ser usado para representar o serviço.</w:t>
      </w:r>
    </w:p>
    <w:p w14:paraId="004D11AC" w14:textId="0C6AC911" w:rsidR="00B72026" w:rsidRDefault="00B72026" w:rsidP="007D13CB">
      <w:pPr>
        <w:jc w:val="both"/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 xml:space="preserve">Nota Técnica: Um contrato pode ser descrito </w:t>
      </w:r>
      <w:r w:rsidR="00C164AD">
        <w:rPr>
          <w:i/>
          <w:color w:val="548DD4" w:themeColor="text2" w:themeTint="99"/>
        </w:rPr>
        <w:t xml:space="preserve">tecnicamente </w:t>
      </w:r>
      <w:r>
        <w:rPr>
          <w:i/>
          <w:color w:val="548DD4" w:themeColor="text2" w:themeTint="99"/>
        </w:rPr>
        <w:t>como um WSDL ou Interface Java.</w:t>
      </w:r>
    </w:p>
    <w:p w14:paraId="61E437BD" w14:textId="28F5DE3B" w:rsidR="00942C6F" w:rsidRDefault="00942C6F" w:rsidP="007D13CB">
      <w:pPr>
        <w:jc w:val="both"/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>&lt;Subseção de contrato&gt;</w:t>
      </w:r>
    </w:p>
    <w:p w14:paraId="1A16A0EC" w14:textId="3565DD70" w:rsidR="004010FD" w:rsidRDefault="004010FD" w:rsidP="004010FD">
      <w:pPr>
        <w:pStyle w:val="Heading1"/>
      </w:pPr>
      <w:r>
        <w:t>Mensagem das Operações</w:t>
      </w:r>
    </w:p>
    <w:p w14:paraId="5A0F2BB1" w14:textId="77777777" w:rsidR="00F26740" w:rsidRDefault="00F26740" w:rsidP="00F26740">
      <w:pPr>
        <w:jc w:val="both"/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 xml:space="preserve">Todo serviço recebe informações e devolve uma resposta. Estas informações e resposta devem ser organizadas através de mensagens sobre as operações. Idealmente, as mensagens devem ser visões sobre os elementos de um glossário corporativos de termos ou modelo de domínio corporativo. </w:t>
      </w:r>
    </w:p>
    <w:p w14:paraId="18C628A6" w14:textId="741EADF8" w:rsidR="000A7D0F" w:rsidRDefault="00F26740" w:rsidP="00F26740">
      <w:pPr>
        <w:jc w:val="both"/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>Por exemplo, o serviço obtenção de informações residenciais esperaria um Documento de Identidade (CPF, Título de Eleitor ou Carteira de Identidade) e devolveria um conjunto de informações denominada Endereço Residencial.  As mensagens aqui seriam então: Documento de Identidade e Endereço Residencial.</w:t>
      </w:r>
    </w:p>
    <w:p w14:paraId="0512382F" w14:textId="0CFCAC3F" w:rsidR="00A5593E" w:rsidRPr="00A5593E" w:rsidRDefault="00B72026" w:rsidP="00B72026">
      <w:pPr>
        <w:jc w:val="both"/>
      </w:pPr>
      <w:r>
        <w:rPr>
          <w:i/>
          <w:color w:val="548DD4" w:themeColor="text2" w:themeTint="99"/>
        </w:rPr>
        <w:t>Caso o contrato do serviço não puder ser honrado, uma exceção ocorre. Por exemplo, poderíamos imaginar uma situação hipotética onde algumas pessoas tem o seu endereço residencial restrito ao um determinado chamador. Neste caso, se um chamador não autorizado invocar o contrato, ele recebe uma mensagem de exceção chamada NivelAutorizaçãoInsuficiente.</w:t>
      </w:r>
    </w:p>
    <w:p w14:paraId="64CF1AC5" w14:textId="56E2DC2E" w:rsidR="00C164AD" w:rsidRDefault="00C164AD" w:rsidP="00C164AD">
      <w:pPr>
        <w:jc w:val="both"/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>Nota Técnica: Um contrato pode ser descrito tecnicamente como um XSD, Struct C++ ou C# ou um objeto de transferência em Java (Value Object).</w:t>
      </w:r>
    </w:p>
    <w:p w14:paraId="1E8729C6" w14:textId="0E30E003" w:rsidR="001E7D71" w:rsidRDefault="001E7D71" w:rsidP="001E7D71">
      <w:pPr>
        <w:pStyle w:val="Heading1"/>
      </w:pPr>
      <w:r>
        <w:t>SLA – Acordos de Nível de Serviço</w:t>
      </w:r>
    </w:p>
    <w:p w14:paraId="5D1BCA68" w14:textId="129176C2" w:rsidR="001E7D71" w:rsidRDefault="001E7D71" w:rsidP="001E7D71">
      <w:pPr>
        <w:rPr>
          <w:i/>
          <w:color w:val="548DD4" w:themeColor="text2" w:themeTint="99"/>
        </w:rPr>
      </w:pPr>
      <w:r w:rsidRPr="001E7D71">
        <w:rPr>
          <w:i/>
          <w:color w:val="548DD4" w:themeColor="text2" w:themeTint="99"/>
        </w:rPr>
        <w:t>Todo</w:t>
      </w:r>
      <w:r>
        <w:rPr>
          <w:i/>
          <w:color w:val="548DD4" w:themeColor="text2" w:themeTint="99"/>
        </w:rPr>
        <w:t xml:space="preserve"> serviço deve apresentar acordos de nível de serviço. Estes acordos podem estar na ótica de negócio ou em uma ótica técnica. Exemplos hipotéticos incluem:</w:t>
      </w:r>
    </w:p>
    <w:p w14:paraId="1AE9B355" w14:textId="4094F10D" w:rsidR="001E7D71" w:rsidRDefault="001E7D71" w:rsidP="001E7D71">
      <w:pPr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 xml:space="preserve">SLA Técnico de Disponibilidade: O serviço não deve apresentar indisponibilidade </w:t>
      </w:r>
      <w:r w:rsidR="00C63159">
        <w:rPr>
          <w:i/>
          <w:color w:val="548DD4" w:themeColor="text2" w:themeTint="99"/>
        </w:rPr>
        <w:t>superior</w:t>
      </w:r>
      <w:r w:rsidR="0022730F">
        <w:rPr>
          <w:i/>
          <w:color w:val="548DD4" w:themeColor="text2" w:themeTint="99"/>
        </w:rPr>
        <w:t xml:space="preserve"> 14 minutos po</w:t>
      </w:r>
      <w:r w:rsidR="00C63159">
        <w:rPr>
          <w:i/>
          <w:color w:val="548DD4" w:themeColor="text2" w:themeTint="99"/>
        </w:rPr>
        <w:t>r dia (Disponibilidade de 99.9%) no período de Segunda a Sexta</w:t>
      </w:r>
      <w:r w:rsidR="0022730F">
        <w:rPr>
          <w:i/>
          <w:color w:val="548DD4" w:themeColor="text2" w:themeTint="99"/>
        </w:rPr>
        <w:t>.</w:t>
      </w:r>
    </w:p>
    <w:p w14:paraId="3FD3CC3D" w14:textId="77777777" w:rsidR="00C771EC" w:rsidRDefault="0022730F" w:rsidP="0022730F">
      <w:pPr>
        <w:jc w:val="both"/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>SLA de Negócio: O Serviço deve contribuir para o atingimento de meta de negócio de permitir que a aprovação do documento não demore mais de 72 horas a partir do horário da sua solicitação.</w:t>
      </w:r>
    </w:p>
    <w:p w14:paraId="616705F7" w14:textId="3DA0FC14" w:rsidR="0022730F" w:rsidRPr="001E7D71" w:rsidRDefault="00C771EC" w:rsidP="0022730F">
      <w:pPr>
        <w:jc w:val="both"/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>&lt;Checklist FURPS para SLA Técnios&gt;</w:t>
      </w:r>
      <w:r w:rsidR="0022730F">
        <w:rPr>
          <w:i/>
          <w:color w:val="548DD4" w:themeColor="text2" w:themeTint="99"/>
        </w:rPr>
        <w:t xml:space="preserve"> </w:t>
      </w:r>
    </w:p>
    <w:p w14:paraId="2600103D" w14:textId="5D8A484D" w:rsidR="005B4F7F" w:rsidRDefault="005B4F7F" w:rsidP="005B4F7F">
      <w:pPr>
        <w:pStyle w:val="Heading1"/>
      </w:pPr>
      <w:r>
        <w:t>Dependências de Serviços e Composições</w:t>
      </w:r>
    </w:p>
    <w:p w14:paraId="6D97CD18" w14:textId="77777777" w:rsidR="004C4E0C" w:rsidRDefault="005B4F7F" w:rsidP="005B4F7F">
      <w:pPr>
        <w:jc w:val="both"/>
        <w:rPr>
          <w:i/>
          <w:color w:val="548DD4" w:themeColor="text2" w:themeTint="99"/>
        </w:rPr>
      </w:pPr>
      <w:r w:rsidRPr="005B4F7F">
        <w:rPr>
          <w:i/>
          <w:color w:val="548DD4" w:themeColor="text2" w:themeTint="99"/>
        </w:rPr>
        <w:t>Um serviço pode ter dois tipos de dependências: temporais e funcionais.</w:t>
      </w:r>
      <w:r>
        <w:rPr>
          <w:i/>
          <w:color w:val="548DD4" w:themeColor="text2" w:themeTint="99"/>
        </w:rPr>
        <w:t xml:space="preserve"> </w:t>
      </w:r>
    </w:p>
    <w:p w14:paraId="788FA4C9" w14:textId="11777AB7" w:rsidR="004C4E0C" w:rsidRDefault="005B4F7F" w:rsidP="005B4F7F">
      <w:pPr>
        <w:jc w:val="both"/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>A dependência temporal indica as pré-condições (serviços que devem ser invocados anteriormente) e eventuais pós-condições (serviços que devem ser chamadas a posteriori). Por exemplo, um serviço de consulta de informações criminais pode requerer que um serviço de autorização seja chamado a priori e um serviço de não-repúdio (logging) seja chamado a posteriori.</w:t>
      </w:r>
    </w:p>
    <w:p w14:paraId="310ABD22" w14:textId="21CC364F" w:rsidR="003020BD" w:rsidRDefault="005B4F7F" w:rsidP="005B4F7F">
      <w:pPr>
        <w:jc w:val="both"/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 xml:space="preserve"> </w:t>
      </w:r>
      <w:r w:rsidR="004C4E0C">
        <w:rPr>
          <w:i/>
          <w:color w:val="548DD4" w:themeColor="text2" w:themeTint="99"/>
        </w:rPr>
        <w:t xml:space="preserve">A dependência funcional indica a relação entre serviços. Por exemplo, se um serviço invoca um outro serviço </w:t>
      </w:r>
      <w:r w:rsidR="00AB6061">
        <w:rPr>
          <w:i/>
          <w:color w:val="548DD4" w:themeColor="text2" w:themeTint="99"/>
        </w:rPr>
        <w:t>ele tem uma dependência funcional de processamento</w:t>
      </w:r>
      <w:r w:rsidR="004C4E0C">
        <w:rPr>
          <w:i/>
          <w:color w:val="548DD4" w:themeColor="text2" w:themeTint="99"/>
        </w:rPr>
        <w:t>.</w:t>
      </w:r>
      <w:r w:rsidR="00E5096C">
        <w:rPr>
          <w:i/>
          <w:color w:val="548DD4" w:themeColor="text2" w:themeTint="99"/>
        </w:rPr>
        <w:t xml:space="preserve"> Um serviço que obtem as informações completas de um cidadão pode chamar os serviços de endereço</w:t>
      </w:r>
      <w:r w:rsidR="00F80482">
        <w:rPr>
          <w:i/>
          <w:color w:val="548DD4" w:themeColor="text2" w:themeTint="99"/>
        </w:rPr>
        <w:t xml:space="preserve"> e os serviço de informações criminais</w:t>
      </w:r>
      <w:r w:rsidR="00B06479">
        <w:rPr>
          <w:i/>
          <w:color w:val="548DD4" w:themeColor="text2" w:themeTint="99"/>
        </w:rPr>
        <w:t>.</w:t>
      </w:r>
    </w:p>
    <w:p w14:paraId="40BCB082" w14:textId="29F11316" w:rsidR="00B06479" w:rsidRDefault="00B06479" w:rsidP="005B4F7F">
      <w:pPr>
        <w:jc w:val="both"/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>Além de informações de dependências, espera-se também que o serviço tenha as informações de composibilidade, i.e., se ele será usado em serviços compostos. Se sim, indicar se o serviço composto é de curta duração ou de longa duração.</w:t>
      </w:r>
    </w:p>
    <w:p w14:paraId="2C0829E1" w14:textId="3CC539F5" w:rsidR="003020BD" w:rsidRDefault="00AB5892" w:rsidP="003020BD">
      <w:pPr>
        <w:pStyle w:val="Heading1"/>
      </w:pPr>
      <w:r>
        <w:t>Rastreabilidade</w:t>
      </w:r>
    </w:p>
    <w:p w14:paraId="1089683F" w14:textId="48B8DABF" w:rsidR="003020BD" w:rsidRDefault="003020BD" w:rsidP="003020BD">
      <w:pPr>
        <w:jc w:val="both"/>
        <w:rPr>
          <w:i/>
          <w:color w:val="548DD4" w:themeColor="text2" w:themeTint="99"/>
        </w:rPr>
      </w:pPr>
      <w:r>
        <w:rPr>
          <w:i/>
          <w:color w:val="548DD4" w:themeColor="text2" w:themeTint="99"/>
        </w:rPr>
        <w:t>Um serviço pode apresentar rastreabilidade com documentos de negócio (requisitos funcionais, casos de uso, requisitos não-funcionais, modelos de dados, entidades, classes) e também com elementos físicos (sistemas, bases de dados). Esta seção deve conter as informações para ligação de um serviço aos elementos de negócio e também aos itens físicos de produção.</w:t>
      </w:r>
    </w:p>
    <w:p w14:paraId="22729365" w14:textId="77777777" w:rsidR="0035796F" w:rsidRDefault="0035796F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3A8B43ED" w14:textId="63B7EFAC" w:rsidR="00AB5892" w:rsidRDefault="00AB5892" w:rsidP="00AB5892">
      <w:pPr>
        <w:pStyle w:val="Heading1"/>
      </w:pPr>
      <w:r>
        <w:t>Metadados</w:t>
      </w:r>
    </w:p>
    <w:p w14:paraId="2125F871" w14:textId="3FCD46EC" w:rsidR="003020BD" w:rsidRPr="00AB5892" w:rsidRDefault="00AB5892" w:rsidP="00AB5892">
      <w:pPr>
        <w:jc w:val="both"/>
        <w:rPr>
          <w:color w:val="548DD4" w:themeColor="text2" w:themeTint="99"/>
        </w:rPr>
      </w:pPr>
      <w:r w:rsidRPr="00AB5892">
        <w:rPr>
          <w:color w:val="548DD4" w:themeColor="text2" w:themeTint="99"/>
        </w:rPr>
        <w:t>Um serviço pode apresentar outros metadados, tais como:</w:t>
      </w:r>
    </w:p>
    <w:p w14:paraId="0D92477D" w14:textId="4A2CC5AB" w:rsidR="00AB5892" w:rsidRPr="00AB5892" w:rsidRDefault="00AB5892" w:rsidP="00AB5892">
      <w:pPr>
        <w:pStyle w:val="ListParagraph"/>
        <w:numPr>
          <w:ilvl w:val="0"/>
          <w:numId w:val="3"/>
        </w:numPr>
        <w:jc w:val="both"/>
        <w:rPr>
          <w:color w:val="548DD4" w:themeColor="text2" w:themeTint="99"/>
        </w:rPr>
      </w:pPr>
      <w:r w:rsidRPr="00AB5892">
        <w:rPr>
          <w:color w:val="548DD4" w:themeColor="text2" w:themeTint="99"/>
        </w:rPr>
        <w:t>Versão do serviço em produção</w:t>
      </w:r>
    </w:p>
    <w:p w14:paraId="32A81D3E" w14:textId="240EF6D3" w:rsidR="00AB5892" w:rsidRPr="00AB5892" w:rsidRDefault="00AB5892" w:rsidP="00AB5892">
      <w:pPr>
        <w:pStyle w:val="ListParagraph"/>
        <w:numPr>
          <w:ilvl w:val="0"/>
          <w:numId w:val="3"/>
        </w:numPr>
        <w:jc w:val="both"/>
        <w:rPr>
          <w:color w:val="548DD4" w:themeColor="text2" w:themeTint="99"/>
        </w:rPr>
      </w:pPr>
      <w:r w:rsidRPr="00AB5892">
        <w:rPr>
          <w:color w:val="548DD4" w:themeColor="text2" w:themeTint="99"/>
        </w:rPr>
        <w:t xml:space="preserve">Tecnologia </w:t>
      </w:r>
      <w:r w:rsidR="00D92603">
        <w:rPr>
          <w:color w:val="548DD4" w:themeColor="text2" w:themeTint="99"/>
        </w:rPr>
        <w:t xml:space="preserve">SOA </w:t>
      </w:r>
      <w:r w:rsidRPr="00AB5892">
        <w:rPr>
          <w:color w:val="548DD4" w:themeColor="text2" w:themeTint="99"/>
        </w:rPr>
        <w:t>usada para implementação (Idealmente todos os serviços deveriam usar o mesmo conjunto de tecnologias)</w:t>
      </w:r>
      <w:r w:rsidR="00D92603">
        <w:rPr>
          <w:color w:val="548DD4" w:themeColor="text2" w:themeTint="99"/>
        </w:rPr>
        <w:t>. Exemplos incluem WSDL, SOAP ou SCA.</w:t>
      </w:r>
    </w:p>
    <w:p w14:paraId="59C07810" w14:textId="11C47928" w:rsidR="00AB5892" w:rsidRPr="00AB5892" w:rsidRDefault="00AB5892" w:rsidP="00AB5892">
      <w:pPr>
        <w:pStyle w:val="ListParagraph"/>
        <w:numPr>
          <w:ilvl w:val="0"/>
          <w:numId w:val="3"/>
        </w:numPr>
        <w:jc w:val="both"/>
        <w:rPr>
          <w:color w:val="548DD4" w:themeColor="text2" w:themeTint="99"/>
        </w:rPr>
      </w:pPr>
      <w:r w:rsidRPr="00AB5892">
        <w:rPr>
          <w:color w:val="548DD4" w:themeColor="text2" w:themeTint="99"/>
        </w:rPr>
        <w:t>Valor para o negócio (Sugestão: Item Likert</w:t>
      </w:r>
      <w:r w:rsidRPr="00AB5892">
        <w:rPr>
          <w:rStyle w:val="FootnoteReference"/>
          <w:color w:val="548DD4" w:themeColor="text2" w:themeTint="99"/>
        </w:rPr>
        <w:footnoteReference w:id="1"/>
      </w:r>
      <w:r w:rsidRPr="00AB5892">
        <w:rPr>
          <w:color w:val="548DD4" w:themeColor="text2" w:themeTint="99"/>
        </w:rPr>
        <w:t xml:space="preserve"> de 1 a 7. )</w:t>
      </w:r>
    </w:p>
    <w:p w14:paraId="73229F03" w14:textId="359B2499" w:rsidR="00C725B9" w:rsidRDefault="00776135" w:rsidP="00C725B9">
      <w:pPr>
        <w:pStyle w:val="ListParagraph"/>
        <w:numPr>
          <w:ilvl w:val="0"/>
          <w:numId w:val="3"/>
        </w:numPr>
        <w:jc w:val="both"/>
        <w:rPr>
          <w:color w:val="548DD4" w:themeColor="text2" w:themeTint="99"/>
        </w:rPr>
      </w:pPr>
      <w:r>
        <w:rPr>
          <w:color w:val="548DD4" w:themeColor="text2" w:themeTint="99"/>
        </w:rPr>
        <w:t>Complexidade t</w:t>
      </w:r>
      <w:r w:rsidR="00AB5892" w:rsidRPr="00AB5892">
        <w:rPr>
          <w:color w:val="548DD4" w:themeColor="text2" w:themeTint="99"/>
        </w:rPr>
        <w:t>é</w:t>
      </w:r>
      <w:r>
        <w:rPr>
          <w:color w:val="548DD4" w:themeColor="text2" w:themeTint="99"/>
        </w:rPr>
        <w:t>cnica</w:t>
      </w:r>
      <w:r w:rsidR="00AB5892" w:rsidRPr="00AB5892">
        <w:rPr>
          <w:color w:val="548DD4" w:themeColor="text2" w:themeTint="99"/>
        </w:rPr>
        <w:t xml:space="preserve"> (Sugestão: Item Likert de 1 a 7).</w:t>
      </w:r>
    </w:p>
    <w:p w14:paraId="2C01C731" w14:textId="478B9BC1" w:rsidR="00792F13" w:rsidRDefault="00792F13" w:rsidP="00C725B9">
      <w:pPr>
        <w:pStyle w:val="ListParagraph"/>
        <w:numPr>
          <w:ilvl w:val="0"/>
          <w:numId w:val="3"/>
        </w:numPr>
        <w:jc w:val="both"/>
        <w:rPr>
          <w:color w:val="548DD4" w:themeColor="text2" w:themeTint="99"/>
        </w:rPr>
      </w:pPr>
      <w:r>
        <w:rPr>
          <w:color w:val="548DD4" w:themeColor="text2" w:themeTint="99"/>
        </w:rPr>
        <w:t>Palavras-chave</w:t>
      </w:r>
    </w:p>
    <w:p w14:paraId="5B437FD3" w14:textId="0F378B5C" w:rsidR="00792F13" w:rsidRDefault="00792F13" w:rsidP="00C725B9">
      <w:pPr>
        <w:pStyle w:val="ListParagraph"/>
        <w:numPr>
          <w:ilvl w:val="0"/>
          <w:numId w:val="3"/>
        </w:numPr>
        <w:jc w:val="both"/>
        <w:rPr>
          <w:color w:val="548DD4" w:themeColor="text2" w:themeTint="99"/>
        </w:rPr>
      </w:pPr>
      <w:r>
        <w:rPr>
          <w:color w:val="548DD4" w:themeColor="text2" w:themeTint="99"/>
        </w:rPr>
        <w:t>Taxonomia</w:t>
      </w:r>
    </w:p>
    <w:p w14:paraId="51E31208" w14:textId="5B83FD75" w:rsidR="00792F13" w:rsidRDefault="00792F13" w:rsidP="00C725B9">
      <w:pPr>
        <w:pStyle w:val="ListParagraph"/>
        <w:numPr>
          <w:ilvl w:val="0"/>
          <w:numId w:val="3"/>
        </w:numPr>
        <w:jc w:val="both"/>
        <w:rPr>
          <w:color w:val="548DD4" w:themeColor="text2" w:themeTint="99"/>
        </w:rPr>
      </w:pPr>
      <w:r>
        <w:rPr>
          <w:color w:val="548DD4" w:themeColor="text2" w:themeTint="99"/>
        </w:rPr>
        <w:t>Criticidade</w:t>
      </w:r>
      <w:r w:rsidR="008D687A">
        <w:rPr>
          <w:color w:val="548DD4" w:themeColor="text2" w:themeTint="99"/>
        </w:rPr>
        <w:t xml:space="preserve"> (Alta, Média, Baixa  )</w:t>
      </w:r>
    </w:p>
    <w:p w14:paraId="4E25C682" w14:textId="1A3D598C" w:rsidR="00792F13" w:rsidRDefault="00792F13" w:rsidP="00C725B9">
      <w:pPr>
        <w:pStyle w:val="ListParagraph"/>
        <w:numPr>
          <w:ilvl w:val="0"/>
          <w:numId w:val="3"/>
        </w:numPr>
        <w:jc w:val="both"/>
        <w:rPr>
          <w:color w:val="548DD4" w:themeColor="text2" w:themeTint="99"/>
        </w:rPr>
      </w:pPr>
      <w:r>
        <w:rPr>
          <w:color w:val="548DD4" w:themeColor="text2" w:themeTint="99"/>
        </w:rPr>
        <w:t>Estado no ciclo de vida</w:t>
      </w:r>
    </w:p>
    <w:p w14:paraId="3EA10E0D" w14:textId="680FAA10" w:rsidR="00792F13" w:rsidRPr="00C725B9" w:rsidRDefault="00792F13" w:rsidP="00C725B9">
      <w:pPr>
        <w:pStyle w:val="ListParagraph"/>
        <w:numPr>
          <w:ilvl w:val="0"/>
          <w:numId w:val="3"/>
        </w:numPr>
        <w:jc w:val="both"/>
        <w:rPr>
          <w:color w:val="548DD4" w:themeColor="text2" w:themeTint="99"/>
        </w:rPr>
      </w:pPr>
      <w:r>
        <w:rPr>
          <w:color w:val="548DD4" w:themeColor="text2" w:themeTint="99"/>
        </w:rPr>
        <w:t>Confidencialidade ou Publicidade</w:t>
      </w:r>
      <w:r w:rsidR="008D687A">
        <w:rPr>
          <w:color w:val="548DD4" w:themeColor="text2" w:themeTint="99"/>
        </w:rPr>
        <w:t xml:space="preserve"> (Estado , Ó</w:t>
      </w:r>
      <w:bookmarkStart w:id="0" w:name="_GoBack"/>
      <w:bookmarkEnd w:id="0"/>
      <w:r w:rsidR="008D687A">
        <w:rPr>
          <w:color w:val="548DD4" w:themeColor="text2" w:themeTint="99"/>
        </w:rPr>
        <w:t>rgao, Setorial)</w:t>
      </w:r>
    </w:p>
    <w:p w14:paraId="37091E6D" w14:textId="1BD7C206" w:rsidR="001E7D71" w:rsidRPr="00C725B9" w:rsidRDefault="00AB5892" w:rsidP="00C164AD">
      <w:pPr>
        <w:jc w:val="both"/>
        <w:rPr>
          <w:i/>
          <w:color w:val="548DD4" w:themeColor="text2" w:themeTint="99"/>
        </w:rPr>
      </w:pPr>
      <w:r w:rsidRPr="00C725B9">
        <w:rPr>
          <w:i/>
          <w:color w:val="548DD4" w:themeColor="text2" w:themeTint="99"/>
        </w:rPr>
        <w:t>Esta seção do documento deve apresentar os metadados com seus valores fornecido</w:t>
      </w:r>
      <w:r w:rsidR="00DA6A0F" w:rsidRPr="00C725B9">
        <w:rPr>
          <w:i/>
          <w:color w:val="548DD4" w:themeColor="text2" w:themeTint="99"/>
        </w:rPr>
        <w:t xml:space="preserve">s por especialistas apropriados. </w:t>
      </w:r>
      <w:r w:rsidR="00C725B9" w:rsidRPr="00C725B9">
        <w:rPr>
          <w:i/>
          <w:color w:val="548DD4" w:themeColor="text2" w:themeTint="99"/>
        </w:rPr>
        <w:t>Considere os metados apropriadamente.</w:t>
      </w:r>
    </w:p>
    <w:sectPr w:rsidR="001E7D71" w:rsidRPr="00C725B9" w:rsidSect="00103B39">
      <w:footerReference w:type="even" r:id="rId8"/>
      <w:footerReference w:type="default" r:id="rId9"/>
      <w:pgSz w:w="11900" w:h="16840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0385BBF" w14:textId="77777777" w:rsidR="0035796F" w:rsidRDefault="0035796F" w:rsidP="00AB5892">
      <w:pPr>
        <w:spacing w:after="0" w:line="240" w:lineRule="auto"/>
      </w:pPr>
      <w:r>
        <w:separator/>
      </w:r>
    </w:p>
  </w:endnote>
  <w:endnote w:type="continuationSeparator" w:id="0">
    <w:p w14:paraId="3726A29E" w14:textId="77777777" w:rsidR="0035796F" w:rsidRDefault="0035796F" w:rsidP="00AB58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20005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72627BA" w14:textId="77777777" w:rsidR="0035796F" w:rsidRDefault="0035796F" w:rsidP="00DC1E8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C67DA15" w14:textId="77777777" w:rsidR="0035796F" w:rsidRDefault="0035796F" w:rsidP="003A6193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9B938A9" w14:textId="77777777" w:rsidR="0035796F" w:rsidRDefault="0035796F" w:rsidP="00DC1E8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D687A">
      <w:rPr>
        <w:rStyle w:val="PageNumber"/>
        <w:noProof/>
      </w:rPr>
      <w:t>1</w:t>
    </w:r>
    <w:r>
      <w:rPr>
        <w:rStyle w:val="PageNumber"/>
      </w:rPr>
      <w:fldChar w:fldCharType="end"/>
    </w:r>
  </w:p>
  <w:p w14:paraId="361D364F" w14:textId="77777777" w:rsidR="0035796F" w:rsidRDefault="0035796F" w:rsidP="003A619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B4CA6AB" w14:textId="77777777" w:rsidR="0035796F" w:rsidRDefault="0035796F" w:rsidP="00AB5892">
      <w:pPr>
        <w:spacing w:after="0" w:line="240" w:lineRule="auto"/>
      </w:pPr>
      <w:r>
        <w:separator/>
      </w:r>
    </w:p>
  </w:footnote>
  <w:footnote w:type="continuationSeparator" w:id="0">
    <w:p w14:paraId="792F5DE4" w14:textId="77777777" w:rsidR="0035796F" w:rsidRDefault="0035796F" w:rsidP="00AB5892">
      <w:pPr>
        <w:spacing w:after="0" w:line="240" w:lineRule="auto"/>
      </w:pPr>
      <w:r>
        <w:continuationSeparator/>
      </w:r>
    </w:p>
  </w:footnote>
  <w:footnote w:id="1">
    <w:p w14:paraId="1E7CFCB6" w14:textId="4B956202" w:rsidR="0035796F" w:rsidRPr="00AB5892" w:rsidRDefault="0035796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hyperlink r:id="rId1" w:history="1">
        <w:r w:rsidRPr="00AB5892">
          <w:rPr>
            <w:rStyle w:val="Hyperlink"/>
            <w:sz w:val="20"/>
          </w:rPr>
          <w:t>http://pt.wikipedia.org/wiki/Escala_Likert</w:t>
        </w:r>
      </w:hyperlink>
      <w:r w:rsidRPr="00AB5892">
        <w:rPr>
          <w:sz w:val="20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2604EC"/>
    <w:multiLevelType w:val="hybridMultilevel"/>
    <w:tmpl w:val="04C08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D1E0A63"/>
    <w:multiLevelType w:val="hybridMultilevel"/>
    <w:tmpl w:val="775A4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9F948B0"/>
    <w:multiLevelType w:val="hybridMultilevel"/>
    <w:tmpl w:val="83666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embedSystemFont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593E"/>
    <w:rsid w:val="00082B9F"/>
    <w:rsid w:val="000A7D0F"/>
    <w:rsid w:val="00103B39"/>
    <w:rsid w:val="001A1660"/>
    <w:rsid w:val="001E7AE0"/>
    <w:rsid w:val="001E7D71"/>
    <w:rsid w:val="0022730F"/>
    <w:rsid w:val="003020BD"/>
    <w:rsid w:val="0035796F"/>
    <w:rsid w:val="003A6193"/>
    <w:rsid w:val="003B5A90"/>
    <w:rsid w:val="004010FD"/>
    <w:rsid w:val="004C4E0C"/>
    <w:rsid w:val="005B4F7F"/>
    <w:rsid w:val="007230F8"/>
    <w:rsid w:val="00776135"/>
    <w:rsid w:val="00792F13"/>
    <w:rsid w:val="00797D90"/>
    <w:rsid w:val="007D13CB"/>
    <w:rsid w:val="007E52CC"/>
    <w:rsid w:val="008D687A"/>
    <w:rsid w:val="00942C6F"/>
    <w:rsid w:val="00A5593E"/>
    <w:rsid w:val="00AB5892"/>
    <w:rsid w:val="00AB6061"/>
    <w:rsid w:val="00B06479"/>
    <w:rsid w:val="00B72026"/>
    <w:rsid w:val="00C164AD"/>
    <w:rsid w:val="00C37117"/>
    <w:rsid w:val="00C63159"/>
    <w:rsid w:val="00C725B9"/>
    <w:rsid w:val="00C771EC"/>
    <w:rsid w:val="00C96736"/>
    <w:rsid w:val="00D92603"/>
    <w:rsid w:val="00D976D6"/>
    <w:rsid w:val="00DA6A0F"/>
    <w:rsid w:val="00DC1E87"/>
    <w:rsid w:val="00E5096C"/>
    <w:rsid w:val="00F20C0A"/>
    <w:rsid w:val="00F26740"/>
    <w:rsid w:val="00F8048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3D0EC35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593E"/>
  </w:style>
  <w:style w:type="paragraph" w:styleId="Heading1">
    <w:name w:val="heading 1"/>
    <w:basedOn w:val="Normal"/>
    <w:next w:val="Normal"/>
    <w:link w:val="Heading1Char"/>
    <w:uiPriority w:val="9"/>
    <w:qFormat/>
    <w:rsid w:val="00A5593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93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93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93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93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93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93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93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93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93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93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93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93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93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93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93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93E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93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5593E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5593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5593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93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5593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A5593E"/>
    <w:rPr>
      <w:b/>
      <w:bCs/>
    </w:rPr>
  </w:style>
  <w:style w:type="character" w:styleId="Emphasis">
    <w:name w:val="Emphasis"/>
    <w:basedOn w:val="DefaultParagraphFont"/>
    <w:uiPriority w:val="20"/>
    <w:qFormat/>
    <w:rsid w:val="00A5593E"/>
    <w:rPr>
      <w:i/>
      <w:iCs/>
    </w:rPr>
  </w:style>
  <w:style w:type="paragraph" w:styleId="NoSpacing">
    <w:name w:val="No Spacing"/>
    <w:uiPriority w:val="1"/>
    <w:qFormat/>
    <w:rsid w:val="00A5593E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5593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5593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A5593E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93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93E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A5593E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A5593E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A5593E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A5593E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A5593E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5593E"/>
    <w:pPr>
      <w:outlineLvl w:val="9"/>
    </w:pPr>
  </w:style>
  <w:style w:type="paragraph" w:styleId="FootnoteText">
    <w:name w:val="footnote text"/>
    <w:basedOn w:val="Normal"/>
    <w:link w:val="FootnoteTextChar"/>
    <w:uiPriority w:val="99"/>
    <w:unhideWhenUsed/>
    <w:rsid w:val="00AB5892"/>
    <w:pPr>
      <w:spacing w:after="0" w:line="240" w:lineRule="auto"/>
    </w:pPr>
    <w:rPr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B5892"/>
    <w:rPr>
      <w:sz w:val="24"/>
      <w:szCs w:val="24"/>
    </w:rPr>
  </w:style>
  <w:style w:type="character" w:styleId="FootnoteReference">
    <w:name w:val="footnote reference"/>
    <w:basedOn w:val="DefaultParagraphFont"/>
    <w:uiPriority w:val="99"/>
    <w:unhideWhenUsed/>
    <w:rsid w:val="00AB5892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AB5892"/>
    <w:rPr>
      <w:color w:val="0000FF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3A61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6193"/>
  </w:style>
  <w:style w:type="character" w:styleId="PageNumber">
    <w:name w:val="page number"/>
    <w:basedOn w:val="DefaultParagraphFont"/>
    <w:uiPriority w:val="99"/>
    <w:semiHidden/>
    <w:unhideWhenUsed/>
    <w:rsid w:val="003A6193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593E"/>
  </w:style>
  <w:style w:type="paragraph" w:styleId="Heading1">
    <w:name w:val="heading 1"/>
    <w:basedOn w:val="Normal"/>
    <w:next w:val="Normal"/>
    <w:link w:val="Heading1Char"/>
    <w:uiPriority w:val="9"/>
    <w:qFormat/>
    <w:rsid w:val="00A5593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93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93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93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93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93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93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93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93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93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93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93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93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93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93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93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93E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93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5593E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5593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5593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93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5593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A5593E"/>
    <w:rPr>
      <w:b/>
      <w:bCs/>
    </w:rPr>
  </w:style>
  <w:style w:type="character" w:styleId="Emphasis">
    <w:name w:val="Emphasis"/>
    <w:basedOn w:val="DefaultParagraphFont"/>
    <w:uiPriority w:val="20"/>
    <w:qFormat/>
    <w:rsid w:val="00A5593E"/>
    <w:rPr>
      <w:i/>
      <w:iCs/>
    </w:rPr>
  </w:style>
  <w:style w:type="paragraph" w:styleId="NoSpacing">
    <w:name w:val="No Spacing"/>
    <w:uiPriority w:val="1"/>
    <w:qFormat/>
    <w:rsid w:val="00A5593E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5593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5593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A5593E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93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93E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A5593E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A5593E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A5593E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A5593E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A5593E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5593E"/>
    <w:pPr>
      <w:outlineLvl w:val="9"/>
    </w:pPr>
  </w:style>
  <w:style w:type="paragraph" w:styleId="FootnoteText">
    <w:name w:val="footnote text"/>
    <w:basedOn w:val="Normal"/>
    <w:link w:val="FootnoteTextChar"/>
    <w:uiPriority w:val="99"/>
    <w:unhideWhenUsed/>
    <w:rsid w:val="00AB5892"/>
    <w:pPr>
      <w:spacing w:after="0" w:line="240" w:lineRule="auto"/>
    </w:pPr>
    <w:rPr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B5892"/>
    <w:rPr>
      <w:sz w:val="24"/>
      <w:szCs w:val="24"/>
    </w:rPr>
  </w:style>
  <w:style w:type="character" w:styleId="FootnoteReference">
    <w:name w:val="footnote reference"/>
    <w:basedOn w:val="DefaultParagraphFont"/>
    <w:uiPriority w:val="99"/>
    <w:unhideWhenUsed/>
    <w:rsid w:val="00AB5892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AB5892"/>
    <w:rPr>
      <w:color w:val="0000FF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3A61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6193"/>
  </w:style>
  <w:style w:type="character" w:styleId="PageNumber">
    <w:name w:val="page number"/>
    <w:basedOn w:val="DefaultParagraphFont"/>
    <w:uiPriority w:val="99"/>
    <w:semiHidden/>
    <w:unhideWhenUsed/>
    <w:rsid w:val="003A61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://pt.wikipedia.org/wiki/Escala_Like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1218</TotalTime>
  <Pages>4</Pages>
  <Words>907</Words>
  <Characters>5581</Characters>
  <Application>Microsoft Macintosh Word</Application>
  <DocSecurity>0</DocSecurity>
  <Lines>111</Lines>
  <Paragraphs>86</Paragraphs>
  <ScaleCrop>false</ScaleCrop>
  <Company/>
  <LinksUpToDate>false</LinksUpToDate>
  <CharactersWithSpaces>6402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Mendes</dc:creator>
  <cp:keywords/>
  <dc:description/>
  <cp:lastModifiedBy>Marco Mendes</cp:lastModifiedBy>
  <cp:revision>30</cp:revision>
  <cp:lastPrinted>2012-07-18T23:07:00Z</cp:lastPrinted>
  <dcterms:created xsi:type="dcterms:W3CDTF">2012-07-18T19:22:00Z</dcterms:created>
  <dcterms:modified xsi:type="dcterms:W3CDTF">2012-07-19T18:05:00Z</dcterms:modified>
</cp:coreProperties>
</file>