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Calibri"/>
          <w:b w:val="true"/>
          <w:color w:val="365F91"/>
          <w:sz w:val="28"/>
        </w:rPr>
        <w:t>Modelo de Serviços – Template</w:t>
      </w:r>
    </w:p>
    <w:p>
      <w:r>
        <w:rPr>
          <w:rFonts w:ascii="Calibri"/>
          <w:b w:val="true"/>
          <w:color w:val="365F91"/>
          <w:sz w:val="28"/>
        </w:rPr>
        <w:t>Nome</w:t>
      </w:r>
    </w:p>
    <w:p>
      <w:r>
        <w:rPr>
          <w:rFonts w:ascii="Cambria"/>
          <w:sz w:val="22"/>
        </w:rPr>
        <w:t>Gerir parametrização de negócio</w:t>
      </w:r>
    </w:p>
    <w:p>
      <w:r>
        <w:rPr>
          <w:rFonts w:ascii="Calibri"/>
          <w:b w:val="true"/>
          <w:color w:val="365F91"/>
          <w:sz w:val="28"/>
        </w:rPr>
        <w:t>Descrição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Processo de Negócio Associados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Áreas Funcionais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Atores do Negócio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Contratos 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Mensagens de Operações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SLA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Dependência de Serviços e Composições</w:t>
      </w:r>
    </w:p>
    <w:p>
      <w:r>
        <w:rPr>
          <w:rFonts w:ascii="Cambria"/>
          <w:sz w:val="22"/>
        </w:rPr>
        <w:t/>
      </w:r>
    </w:p>
    <w:p>
      <w:r>
        <w:rPr>
          <w:rFonts w:ascii="Calibri"/>
          <w:b w:val="true"/>
          <w:color w:val="365F91"/>
          <w:sz w:val="28"/>
        </w:rPr>
        <w:t>Rastreabilidade</w:t>
      </w:r>
    </w:p>
    <w:p>
      <w:r>
        <w:rPr>
          <w:rFonts w:ascii="Cambria"/>
          <w:sz w:val="22"/>
        </w:rPr>
        <w:t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2014-04-24T12:39:43Z</dcterms:created>
  <dc:creator>Apache POI</dc:creator>
</coreProperties>
</file>