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Calibri"/>
          <w:b w:val="true"/>
          <w:color w:val="365F91"/>
          <w:sz w:val="28"/>
        </w:rPr>
        <w:t>Modelo de Serviços – Template</w:t>
      </w:r>
    </w:p>
    <w:p>
      <w:r>
        <w:rPr>
          <w:rFonts w:ascii="Calibri"/>
          <w:b w:val="true"/>
          <w:color w:val="365F91"/>
          <w:sz w:val="28"/>
        </w:rPr>
        <w:t>Nome</w:t>
      </w:r>
    </w:p>
    <w:p>
      <w:r>
        <w:rPr>
          <w:rFonts w:ascii="Cambria"/>
          <w:sz w:val="22"/>
        </w:rPr>
        <w:t>Gerir token</w:t>
      </w:r>
    </w:p>
    <w:p>
      <w:r>
        <w:rPr>
          <w:rFonts w:ascii="Calibri"/>
          <w:b w:val="true"/>
          <w:color w:val="365F91"/>
          <w:sz w:val="28"/>
        </w:rPr>
        <w:t>Descrição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Processo de Negócio Associados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Áreas Funcionais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Atores do Negócio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Contratos e Operações</w:t>
      </w:r>
    </w:p>
    <w:p>
      <w:r>
        <w:rPr>
          <w:rFonts w:ascii="Cambria"/>
          <w:sz w:val="22"/>
        </w:rPr>
        <w:t>1. Gerar token
2. Consultar token</w:t>
      </w:r>
    </w:p>
    <w:p>
      <w:r>
        <w:rPr>
          <w:rFonts w:ascii="Calibri"/>
          <w:b w:val="true"/>
          <w:color w:val="365F91"/>
          <w:sz w:val="28"/>
        </w:rPr>
        <w:t>Mensagens de Operações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SLA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Dependência de Serviços e Composições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Rastreabilidade</w:t>
      </w:r>
    </w:p>
    <w:p>
      <w:r>
        <w:rPr>
          <w:rFonts w:ascii="Cambria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2014-04-24T12:39:43Z</dcterms:created>
  <dc:creator>Apache POI</dc:creator>
</coreProperties>
</file>