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?>
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>
  <w:body>
    <w:p>
      <w:r>
        <w:rPr>
          <w:rFonts w:ascii="Calibri"/>
          <w:b w:val="true"/>
          <w:color w:val="365F91"/>
          <w:sz w:val="28"/>
        </w:rPr>
        <w:t>Modelo de Serviços – Template</w:t>
      </w:r>
    </w:p>
    <w:p>
      <w:r>
        <w:rPr>
          <w:rFonts w:ascii="Calibri"/>
          <w:b w:val="true"/>
          <w:color w:val="365F91"/>
          <w:sz w:val="28"/>
        </w:rPr>
        <w:t>Nome</w:t>
      </w:r>
    </w:p>
    <w:p>
      <w:r>
        <w:rPr>
          <w:rFonts w:ascii="Cambria"/>
          <w:sz w:val="22"/>
        </w:rPr>
        <w:t>Identificar duplicidade de usuário de transporte</w:t>
      </w:r>
    </w:p>
    <w:p>
      <w:r>
        <w:rPr>
          <w:rFonts w:ascii="Calibri"/>
          <w:b w:val="true"/>
          <w:color w:val="365F91"/>
          <w:sz w:val="28"/>
        </w:rPr>
        <w:t>Descrição</w:t>
      </w:r>
    </w:p>
    <w:p>
      <w:r>
        <w:rPr>
          <w:rFonts w:ascii="Cambria"/>
          <w:sz w:val="22"/>
        </w:rPr>
        <w:t>DESCRICAO X</w:t>
      </w:r>
    </w:p>
    <w:p>
      <w:r>
        <w:rPr>
          <w:rFonts w:ascii="Calibri"/>
          <w:b w:val="true"/>
          <w:color w:val="365F91"/>
          <w:sz w:val="28"/>
        </w:rPr>
        <w:t>Processo de Negócio Associados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Áreas Funcionais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Atores do Negócio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Contratos e Operações</w:t>
      </w:r>
    </w:p>
    <w:p>
      <w:r>
        <w:rPr>
          <w:rFonts w:ascii="Cambria"/>
          <w:sz w:val="22"/>
        </w:rPr>
        <w:t>1. Identificar a duplicidade de usuário de transporte</w:t>
      </w:r>
    </w:p>
    <w:p>
      <w:r>
        <w:rPr>
          <w:rFonts w:ascii="Calibri"/>
          <w:b w:val="true"/>
          <w:color w:val="365F91"/>
          <w:sz w:val="28"/>
        </w:rPr>
        <w:t>Mensagens de Operações</w:t>
      </w:r>
    </w:p>
    <w:p>
      <w:r>
        <w:rPr>
          <w:rFonts w:ascii="Cambria"/>
          <w:sz w:val="22"/>
        </w:rPr>
        <w:t>1.1. Entrada: informações do usuário de transporte (nome, CPF ou RG, nome da mãe, data de nascimento)
1.2. Saída: informações de duplicidade de usuário de transporte (status, lista de usuários correspondentes)</w:t>
      </w:r>
    </w:p>
    <w:p>
      <w:r>
        <w:rPr>
          <w:rFonts w:ascii="Calibri"/>
          <w:b w:val="true"/>
          <w:color w:val="365F91"/>
          <w:sz w:val="28"/>
        </w:rPr>
        <w:t>SLA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Dependência de Serviços e Composições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Rastreabilidade</w:t>
      </w:r>
    </w:p>
    <w:p>
      <w:r>
        <w:rPr>
          <w:rFonts w:ascii="Cambria"/>
          <w:sz w:val="22"/>
        </w:rPr>
        <w:t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?>

<Relationships xmlns="http://schemas.openxmlformats.org/package/2006/relationships">
  <Relationship Id="rId1" Type="http://schemas.openxmlformats.org/officeDocument/2006/relationships/settings" Target="settings.xml"/>
</Relationships>
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2014-04-24T12:39:42Z</dcterms:created>
  <dc:creator>Apache POI</dc:creator>
</coreProperties>
</file>