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rPr>
          <w:rFonts w:ascii="Calibri"/>
          <w:b w:val="true"/>
          <w:color w:val="365F91"/>
          <w:sz w:val="28"/>
        </w:rPr>
        <w:t>Modelo de Serviços – Template</w:t>
      </w:r>
    </w:p>
    <w:p>
      <w:r>
        <w:rPr>
          <w:rFonts w:ascii="Calibri"/>
          <w:b w:val="true"/>
          <w:color w:val="365F91"/>
          <w:sz w:val="28"/>
        </w:rPr>
        <w:t>Nome</w:t>
      </w:r>
    </w:p>
    <w:p>
      <w:r>
        <w:rPr>
          <w:rFonts w:ascii="Cambria"/>
          <w:sz w:val="22"/>
        </w:rPr>
        <w:t>Manter erros e exceções</w:t>
      </w:r>
    </w:p>
    <w:p>
      <w:r>
        <w:rPr>
          <w:rFonts w:ascii="Calibri"/>
          <w:b w:val="true"/>
          <w:color w:val="365F91"/>
          <w:sz w:val="28"/>
        </w:rPr>
        <w:t>Descrição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Processo de Negócio Associados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Áreas Funcionais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Atores do Negócio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Contratos e Operações</w:t>
      </w:r>
    </w:p>
    <w:p>
      <w:r>
        <w:rPr>
          <w:rFonts w:ascii="Cambria"/>
          <w:sz w:val="22"/>
        </w:rPr>
        <w:t>1. Consultar mensagem de erro ou exceção
2. Gerar log de erro ou exceção
3. Gerar mensagem de exibição</w:t>
      </w:r>
    </w:p>
    <w:p>
      <w:r>
        <w:rPr>
          <w:rFonts w:ascii="Calibri"/>
          <w:b w:val="true"/>
          <w:color w:val="365F91"/>
          <w:sz w:val="28"/>
        </w:rPr>
        <w:t>Mensagens de Operações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SLA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Dependência de Serviços e Composições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Rastreabilidade</w:t>
      </w:r>
    </w:p>
    <w:p>
      <w:r>
        <w:rPr>
          <w:rFonts w:ascii="Cambria"/>
          <w:sz w:val="22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?>

<Relationships xmlns="http://schemas.openxmlformats.org/package/2006/relationships">
  <Relationship Id="rId1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2014-04-24T12:39:43Z</dcterms:created>
  <dc:creator>Apache POI</dc:creator>
</coreProperties>
</file>