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800"/>
        <w:jc w:val="center"/>
      </w:pPr>
      <w:r>
        <w:rPr>
          <w:rFonts w:ascii="Calibri" w:cs="Calibri" w:eastAsia="Calibri" w:hAnsi="Calibri"/>
          <w:b/>
          <w:bCs/>
          <w:color w:val="1F3A68"/>
          <w:sz w:val="46"/>
          <w:szCs w:val="46"/>
        </w:rPr>
        <w:t xml:space="preserve">GRUPO RBA</w:t>
      </w:r>
    </w:p>
    <w:p>
      <w:pPr>
        <w:spacing w:after="120" w:before="120"/>
        <w:jc w:val="center"/>
      </w:pPr>
      <w:r>
        <w:rPr>
          <w:rFonts w:ascii="Calibri" w:cs="Calibri" w:eastAsia="Calibri" w:hAnsi="Calibri"/>
          <w:b/>
          <w:bCs/>
          <w:color w:val="1F3A68"/>
          <w:sz w:val="30"/>
          <w:szCs w:val="30"/>
        </w:rPr>
        <w:t xml:space="preserve">RESUMO EXECUTIVO — DIRETORIA</w:t>
      </w:r>
    </w:p>
    <w:p>
      <w:pPr>
        <w:spacing w:after="80" w:before="40"/>
        <w:jc w:val="center"/>
      </w:pPr>
      <w:r>
        <w:rPr>
          <w:rFonts w:ascii="Calibri" w:cs="Calibri" w:eastAsia="Calibri" w:hAnsi="Calibri"/>
          <w:i/>
          <w:iCs/>
          <w:color w:val="555555"/>
          <w:sz w:val="24"/>
          <w:szCs w:val="24"/>
        </w:rPr>
        <w:t xml:space="preserve">Diagnóstico Estratégico de IA — v0.3</w:t>
      </w:r>
    </w:p>
    <w:p>
      <w:pPr>
        <w:spacing w:after="600" w:before="4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18 de abril de 2026  |  Consultor: Zeni  |  thiagoazeni@gmail.com</w:t>
      </w:r>
    </w:p>
    <w:p>
      <w:pPr>
        <w:spacing w:after="120" w:before="200"/>
        <w:jc w:val="center"/>
      </w:pPr>
      <w:r>
        <w:rPr>
          <w:rFonts w:ascii="Calibri" w:cs="Calibri" w:eastAsia="Calibri" w:hAnsi="Calibri"/>
          <w:b/>
          <w:bCs/>
          <w:color w:val="1F3A68"/>
          <w:sz w:val="22"/>
          <w:szCs w:val="22"/>
        </w:rPr>
        <w:t xml:space="preserve">Destinatários: Roque Luiz Zeni  |  Afonso Celso Cardoso</w:t>
      </w:r>
    </w:p>
    <w:p>
      <w:pPr>
        <w:spacing w:after="80" w:before="8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Leitura: ~30 minutos. Anexa ao documento técnico completo (v0.3, ~60 páginas).</w:t>
      </w:r>
    </w:p>
    <w:p>
      <w:pPr>
        <w:pageBreakBefore/>
      </w:pPr>
      <w:r>
        <w:t xml:space="preserve"/>
      </w:r>
    </w:p>
    <w:p>
      <w:pPr>
        <w:pStyle w:val="Heading1"/>
        <w:spacing w:after="160" w:before="360" w:line="300"/>
      </w:pPr>
      <w:r>
        <w:rPr>
          <w:rFonts w:ascii="Calibri" w:cs="Calibri" w:eastAsia="Calibri" w:hAnsi="Calibri"/>
          <w:b/>
          <w:bCs/>
          <w:color w:val="1F3A68"/>
          <w:sz w:val="34"/>
          <w:szCs w:val="34"/>
        </w:rPr>
        <w:t xml:space="preserve">1.  O que este documento pede ao Conselho</w:t>
      </w:r>
    </w:p>
    <w:p>
      <w:pPr>
        <w:spacing w:after="80" w:before="80" w:line="300"/>
      </w:pPr>
      <w:r>
        <w:rPr>
          <w:rFonts w:ascii="Calibri" w:cs="Calibri" w:eastAsia="Calibri" w:hAnsi="Calibri"/>
        </w:rPr>
        <w:t xml:space="preserve">Autorização para iniciar em 30 dias uma Onda 1 de três iniciativas de IA, com um workstream de Governança rodando em paralelo desde o dia 1. Investimento estimado da Onda 1 (ordem de magnitude, a confirmar com orçamento de fornecedores):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Entre R$ 75 mil e R$ 150 mil one-time (implementação + consultoria externa dos primeiros 90 dias);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Entre R$ 9 mil e R$ 17 mil por mês (licenças enterprise + observabilidade + custo recorrente de ferramentas).</w:t>
      </w:r>
    </w:p>
    <w:p>
      <w:pPr>
        <w:spacing w:after="80" w:before="80" w:line="300"/>
      </w:pPr>
      <w:r>
        <w:rPr>
          <w:rFonts w:ascii="Calibri" w:cs="Calibri" w:eastAsia="Calibri" w:hAnsi="Calibri"/>
        </w:rPr>
        <w:t xml:space="preserve">A escolha da Onda 1 foi feita por cruzamento de impacto, esforço, payback e dependência técnica — não é "tudo o que dá para fazer com IA na RBA". Quatro iniciativas da v0.2 foram rebaixadas: o Mission Control de Mídia e a Prospecção com IA passaram para a Onda 2 (meses 4 a 9) porque são projetos de maior porte; o CRM-como-produto foi reposicionado como decisão estratégica de diversificação de negócios (Anexo A do documento técnico); a digitalização completa do financeiro permanece no horizonte de consolidação.</w:t>
      </w:r>
    </w:p>
    <w:p>
      <w:pPr>
        <w:pStyle w:val="Heading2"/>
        <w:spacing w:after="120" w:before="260" w:line="300"/>
      </w:pPr>
      <w:r>
        <w:rPr>
          <w:rFonts w:ascii="Calibri" w:cs="Calibri" w:eastAsia="Calibri" w:hAnsi="Calibri"/>
          <w:b/>
          <w:bCs/>
          <w:color w:val="1F3A68"/>
          <w:sz w:val="26"/>
          <w:szCs w:val="26"/>
        </w:rPr>
        <w:t xml:space="preserve">O diagnóstico macro em uma linha</w:t>
      </w:r>
    </w:p>
    <w:p>
      <w:pPr>
        <w:spacing w:after="80" w:before="80" w:line="300"/>
      </w:pPr>
      <w:r>
        <w:rPr>
          <w:rFonts w:ascii="Calibri" w:cs="Calibri" w:eastAsia="Calibri" w:hAnsi="Calibri"/>
        </w:rPr>
        <w:t xml:space="preserve">A pressão estrutural sobre margem (migração tradicional → digital, BV reduzido sem compensação proporcional nas taxas de gestão digital) é real e urgente. A IA é uma das ferramentas para responder a essa pressão, por dois vetores: (a) eficiência operacional — liberar horas-homem para o que o cliente realmente paga; (b) expansão de faturamento — posicionamento de expertise e novos serviços vendáveis. A Onda 1 foca vetor (a); vetor (b) entra a partir da Onda 2.</w:t>
      </w:r>
    </w:p>
    <w:p>
      <w:pPr>
        <w:pStyle w:val="Heading1"/>
        <w:spacing w:after="160" w:before="360" w:line="300"/>
      </w:pPr>
      <w:r>
        <w:rPr>
          <w:rFonts w:ascii="Calibri" w:cs="Calibri" w:eastAsia="Calibri" w:hAnsi="Calibri"/>
          <w:b/>
          <w:bCs/>
          <w:color w:val="1F3A68"/>
          <w:sz w:val="34"/>
          <w:szCs w:val="34"/>
        </w:rPr>
        <w:t xml:space="preserve">2.  As três iniciativas da Onda 1</w:t>
      </w:r>
    </w:p>
    <w:p>
      <w:pPr>
        <w:pStyle w:val="Heading2"/>
        <w:spacing w:after="120" w:before="260" w:line="300"/>
      </w:pPr>
      <w:r>
        <w:rPr>
          <w:rFonts w:ascii="Calibri" w:cs="Calibri" w:eastAsia="Calibri" w:hAnsi="Calibri"/>
          <w:b/>
          <w:bCs/>
          <w:color w:val="1F3A68"/>
          <w:sz w:val="26"/>
          <w:szCs w:val="26"/>
        </w:rPr>
        <w:t xml:space="preserve">Iniciativa 1 — Double-check de verbas (validação determinística)</w:t>
      </w:r>
    </w:p>
    <w:p>
      <w:pPr>
        <w:spacing w:after="80" w:before="80" w:line="300"/>
      </w:pPr>
      <w:r>
        <w:rPr>
          <w:rFonts w:ascii="Calibri" w:cs="Calibri" w:eastAsia="Calibri" w:hAnsi="Calibri"/>
        </w:rPr>
        <w:t xml:space="preserve">Risco financeiro direto hoje, sem proteção automatizada — é o único P&amp;L-risk da agência identificado na imersão. Um erro grave de configuração em PUBLI versus o plano aprovado com cliente vira cobrança indevida ou prejuízo da agência. Não é "agente de IA" — é linter de schema que compara o plano aprovado contra a configuração final antes do disparo e bloqueia se houver discrepância. IA entra só como explicador opcional do erro.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Investimento</w:t>
            </w:r>
          </w:p>
        </w:tc>
        <w:tc>
          <w:tcPr>
            <w:tcW w:type="dxa" w:w="716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R$ 15 mil a 30 mil implementação + R$ 1 mil a 2 mil/mês observabilidade</w:t>
            </w:r>
          </w:p>
        </w:tc>
      </w:tr>
      <w:tr>
        <w:tc>
          <w:tcPr>
            <w:tcW w:type="dxa" w:w="22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Prazo</w:t>
            </w:r>
          </w:p>
        </w:tc>
        <w:tc>
          <w:tcPr>
            <w:tcW w:type="dxa" w:w="716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30 dias — primeira regra no ar em 2 semanas, cobertura completa na semana 4</w:t>
            </w:r>
          </w:p>
        </w:tc>
      </w:tr>
      <w:tr>
        <w:tc>
          <w:tcPr>
            <w:tcW w:type="dxa" w:w="22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Payback</w:t>
            </w:r>
          </w:p>
        </w:tc>
        <w:tc>
          <w:tcPr>
            <w:tcW w:type="dxa" w:w="716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Binário — evita o primeiro incidente sério. Dimensionamento real depende de exposição histórica a validar com Clever.</w:t>
            </w:r>
          </w:p>
        </w:tc>
      </w:tr>
      <w:tr>
        <w:tc>
          <w:tcPr>
            <w:tcW w:type="dxa" w:w="22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716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Tiago Mendes (interno) + 1 dev externo part-time; patrocinadora: Nathalie (Mídia)</w:t>
            </w:r>
          </w:p>
        </w:tc>
      </w:tr>
      <w:tr>
        <w:tc>
          <w:tcPr>
            <w:tcW w:type="dxa" w:w="22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Critério de aceite</w:t>
            </w:r>
          </w:p>
        </w:tc>
        <w:tc>
          <w:tcPr>
            <w:tcW w:type="dxa" w:w="716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Zero discrepâncias não-detectadas durante 60 dias consecutivos de operação</w:t>
            </w:r>
          </w:p>
        </w:tc>
      </w:tr>
    </w:tbl>
    <w:p>
      <w:pPr>
        <w:pStyle w:val="Heading2"/>
        <w:spacing w:after="120" w:before="260" w:line="300"/>
      </w:pPr>
      <w:r>
        <w:rPr>
          <w:rFonts w:ascii="Calibri" w:cs="Calibri" w:eastAsia="Calibri" w:hAnsi="Calibri"/>
          <w:b/>
          <w:bCs/>
          <w:color w:val="1F3A68"/>
          <w:sz w:val="26"/>
          <w:szCs w:val="26"/>
        </w:rPr>
        <w:t xml:space="preserve">Iniciativa 2 — SIM Nível 1 (piloto de Sistema de Inteligência de Marca)</w:t>
      </w:r>
    </w:p>
    <w:p>
      <w:pPr>
        <w:spacing w:after="80" w:before="80" w:line="300"/>
      </w:pPr>
      <w:r>
        <w:rPr>
          <w:rFonts w:ascii="Calibri" w:cs="Calibri" w:eastAsia="Calibri" w:hAnsi="Calibri"/>
        </w:rPr>
        <w:t xml:space="preserve">Codificação estruturada do conhecimento de marca (manual, tom, visual, guardrails) em uma marca piloto, com Claude Projects enterprise como camada de chat encima. É o embrião do que Carol (Social Media) já começou a construir sozinha por iniciativa própria — validação orgânica de que o conceito funciona. Piloto prioritário: Harman; plano B caso procurement restrinja: marca nacional alternativa a decidir (ver Anexo B do documento técnico).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Investimento</w:t>
            </w:r>
          </w:p>
        </w:tc>
        <w:tc>
          <w:tcPr>
            <w:tcW w:type="dxa" w:w="716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R$ 25 mil a 50 mil estruturação + R$ 2 mil a 4 mil/mês licenças</w:t>
            </w:r>
          </w:p>
        </w:tc>
      </w:tr>
      <w:tr>
        <w:tc>
          <w:tcPr>
            <w:tcW w:type="dxa" w:w="22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Prazo</w:t>
            </w:r>
          </w:p>
        </w:tc>
        <w:tc>
          <w:tcPr>
            <w:tcW w:type="dxa" w:w="716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60 a 90 dias para o piloto estar em uso real</w:t>
            </w:r>
          </w:p>
        </w:tc>
      </w:tr>
      <w:tr>
        <w:tc>
          <w:tcPr>
            <w:tcW w:type="dxa" w:w="22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Payback</w:t>
            </w:r>
          </w:p>
        </w:tc>
        <w:tc>
          <w:tcPr>
            <w:tcW w:type="dxa" w:w="716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Qualitativo (redução de retrabalho, aceleração de onboarding) nos primeiros 60 dias. Quantitativo após 3 meses consolidados.</w:t>
            </w:r>
          </w:p>
        </w:tc>
      </w:tr>
      <w:tr>
        <w:tc>
          <w:tcPr>
            <w:tcW w:type="dxa" w:w="22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716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Consultor externo + champion da marca piloto (Carol como referência operacional)</w:t>
            </w:r>
          </w:p>
        </w:tc>
      </w:tr>
      <w:tr>
        <w:tc>
          <w:tcPr>
            <w:tcW w:type="dxa" w:w="22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Critério de aceite</w:t>
            </w:r>
          </w:p>
        </w:tc>
        <w:tc>
          <w:tcPr>
            <w:tcW w:type="dxa" w:w="716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Atendimento, criação ou social da conta usam SIM ≥3x/semana por iniciativa própria — sem a consultoria lembrando</w:t>
            </w:r>
          </w:p>
        </w:tc>
      </w:tr>
    </w:tbl>
    <w:p>
      <w:pPr>
        <w:pStyle w:val="Heading2"/>
        <w:spacing w:after="120" w:before="260" w:line="300"/>
      </w:pPr>
      <w:r>
        <w:rPr>
          <w:rFonts w:ascii="Calibri" w:cs="Calibri" w:eastAsia="Calibri" w:hAnsi="Calibri"/>
          <w:b/>
          <w:bCs/>
          <w:color w:val="1F3A68"/>
          <w:sz w:val="26"/>
          <w:szCs w:val="26"/>
        </w:rPr>
        <w:t xml:space="preserve">Iniciativa 3 — Aceleração criativa com IA (fluxo, não ferramentas)</w:t>
      </w:r>
    </w:p>
    <w:p>
      <w:pPr>
        <w:spacing w:after="80" w:before="80" w:line="300"/>
      </w:pPr>
      <w:r>
        <w:rPr>
          <w:rFonts w:ascii="Calibri" w:cs="Calibri" w:eastAsia="Calibri" w:hAnsi="Calibri"/>
        </w:rPr>
        <w:t xml:space="preserve">O relato da Criação na imersão foi que ferramentas isoladas geram mais retrabalho do que ganho (ver 3.5 do documento técnico). A resposta não é mais ferramenta — é fluxo estruturado: pilotos com SIM da marca, guardrails visuais aplicados, humano-no-loop obrigatório, e LoRA por marca quando justificável para consistência visual.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Investimento</w:t>
            </w:r>
          </w:p>
        </w:tc>
        <w:tc>
          <w:tcPr>
            <w:tcW w:type="dxa" w:w="716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R$ 15 mil a 30 mil consultoria aplicada + R$ 2 mil a 4 mil/mês ferramentas enterprise</w:t>
            </w:r>
          </w:p>
        </w:tc>
      </w:tr>
      <w:tr>
        <w:tc>
          <w:tcPr>
            <w:tcW w:type="dxa" w:w="22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Prazo</w:t>
            </w:r>
          </w:p>
        </w:tc>
        <w:tc>
          <w:tcPr>
            <w:tcW w:type="dxa" w:w="716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90 dias para workshops aplicados + 2 pilotos de vídeo/imagem entregues</w:t>
            </w:r>
          </w:p>
        </w:tc>
      </w:tr>
      <w:tr>
        <w:tc>
          <w:tcPr>
            <w:tcW w:type="dxa" w:w="22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Payback</w:t>
            </w:r>
          </w:p>
        </w:tc>
        <w:tc>
          <w:tcPr>
            <w:tcW w:type="dxa" w:w="716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Redução do tempo de primeiro draft; aumento da capacidade produtiva da Criação sem crescimento de headcount</w:t>
            </w:r>
          </w:p>
        </w:tc>
      </w:tr>
      <w:tr>
        <w:tc>
          <w:tcPr>
            <w:tcW w:type="dxa" w:w="22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Responsável</w:t>
            </w:r>
          </w:p>
        </w:tc>
        <w:tc>
          <w:tcPr>
            <w:tcW w:type="dxa" w:w="716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Rafa Plegge (head de arte) + consultor externo</w:t>
            </w:r>
          </w:p>
        </w:tc>
      </w:tr>
      <w:tr>
        <w:tc>
          <w:tcPr>
            <w:tcW w:type="dxa" w:w="220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Critério de aceite</w:t>
            </w:r>
          </w:p>
        </w:tc>
        <w:tc>
          <w:tcPr>
            <w:tcW w:type="dxa" w:w="7160"/>
            <w:tcBorders>
              <w:top w:val="single" w:color="BFC6D1" w:sz="4"/>
              <w:left w:val="single" w:color="BFC6D1" w:sz="4"/>
              <w:bottom w:val="single" w:color="BFC6D1" w:sz="4"/>
              <w:right w:val="single" w:color="BFC6D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20" w:line="26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Criação declara espontaneamente preferência pelo novo fluxo sobre o fluxo anterior, em retrospectiva ao dia 90</w:t>
            </w:r>
          </w:p>
        </w:tc>
      </w:tr>
    </w:tbl>
    <w:p>
      <w:pPr>
        <w:pStyle w:val="Heading1"/>
        <w:spacing w:after="160" w:before="360" w:line="300"/>
      </w:pPr>
      <w:r>
        <w:rPr>
          <w:rFonts w:ascii="Calibri" w:cs="Calibri" w:eastAsia="Calibri" w:hAnsi="Calibri"/>
          <w:b/>
          <w:bCs/>
          <w:color w:val="1F3A68"/>
          <w:sz w:val="34"/>
          <w:szCs w:val="34"/>
        </w:rPr>
        <w:t xml:space="preserve">3.  Workstream de Governança — pré-requisito transversal</w:t>
      </w:r>
    </w:p>
    <w:p>
      <w:pPr>
        <w:spacing w:after="80" w:before="80" w:line="300"/>
      </w:pPr>
      <w:r>
        <w:rPr>
          <w:rFonts w:ascii="Calibri" w:cs="Calibri" w:eastAsia="Calibri" w:hAnsi="Calibri"/>
        </w:rPr>
        <w:t xml:space="preserve">Nenhuma das três iniciativas pode ser aceita sem que o chão mínimo de governança de IA esteja em construção desde o dia 1. Não é boa prática opcional — é proteção contra passivo jurídico (LGPD), reputacional (vazamento ou alucinação publicada) e operacional (marcas concorrentes com isolamento inadequado). Entregas mínimas nos 60 primeiros dias: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Política de Uso Aceitável (PUA) assinada por 100% da equipe — documento curto, 4 a 6 páginas, com workshop aplicado.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Classificação de dados em quatro níveis (público, interno, confidencial, restrito) com tabela prática distribuída.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DPAs assinados com provedores enterprise principais (Anthropic, OpenAI, Google).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DPO (encarregado de dados) confirmado — externo ou interno.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Calibri" w:cs="Calibri" w:eastAsia="Calibri" w:hAnsi="Calibri"/>
        </w:rPr>
        <w:t xml:space="preserve">Isolamento técnico entre projetos de marcas concorrentes + teste adversário trimestral agendado.</w:t>
      </w:r>
    </w:p>
    <w:p>
      <w:pPr>
        <w:spacing w:after="80" w:before="80" w:line="300"/>
      </w:pPr>
      <w:r>
        <w:rPr>
          <w:rFonts w:ascii="Calibri" w:cs="Calibri" w:eastAsia="Calibri" w:hAnsi="Calibri"/>
        </w:rPr>
        <w:t xml:space="preserve">Investimento deste workstream: incluído na consultoria externa da Onda 1 + custo de jurídico a confirmar com o escritório da casa.</w:t>
      </w:r>
    </w:p>
    <w:p>
      <w:pPr>
        <w:pStyle w:val="Heading1"/>
        <w:spacing w:after="160" w:before="360" w:line="300"/>
      </w:pPr>
      <w:r>
        <w:rPr>
          <w:rFonts w:ascii="Calibri" w:cs="Calibri" w:eastAsia="Calibri" w:hAnsi="Calibri"/>
          <w:b/>
          <w:bCs/>
          <w:color w:val="1F3A68"/>
          <w:sz w:val="34"/>
          <w:szCs w:val="34"/>
        </w:rPr>
        <w:t xml:space="preserve">4.  Os três riscos principais</w:t>
      </w:r>
    </w:p>
    <w:p>
      <w:pPr>
        <w:spacing w:after="80" w:before="80" w:line="300"/>
      </w:pPr>
      <w:r>
        <w:rPr>
          <w:rFonts w:ascii="Calibri" w:cs="Calibri" w:eastAsia="Calibri" w:hAnsi="Calibri"/>
        </w:rPr>
        <w:t xml:space="preserve">A matriz completa de 12 riscos está no capítulo 12 do documento técnico. Para leitura do Conselho, três merecem atenção explícita: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b/>
          <w:bCs/>
        </w:rPr>
        <w:t xml:space="preserve">R3 — LGPD sem governança: </w:t>
      </w:r>
      <w:r>
        <w:rPr>
          <w:rFonts w:ascii="Calibri" w:cs="Calibri" w:eastAsia="Calibri" w:hAnsi="Calibri"/>
        </w:rPr>
        <w:t xml:space="preserve">a agência usa IA generativa em dados de clientes hoje, em modo fragmentado, sem PUA formal e sem DPA confirmado com provedores. Probabilidade alta de passivo se não endereçada. Mitigação: capítulo 9 do documento técnico — endereçável em 60 dias.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b/>
          <w:bCs/>
        </w:rPr>
        <w:t xml:space="preserve">R6 — alucinação em peça de cliente: </w:t>
      </w:r>
      <w:r>
        <w:rPr>
          <w:rFonts w:ascii="Calibri" w:cs="Calibri" w:eastAsia="Calibri" w:hAnsi="Calibri"/>
        </w:rPr>
        <w:t xml:space="preserve">risco crescente de que IA usada em modo-sombra produza conteúdo com informação falsa publicado em nome de uma marca. Mitigação: SIM com guardrails + humano-no-loop obrigatório + golden set de avaliação contínua.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  <w:b/>
          <w:bCs/>
        </w:rPr>
        <w:t xml:space="preserve">R7 — adoção não acontece: </w:t>
      </w:r>
      <w:r>
        <w:rPr>
          <w:rFonts w:ascii="Calibri" w:cs="Calibri" w:eastAsia="Calibri" w:hAnsi="Calibri"/>
        </w:rPr>
        <w:t xml:space="preserve">é o risco que mata mais iniciativas de IA em agências. O SIM pode virar repositório morto, o Double-check pode ser contornado manualmente, os workshops podem virar "mais uma moda". Mitigação: patrocínio executivo visível (Afonso), champions por área, KPI de uso real como critério de aceite.</w:t>
      </w:r>
    </w:p>
    <w:p>
      <w:pPr>
        <w:pStyle w:val="Heading1"/>
        <w:spacing w:after="160" w:before="360" w:line="300"/>
      </w:pPr>
      <w:r>
        <w:rPr>
          <w:rFonts w:ascii="Calibri" w:cs="Calibri" w:eastAsia="Calibri" w:hAnsi="Calibri"/>
          <w:b/>
          <w:bCs/>
          <w:color w:val="1F3A68"/>
          <w:sz w:val="34"/>
          <w:szCs w:val="34"/>
        </w:rPr>
        <w:t xml:space="preserve">5.  Pedido de decisão e próximos passos</w:t>
      </w:r>
    </w:p>
    <w:p>
      <w:pPr>
        <w:spacing w:after="80" w:before="80" w:line="300"/>
      </w:pPr>
      <w:r>
        <w:rPr>
          <w:rFonts w:ascii="Calibri" w:cs="Calibri" w:eastAsia="Calibri" w:hAnsi="Calibri"/>
        </w:rPr>
        <w:t xml:space="preserve">O que se pede ao Conselho nesta janela de decisão: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Aprovação formal da Onda 1 (três iniciativas acima) com orçamento-teto das faixas indicadas, em ata.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Designação de Afonso como patrocinador executivo principal, com compromisso de reunião quinzenal durante 90 dias, e Roque como patrocinador de governança e orçamento.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Autorização para a consultoria iniciar imediatamente validação com Harman/Samsung sobre uso de IA externa. Resposta esperada em 14 dias; se negativa, aciona plano B (Anexo B do documento técnico) sem atrasar cronograma.</w:t>
      </w:r>
    </w:p>
    <w:p>
      <w:pPr>
        <w:pStyle w:val="ListParagraph"/>
        <w:numPr>
          <w:ilvl w:val="0"/>
          <w:numId w:val="3"/>
        </w:numPr>
        <w:spacing w:after="40" w:before="40" w:line="280"/>
      </w:pPr>
      <w:r>
        <w:rPr>
          <w:rFonts w:ascii="Calibri" w:cs="Calibri" w:eastAsia="Calibri" w:hAnsi="Calibri"/>
        </w:rPr>
        <w:t xml:space="preserve">Próximas sessões de imersão autorizadas: Roque (3h — validação financeira), Clever (2h — exposição histórica), jurídico/DPO (2h — LGPD), heads de conta (2h — champions e piloto alternativo).</w:t>
      </w:r>
    </w:p>
    <w:p>
      <w:pPr>
        <w:pStyle w:val="Heading2"/>
        <w:spacing w:after="120" w:before="260" w:line="300"/>
      </w:pPr>
      <w:r>
        <w:rPr>
          <w:rFonts w:ascii="Calibri" w:cs="Calibri" w:eastAsia="Calibri" w:hAnsi="Calibri"/>
          <w:b/>
          <w:bCs/>
          <w:color w:val="1F3A68"/>
          <w:sz w:val="26"/>
          <w:szCs w:val="26"/>
        </w:rPr>
        <w:t xml:space="preserve">Gate de decisão ao dia 90</w:t>
      </w:r>
    </w:p>
    <w:p>
      <w:pPr>
        <w:spacing w:after="80" w:before="80" w:line="300"/>
      </w:pPr>
      <w:r>
        <w:rPr>
          <w:rFonts w:ascii="Calibri" w:cs="Calibri" w:eastAsia="Calibri" w:hAnsi="Calibri"/>
        </w:rPr>
        <w:t xml:space="preserve">Ao fim da Onda 1, o Conselho decide sobre a Onda 2 (Mission Control de Mídia, Prospecção com IA, SIM Nível 2 com RAG). A decisão é baseada em seis critérios de sucesso da Onda 1, listados no capítulo 13 do documento técnico. Se três ou mais falharem, Onda 2 é suspensa até reavaliação — não se avança sem fundação pronta.</w:t>
      </w:r>
    </w:p>
    <w:p>
      <w:pPr>
        <w:pStyle w:val="Heading2"/>
        <w:spacing w:after="120" w:before="260" w:line="300"/>
      </w:pPr>
      <w:r>
        <w:rPr>
          <w:rFonts w:ascii="Calibri" w:cs="Calibri" w:eastAsia="Calibri" w:hAnsi="Calibri"/>
          <w:b/>
          <w:bCs/>
          <w:color w:val="1F3A68"/>
          <w:sz w:val="26"/>
          <w:szCs w:val="26"/>
        </w:rPr>
        <w:t xml:space="preserve">Observação sobre as faixas financeiras</w:t>
      </w:r>
    </w:p>
    <w:p>
      <w:pPr>
        <w:spacing w:after="80" w:before="80" w:line="300"/>
      </w:pPr>
      <w:r>
        <w:rPr>
          <w:rFonts w:ascii="Calibri" w:cs="Calibri" w:eastAsia="Calibri" w:hAnsi="Calibri"/>
        </w:rPr>
        <w:t xml:space="preserve">Todos os valores deste documento são ordem de magnitude para dimensionar decisão. A consolidação definitiva pressupõe orçamento formal de fornecedores e validação com o Financeiro (Roque). Ver perguntas 3, 6, 16 e 17 do capítulo 14 do documento técnico. Estão explicitamente marcados como "[ A VALIDAR COM ROQUE ]" na versão técnica.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  <w:jc w:val="center"/>
    </w:pPr>
    <w:r>
      <w:rPr>
        <w:rFonts w:ascii="Calibri" w:cs="Calibri" w:eastAsia="Calibri" w:hAnsi="Calibri"/>
        <w:color w:val="555555"/>
        <w:sz w:val="18"/>
        <w:szCs w:val="18"/>
      </w:rPr>
      <w:t xml:space="preserve">Confidencial — Diretoria do Grupo RBA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color w:val="555555"/>
        <w:sz w:val="18"/>
        <w:szCs w:val="18"/>
      </w:rPr>
      <w:t xml:space="preserve">Página </w:t>
    </w:r>
    <w:r>
      <w:rPr>
        <w:rFonts w:ascii="Calibri" w:cs="Calibri" w:eastAsia="Calibri" w:hAnsi="Calibri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8"/>
        <w:szCs w:val="18"/>
      </w:rPr>
      <w:t xml:space="preserve"> de </w:t>
    </w:r>
    <w:r>
      <w:rPr>
        <w:rFonts w:ascii="Calibri" w:cs="Calibri" w:eastAsia="Calibri" w:hAnsi="Calibri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A68" w:sz="6" w:space="2"/>
      </w:pBdr>
      <w:jc w:val="right"/>
    </w:pPr>
    <w:r>
      <w:rPr>
        <w:rFonts w:ascii="Calibri" w:cs="Calibri" w:eastAsia="Calibri" w:hAnsi="Calibri"/>
        <w:i/>
        <w:iCs/>
        <w:color w:val="555555"/>
        <w:sz w:val="18"/>
        <w:szCs w:val="18"/>
      </w:rPr>
      <w:t xml:space="preserve">Grupo RBA — Resumo Executivo — Diagnóstico de IA v0.3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 w:line="300"/>
      <w:outlineLvl w:val="0"/>
    </w:pPr>
    <w:rPr>
      <w:rFonts w:ascii="Calibri" w:cs="Calibri" w:eastAsia="Calibri" w:hAnsi="Calibri"/>
      <w:b/>
      <w:bCs/>
      <w:color w:val="1F3A68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60" w:line="300"/>
      <w:outlineLvl w:val="1"/>
    </w:pPr>
    <w:rPr>
      <w:rFonts w:ascii="Calibri" w:cs="Calibri" w:eastAsia="Calibri" w:hAnsi="Calibri"/>
      <w:b/>
      <w:bCs/>
      <w:color w:val="1F3A6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Resumo Executivo — Diagnóstico RBA v0.3</dc:title>
  <dc:creator>Zeni</dc:creator>
  <dc:description>Versão de 5 páginas para Diretoria (Roque + Afonso).</dc:description>
  <cp:lastModifiedBy>Un-named</cp:lastModifiedBy>
  <cp:revision>1</cp:revision>
  <dcterms:created xsi:type="dcterms:W3CDTF">2026-04-19T00:48:43.201Z</dcterms:created>
  <dcterms:modified xsi:type="dcterms:W3CDTF">2026-04-19T00:48:43.201Z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