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11830" w:type="dxa"/>
        <w:tblInd w:w="-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10456"/>
        <w:gridCol w:w="682"/>
      </w:tblGrid>
      <w:tr w:rsidR="009871E4" w14:paraId="7A0FC345" w14:textId="77777777" w:rsidTr="00BE3F32">
        <w:trPr>
          <w:trHeight w:val="405"/>
        </w:trPr>
        <w:tc>
          <w:tcPr>
            <w:tcW w:w="11830" w:type="dxa"/>
            <w:gridSpan w:val="3"/>
            <w:shd w:val="clear" w:color="auto" w:fill="008080"/>
          </w:tcPr>
          <w:p w14:paraId="0C06C066" w14:textId="05E83917" w:rsidR="009871E4" w:rsidRPr="00654885" w:rsidRDefault="009871E4" w:rsidP="009871E4">
            <w:pPr>
              <w:kinsoku w:val="0"/>
              <w:overflowPunct w:val="0"/>
              <w:spacing w:before="120"/>
              <w:jc w:val="center"/>
              <w:textAlignment w:val="baseline"/>
              <w:rPr>
                <w:rFonts w:ascii="Tahoma" w:hAnsi="Tahoma" w:cs="Tahoma"/>
                <w:b/>
                <w:bCs/>
                <w:color w:val="FFFFFF"/>
                <w:kern w:val="24"/>
                <w:sz w:val="44"/>
                <w:szCs w:val="44"/>
                <w14:ligatures w14:val="none"/>
              </w:rPr>
            </w:pPr>
            <w:r w:rsidRPr="00654885">
              <w:rPr>
                <w:rFonts w:ascii="Tahoma" w:hAnsi="Tahoma" w:cs="Tahoma"/>
                <w:b/>
                <w:bCs/>
                <w:color w:val="FFFFFF" w:themeColor="background1"/>
                <w:kern w:val="24"/>
                <w:sz w:val="56"/>
                <w:szCs w:val="56"/>
              </w:rPr>
              <w:t>Activité et santé : une analyse factorielle révélatrice</w:t>
            </w:r>
          </w:p>
        </w:tc>
      </w:tr>
      <w:tr w:rsidR="009871E4" w:rsidRPr="004075C3" w14:paraId="609935D0" w14:textId="77777777" w:rsidTr="00CA7F86">
        <w:trPr>
          <w:trHeight w:val="4819"/>
        </w:trPr>
        <w:tc>
          <w:tcPr>
            <w:tcW w:w="11830" w:type="dxa"/>
            <w:gridSpan w:val="3"/>
          </w:tcPr>
          <w:p w14:paraId="057492AC" w14:textId="4655E568" w:rsidR="00BE3F32" w:rsidRDefault="009871E4" w:rsidP="00FE1C81">
            <w:pPr>
              <w:spacing w:before="240" w:after="360"/>
              <w:jc w:val="right"/>
              <w:rPr>
                <w:color w:val="008080"/>
                <w:sz w:val="28"/>
                <w:szCs w:val="28"/>
                <w:lang w:val="en-GB"/>
              </w:rPr>
            </w:pPr>
            <w:r w:rsidRPr="00B813D5">
              <w:rPr>
                <w:color w:val="008080"/>
                <w:sz w:val="28"/>
                <w:szCs w:val="28"/>
                <w:lang w:val="en-GB"/>
              </w:rPr>
              <w:t xml:space="preserve">Par </w:t>
            </w:r>
            <w:r w:rsidRPr="00B813D5">
              <w:rPr>
                <w:color w:val="008080"/>
                <w:sz w:val="28"/>
                <w:szCs w:val="28"/>
                <w:lang w:val="en-GB"/>
              </w:rPr>
              <w:t>Ibrahim ADAM ALASSANE, Abdou Hamid ALAGBE, Maty NDIONE, Omar THIAM</w:t>
            </w:r>
          </w:p>
          <w:p w14:paraId="60BD4AC0" w14:textId="1165991D" w:rsidR="004075C3" w:rsidRPr="004075C3" w:rsidRDefault="004075C3" w:rsidP="004075C3">
            <w:pPr>
              <w:ind w:left="567" w:right="567"/>
            </w:pPr>
            <w:r w:rsidRPr="004075C3">
              <w:rPr>
                <w:b/>
                <w:bCs/>
                <w:i/>
                <w:iCs/>
                <w:sz w:val="24"/>
                <w:szCs w:val="24"/>
              </w:rPr>
              <w:t>Résumé</w:t>
            </w:r>
            <w:r w:rsidRPr="004075C3">
              <w:rPr>
                <w:sz w:val="24"/>
                <w:szCs w:val="24"/>
              </w:rPr>
              <w:t xml:space="preserve"> </w:t>
            </w:r>
            <w:r>
              <w:t xml:space="preserve">- </w:t>
            </w:r>
            <w:r w:rsidRPr="004075C3">
              <w:t>Les problèmes de santé constitue</w:t>
            </w:r>
            <w:r>
              <w:t>nt</w:t>
            </w:r>
            <w:r w:rsidRPr="004075C3">
              <w:t xml:space="preserve"> un problème majeur pour les pays en voie de développement tels que le Niger. Empiriquement, l’on pense que le type de travail exécuté pourrait être à l’origine de certaines maladies. Cette étude se dédie à l’exploration de la liaison entre branche d’activité et la survenue de certaines maladies au cours des 30 derniers jours sur la base de l’EHCVM</w:t>
            </w:r>
            <w:r w:rsidR="006C1C69">
              <w:rPr>
                <w:rStyle w:val="Appelnotedebasdep"/>
              </w:rPr>
              <w:footnoteReference w:id="1"/>
            </w:r>
            <w:r w:rsidRPr="004075C3">
              <w:t xml:space="preserve"> 2021 Niger. </w:t>
            </w:r>
            <w:r w:rsidR="006C5AFD">
              <w:t>Le</w:t>
            </w:r>
            <w:r w:rsidRPr="004075C3">
              <w:t xml:space="preserve"> test de khi-deux montre l’existence d’une relation entre les deux variables. Ainsi, l’analyse factorielle des correspondances (AFC) à travers le nuage des modalités montre une opposition entre actifs et inactifs (les personnes inactives sont plus susceptibles de souffrir de toux, de rhume et de problèmes de tension, tandis que les personnes actives sont plus exposées aux maux d'estomac et aux douleurs/fatigue) et des différences selon les branches d’activités (les travailleurs </w:t>
            </w:r>
            <w:r w:rsidR="00BE3F32">
              <w:t>dans la branche du</w:t>
            </w:r>
            <w:r w:rsidRPr="004075C3">
              <w:t xml:space="preserve"> commerce et des autres industries ont plus de risques de problèmes d'estomac, tandis que les éleveurs, les pêcheurs et ceux des autres services sont plus exposés aux douleurs, à la fatigue et aux problèmes d'estomac que les agriculteurs et les inactifs).</w:t>
            </w:r>
          </w:p>
          <w:p w14:paraId="49C33370" w14:textId="222ABDD9" w:rsidR="00FE1C81" w:rsidRPr="00FE1C81" w:rsidRDefault="004075C3" w:rsidP="00FE1C81">
            <w:pPr>
              <w:spacing w:before="120" w:after="240"/>
              <w:ind w:left="567"/>
              <w:rPr>
                <w:b/>
                <w:bCs/>
              </w:rPr>
            </w:pPr>
            <w:r w:rsidRPr="004075C3">
              <w:rPr>
                <w:b/>
                <w:bCs/>
              </w:rPr>
              <w:t>Mots clés : AFC, Branche d’activité, problèmes de santé, maladies, Niger</w:t>
            </w:r>
          </w:p>
        </w:tc>
      </w:tr>
      <w:tr w:rsidR="00654885" w14:paraId="3FF64DC8" w14:textId="77777777" w:rsidTr="00BE3F32">
        <w:trPr>
          <w:gridBefore w:val="1"/>
          <w:gridAfter w:val="1"/>
          <w:wBefore w:w="692" w:type="dxa"/>
          <w:wAfter w:w="682" w:type="dxa"/>
          <w:trHeight w:val="548"/>
        </w:trPr>
        <w:tc>
          <w:tcPr>
            <w:tcW w:w="10456" w:type="dxa"/>
            <w:shd w:val="clear" w:color="auto" w:fill="595959" w:themeFill="text1" w:themeFillTint="A6"/>
            <w:vAlign w:val="center"/>
          </w:tcPr>
          <w:p w14:paraId="665402A4" w14:textId="106D46E1" w:rsidR="00654885" w:rsidRDefault="00654885" w:rsidP="003B1802">
            <w:pPr>
              <w:pStyle w:val="Titre1"/>
              <w:jc w:val="left"/>
              <w:rPr>
                <w:lang w:val="en-GB"/>
              </w:rPr>
            </w:pPr>
            <w:r>
              <w:rPr>
                <w:lang w:val="en-GB"/>
              </w:rPr>
              <w:t>Introduction</w:t>
            </w:r>
          </w:p>
        </w:tc>
      </w:tr>
      <w:tr w:rsidR="00654885" w:rsidRPr="00654885" w14:paraId="55DC46E7" w14:textId="77777777" w:rsidTr="00BE3F32">
        <w:trPr>
          <w:gridBefore w:val="1"/>
          <w:gridAfter w:val="1"/>
          <w:wBefore w:w="692" w:type="dxa"/>
          <w:wAfter w:w="682" w:type="dxa"/>
        </w:trPr>
        <w:tc>
          <w:tcPr>
            <w:tcW w:w="10456" w:type="dxa"/>
            <w:shd w:val="clear" w:color="auto" w:fill="F8F8F8"/>
          </w:tcPr>
          <w:p w14:paraId="00BCF115" w14:textId="4B623145" w:rsidR="006B1E1B" w:rsidRDefault="006B1E1B" w:rsidP="00304329">
            <w:r w:rsidRPr="006B1E1B">
              <w:t>Du scandale de l’amiante dans les années 1990 au procès France Télécom/Orange en 2019, les enjeux de santé au travail ont connu une forte médiatisation ces trente dernières années. Depuis 2020, la pandémie de Covid-19 a, à son tour, contribué à la mise à l’agenda de ces enjeux, et ce, à plusieurs titres.</w:t>
            </w:r>
            <w:r>
              <w:t xml:space="preserve"> </w:t>
            </w:r>
            <w:r w:rsidRPr="006B1E1B">
              <w:t>D’abord, en mettant sous les projecteurs les risques pris par les salarié</w:t>
            </w:r>
            <w:r>
              <w:t>s</w:t>
            </w:r>
            <w:r w:rsidRPr="006B1E1B">
              <w:t xml:space="preserve"> des secteurs de la « première ligne » assurant les tâches les plus vitales à la continuation de l’ordre social, dans les secteurs de la santé, de l’alimentation, des transports ou encore du traitement des déchets. Ensuite, en ouvrant un débat sur les effets du travail à distance et du confinement sur la santé </w:t>
            </w:r>
            <w:r>
              <w:t xml:space="preserve">mentale </w:t>
            </w:r>
            <w:r w:rsidRPr="006B1E1B">
              <w:t>de travailleur</w:t>
            </w:r>
            <w:r>
              <w:t>s</w:t>
            </w:r>
            <w:r w:rsidRPr="006B1E1B">
              <w:t>. D’un point de vue plus structurel, les profondes transformations que connaît actuellement le monde du travail, qu’il s’agisse de l’expansion du télétravail ou de la numérisation de nombre d’activités, font l’objet d’un traitement médiatique qui met en avant les réorganisations de l’espace et des temps travaillés et leurs effets sur la santé des salariées.</w:t>
            </w:r>
          </w:p>
          <w:p w14:paraId="584767A5" w14:textId="430DBA9D" w:rsidR="00654885" w:rsidRDefault="00654885" w:rsidP="00304329">
            <w:r w:rsidRPr="00654885">
              <w:t>Au Niger, comme dans de nombreux pays en développement, les problèmes de santé constituent un enjeu majeur de santé publique. La prévalence de certaines maladies, telles que les maladies respiratoires, les maladies diarrhéiques (</w:t>
            </w:r>
            <w:r w:rsidRPr="005C1060">
              <w:t>62% chez les enfants, 22% chez les adultes</w:t>
            </w:r>
            <w:r w:rsidRPr="00654885">
              <w:t>)</w:t>
            </w:r>
            <w:r w:rsidR="003B1802">
              <w:rPr>
                <w:rStyle w:val="Appelnotedebasdep"/>
              </w:rPr>
              <w:footnoteReference w:id="2"/>
            </w:r>
            <w:r w:rsidRPr="00654885">
              <w:t xml:space="preserve"> et le paludisme (22% en 2022)</w:t>
            </w:r>
            <w:r w:rsidR="00F26015">
              <w:rPr>
                <w:rStyle w:val="Appelnotedebasdep"/>
              </w:rPr>
              <w:footnoteReference w:id="3"/>
            </w:r>
            <w:r w:rsidRPr="00654885">
              <w:t>, reste encore élevée. La compréhension des facteurs associés à ces problèmes de santé est cruciale pour la mise en place de stratégies de prévention et d'intervention efficaces. Parmi les facteurs pouvant influencer la santé, la branche d'activité joue un rôle important. En effet, certaines professions exposent les travailleurs à des risques spécifiques pour la santé, tels que l'exposition à des conditions de travail difficiles, à des agents infectieux ou à des produits chimiques.</w:t>
            </w:r>
          </w:p>
          <w:p w14:paraId="64B728B0" w14:textId="372309BE" w:rsidR="00115227" w:rsidRDefault="00853FD2" w:rsidP="00304329">
            <w:r>
              <w:t>Depuis longtemps, les scientifiques reconnaissent l'importance des relations entre la santé et le développement (</w:t>
            </w:r>
            <w:proofErr w:type="spellStart"/>
            <w:r>
              <w:t>Guillaumont</w:t>
            </w:r>
            <w:proofErr w:type="spellEnd"/>
            <w:r>
              <w:t>, 1985). Cependant, la recherche initialement axée sur les impacts de l'état de santé des populations sur les variables macroéconomiques dans les pays en développement adopte désormais une perspective plus microéconomique (Dumoulin, 2001)</w:t>
            </w:r>
            <w:r>
              <w:t xml:space="preserve">. </w:t>
            </w:r>
            <w:r>
              <w:t xml:space="preserve">À ce jour, la littérature empirique ne </w:t>
            </w:r>
            <w:r>
              <w:lastRenderedPageBreak/>
              <w:t>parvient pas à définir de manière consensuelle la nature exacte de cette relation</w:t>
            </w:r>
            <w:r w:rsidR="00115227" w:rsidRPr="00115227">
              <w:t xml:space="preserve">. Face à cette insuffisance, nous pouvons essayer de répondre à la question suivante : quel </w:t>
            </w:r>
            <w:r w:rsidR="00115227">
              <w:t>est</w:t>
            </w:r>
            <w:r w:rsidR="00115227" w:rsidRPr="00115227">
              <w:t xml:space="preserve"> </w:t>
            </w:r>
            <w:r w:rsidR="00115227">
              <w:t xml:space="preserve">le lien entre la santé des individus et la branche d’activité dans laquelle ils évoluent </w:t>
            </w:r>
            <w:r w:rsidR="00115227" w:rsidRPr="00115227">
              <w:t>?</w:t>
            </w:r>
          </w:p>
          <w:p w14:paraId="6CB54534" w14:textId="5A5364FE" w:rsidR="003B1802" w:rsidRDefault="003B1802" w:rsidP="00304329">
            <w:r>
              <w:t>L'objectif principal de cette étude est d'analyser la liaison entre la branche d'activité des individus et les problèmes de santé qu'ils rencontrent au Niger. Plus précisément, nous visons déterminer la distribution de ces problèmes de santé selon la branche d'activité, analyser les associations entre la branche d'activité et les problèmes de santé</w:t>
            </w:r>
            <w:r w:rsidR="00DB0609">
              <w:t xml:space="preserve"> et d’</w:t>
            </w:r>
            <w:r>
              <w:t>identifier les branches d'activité les plus à risque pour la santé.</w:t>
            </w:r>
          </w:p>
          <w:p w14:paraId="3F1EFDE7" w14:textId="04C2F800" w:rsidR="003B1802" w:rsidRDefault="003B1802" w:rsidP="003B1802">
            <w:r>
              <w:t>L’intérêt de cette étude est, d’une part, de mieux comprendre les liens entre la branche d'activité et les problèmes de santé au Niger</w:t>
            </w:r>
            <w:r w:rsidR="00DB0609">
              <w:t xml:space="preserve"> et d</w:t>
            </w:r>
            <w:r>
              <w:t xml:space="preserve">’autre part, </w:t>
            </w:r>
            <w:r w:rsidR="00DB0609">
              <w:t>de servir de base d’</w:t>
            </w:r>
            <w:r>
              <w:t>inform</w:t>
            </w:r>
            <w:r w:rsidR="00DB0609">
              <w:t>ations pour</w:t>
            </w:r>
            <w:r>
              <w:t xml:space="preserve"> les politiques publiques en matière de santé au travail. Enfin, </w:t>
            </w:r>
            <w:r w:rsidR="003B0F2D">
              <w:t>elle</w:t>
            </w:r>
            <w:r>
              <w:t xml:space="preserve"> pourra contribuer à la sensibilisation des travailleurs aux risques liés à leur profession.</w:t>
            </w:r>
          </w:p>
          <w:p w14:paraId="6712C353" w14:textId="6B13728A" w:rsidR="00163F4F" w:rsidRPr="00654885" w:rsidRDefault="00163F4F" w:rsidP="003B1802">
            <w:r w:rsidRPr="00574039">
              <w:t>L'étude sera menée en trois étapes principales</w:t>
            </w:r>
            <w:r>
              <w:t xml:space="preserve">. En premier lieu, nous donnerons la méthodologie d’étude, ensuite nous passerons l’analyse proprement dite qui consistera à </w:t>
            </w:r>
            <w:r w:rsidR="00DB0609">
              <w:t>des</w:t>
            </w:r>
            <w:r>
              <w:t xml:space="preserve"> </w:t>
            </w:r>
            <w:r w:rsidR="00DB0609">
              <w:t>brève</w:t>
            </w:r>
            <w:r w:rsidR="00DB0609">
              <w:t>s</w:t>
            </w:r>
            <w:r w:rsidR="00DB0609">
              <w:t xml:space="preserve"> </w:t>
            </w:r>
            <w:r>
              <w:t>étude</w:t>
            </w:r>
            <w:r w:rsidR="00DB0609">
              <w:t>s</w:t>
            </w:r>
            <w:r>
              <w:t xml:space="preserve"> univariée et bivariée de la base de données puis à l’analyse de données grâce à l’analyse factorielle des correspondances (AFC) et enfin à l’interprétation des résultats</w:t>
            </w:r>
            <w:r w:rsidR="00EC49BA">
              <w:t>.</w:t>
            </w:r>
          </w:p>
        </w:tc>
      </w:tr>
    </w:tbl>
    <w:p w14:paraId="278889CF" w14:textId="77777777" w:rsidR="00B87A13" w:rsidRDefault="00B87A13" w:rsidP="00F76B77"/>
    <w:tbl>
      <w:tblPr>
        <w:tblStyle w:val="Grilledutableau"/>
        <w:tblW w:w="1045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5358"/>
      </w:tblGrid>
      <w:tr w:rsidR="00290F2F" w:rsidRPr="00290F2F" w14:paraId="6FA68EDB" w14:textId="0DE657B1" w:rsidTr="00132F9C">
        <w:trPr>
          <w:trHeight w:val="397"/>
        </w:trPr>
        <w:tc>
          <w:tcPr>
            <w:tcW w:w="5100" w:type="dxa"/>
            <w:shd w:val="clear" w:color="auto" w:fill="auto"/>
          </w:tcPr>
          <w:p w14:paraId="7E99DC54" w14:textId="7081C6FA" w:rsidR="00E2631F" w:rsidRPr="00290F2F" w:rsidRDefault="00E2631F" w:rsidP="00E2631F">
            <w:pPr>
              <w:pStyle w:val="Titre1"/>
              <w:rPr>
                <w:color w:val="008080"/>
              </w:rPr>
            </w:pPr>
            <w:r w:rsidRPr="00290F2F">
              <w:rPr>
                <w:color w:val="008080"/>
              </w:rPr>
              <w:t>Données et pré-traitements</w:t>
            </w:r>
          </w:p>
        </w:tc>
        <w:tc>
          <w:tcPr>
            <w:tcW w:w="5358" w:type="dxa"/>
            <w:shd w:val="clear" w:color="auto" w:fill="auto"/>
          </w:tcPr>
          <w:p w14:paraId="58BEDA8B" w14:textId="77777777" w:rsidR="00E2631F" w:rsidRPr="00290F2F" w:rsidRDefault="00E2631F" w:rsidP="00E2631F">
            <w:pPr>
              <w:pStyle w:val="Titre1"/>
              <w:rPr>
                <w:b w:val="0"/>
                <w:bCs/>
                <w:color w:val="008080"/>
              </w:rPr>
            </w:pPr>
          </w:p>
        </w:tc>
      </w:tr>
      <w:tr w:rsidR="00E11474" w14:paraId="55ECE993" w14:textId="2CD2FE02" w:rsidTr="00CD0527">
        <w:trPr>
          <w:trHeight w:val="1269"/>
        </w:trPr>
        <w:tc>
          <w:tcPr>
            <w:tcW w:w="5100" w:type="dxa"/>
            <w:tcBorders>
              <w:bottom w:val="nil"/>
            </w:tcBorders>
            <w:shd w:val="clear" w:color="auto" w:fill="auto"/>
          </w:tcPr>
          <w:p w14:paraId="66C9D3D4" w14:textId="77777777" w:rsidR="00E2631F" w:rsidRDefault="00E11474" w:rsidP="00F76B77">
            <w:r w:rsidRPr="00727791">
              <w:t>Les données utilisées dans cette étude proviennent</w:t>
            </w:r>
            <w:r>
              <w:t xml:space="preserve"> de l’enquête harmonisée sur les conditions de vie des ménages au Niger en 2021</w:t>
            </w:r>
            <w:r w:rsidRPr="00727791">
              <w:t xml:space="preserve">. </w:t>
            </w:r>
            <w:r>
              <w:t xml:space="preserve">Elle </w:t>
            </w:r>
            <w:r w:rsidRPr="00A750E8">
              <w:t>s'inscrit dans la perspective d</w:t>
            </w:r>
            <w:r>
              <w:t>’</w:t>
            </w:r>
            <w:r w:rsidRPr="00A750E8">
              <w:t>une meilleure connaissance de la pauvreté dans les pays membres de l'UEMOA pour appréhender notamment ses manifestations.</w:t>
            </w:r>
          </w:p>
          <w:p w14:paraId="63C349A3" w14:textId="7AC8D49C" w:rsidR="00FE1C81" w:rsidRPr="00FE1C81" w:rsidRDefault="00FE1C81" w:rsidP="00FE1C81"/>
        </w:tc>
        <w:tc>
          <w:tcPr>
            <w:tcW w:w="5358" w:type="dxa"/>
            <w:tcBorders>
              <w:bottom w:val="nil"/>
            </w:tcBorders>
            <w:shd w:val="clear" w:color="auto" w:fill="auto"/>
          </w:tcPr>
          <w:p w14:paraId="6DA12B42" w14:textId="77777777" w:rsidR="00E2631F" w:rsidRDefault="00734183" w:rsidP="00F76B77">
            <w:r>
              <w:t>Elle</w:t>
            </w:r>
            <w:r w:rsidR="00E11474">
              <w:t xml:space="preserve"> couvre l'ensemble de la population résidente et comprend 8 sections, parmi lesquelles figure la section sur la santé qui inclue les types de maladies ayant affectés les individus durant les 30 derniers jours précédant l’enquête ainsi que leur branche d’activité.</w:t>
            </w:r>
          </w:p>
          <w:p w14:paraId="356761B4" w14:textId="37895AC2" w:rsidR="00B87A13" w:rsidRDefault="00B87A13" w:rsidP="00FE1C81">
            <w:pPr>
              <w:pStyle w:val="Paragraphedeliste"/>
            </w:pPr>
          </w:p>
        </w:tc>
      </w:tr>
      <w:tr w:rsidR="00D50EE3" w14:paraId="47851C4C" w14:textId="77777777" w:rsidTr="000D59A6">
        <w:tblPrEx>
          <w:tblBorders>
            <w:top w:val="single" w:sz="4" w:space="0" w:color="auto"/>
            <w:left w:val="single" w:sz="4" w:space="0" w:color="auto"/>
            <w:right w:val="single" w:sz="4" w:space="0" w:color="auto"/>
            <w:insideH w:val="single" w:sz="4" w:space="0" w:color="auto"/>
            <w:insideV w:val="single" w:sz="4" w:space="0" w:color="auto"/>
          </w:tblBorders>
        </w:tblPrEx>
        <w:trPr>
          <w:trHeight w:val="397"/>
        </w:trPr>
        <w:tc>
          <w:tcPr>
            <w:tcW w:w="5100" w:type="dxa"/>
            <w:tcBorders>
              <w:top w:val="nil"/>
              <w:left w:val="nil"/>
              <w:bottom w:val="nil"/>
              <w:right w:val="nil"/>
            </w:tcBorders>
            <w:shd w:val="clear" w:color="auto" w:fill="DEEEED"/>
          </w:tcPr>
          <w:p w14:paraId="48155AF2" w14:textId="51C4B6AA" w:rsidR="00D50EE3" w:rsidRPr="00E11474" w:rsidRDefault="00D50EE3" w:rsidP="00D50EE3">
            <w:pPr>
              <w:pStyle w:val="Titre1"/>
            </w:pPr>
            <w:r w:rsidRPr="000D59A6">
              <w:rPr>
                <w:color w:val="7F7F7F" w:themeColor="text1" w:themeTint="80"/>
              </w:rPr>
              <w:t>Méthodologie</w:t>
            </w:r>
          </w:p>
        </w:tc>
        <w:tc>
          <w:tcPr>
            <w:tcW w:w="5358" w:type="dxa"/>
            <w:tcBorders>
              <w:top w:val="nil"/>
              <w:left w:val="nil"/>
              <w:bottom w:val="nil"/>
              <w:right w:val="nil"/>
            </w:tcBorders>
            <w:shd w:val="clear" w:color="auto" w:fill="DEEEED"/>
          </w:tcPr>
          <w:p w14:paraId="764EC915" w14:textId="77777777" w:rsidR="00D50EE3" w:rsidRPr="00E2631F" w:rsidRDefault="00D50EE3" w:rsidP="008840D5">
            <w:pPr>
              <w:pStyle w:val="Titre1"/>
              <w:rPr>
                <w:b w:val="0"/>
                <w:bCs/>
                <w:color w:val="008080"/>
              </w:rPr>
            </w:pPr>
          </w:p>
        </w:tc>
      </w:tr>
      <w:tr w:rsidR="00D50EE3" w14:paraId="7D3E1C50" w14:textId="77777777" w:rsidTr="00CD0527">
        <w:tblPrEx>
          <w:tblBorders>
            <w:top w:val="single" w:sz="4" w:space="0" w:color="auto"/>
            <w:left w:val="single" w:sz="4" w:space="0" w:color="auto"/>
            <w:right w:val="single" w:sz="4" w:space="0" w:color="auto"/>
            <w:insideH w:val="single" w:sz="4" w:space="0" w:color="auto"/>
            <w:insideV w:val="single" w:sz="4" w:space="0" w:color="auto"/>
          </w:tblBorders>
        </w:tblPrEx>
        <w:trPr>
          <w:trHeight w:val="427"/>
        </w:trPr>
        <w:tc>
          <w:tcPr>
            <w:tcW w:w="10458" w:type="dxa"/>
            <w:gridSpan w:val="2"/>
            <w:tcBorders>
              <w:top w:val="nil"/>
              <w:left w:val="nil"/>
              <w:bottom w:val="nil"/>
              <w:right w:val="nil"/>
            </w:tcBorders>
            <w:shd w:val="clear" w:color="auto" w:fill="DEEEED"/>
          </w:tcPr>
          <w:p w14:paraId="084EF9EB" w14:textId="41ABCEF7" w:rsidR="00DA3D12" w:rsidRDefault="009F3BD2" w:rsidP="00DA3D12">
            <w:r>
              <w:t>Bien que la</w:t>
            </w:r>
            <w:r w:rsidRPr="009F3BD2">
              <w:t xml:space="preserve"> </w:t>
            </w:r>
            <w:r>
              <w:t>statistique</w:t>
            </w:r>
            <w:r w:rsidRPr="009F3BD2">
              <w:t xml:space="preserve"> d</w:t>
            </w:r>
            <w:r w:rsidR="006704E0">
              <w:t>u</w:t>
            </w:r>
            <w:r w:rsidRPr="009F3BD2">
              <w:t xml:space="preserve"> Khi-deux </w:t>
            </w:r>
            <w:r>
              <w:t>nous permet de mesurer</w:t>
            </w:r>
            <w:r w:rsidRPr="009F3BD2">
              <w:t xml:space="preserve"> </w:t>
            </w:r>
            <w:r>
              <w:t>la</w:t>
            </w:r>
            <w:r w:rsidRPr="009F3BD2">
              <w:t xml:space="preserve"> liaison entre </w:t>
            </w:r>
            <w:r w:rsidR="006704E0">
              <w:t xml:space="preserve">les </w:t>
            </w:r>
            <w:r w:rsidRPr="009F3BD2">
              <w:t>deux variables qualitatives</w:t>
            </w:r>
            <w:r>
              <w:t>, elle ne nous permet pas d’établir les relations intrinsèques entre les modalités de ces variables</w:t>
            </w:r>
            <w:r w:rsidRPr="009F3BD2">
              <w:t xml:space="preserve">. </w:t>
            </w:r>
            <w:r w:rsidR="006704E0">
              <w:t xml:space="preserve">C’est la raison pour laquelle, nous faisons recours à l’analyse factorielle des correspondances. </w:t>
            </w:r>
            <w:r w:rsidR="00DA3D12">
              <w:t xml:space="preserve">C’est une méthode d’analyse factorielle ayant pour objet le traitement de </w:t>
            </w:r>
            <w:r w:rsidR="00DA3D12" w:rsidRPr="00DA3D12">
              <w:rPr>
                <w:rFonts w:cs="Segoe UI"/>
              </w:rPr>
              <w:t>l’information</w:t>
            </w:r>
            <w:r w:rsidR="00DA3D12">
              <w:t xml:space="preserve"> contenue dans un tableau de contingence.</w:t>
            </w:r>
            <w:r w:rsidR="006704E0">
              <w:t xml:space="preserve"> L’AFC nous permettra</w:t>
            </w:r>
            <w:r w:rsidR="006704E0" w:rsidRPr="006704E0">
              <w:t xml:space="preserve"> </w:t>
            </w:r>
            <w:r w:rsidR="006704E0">
              <w:t xml:space="preserve">de dire </w:t>
            </w:r>
            <w:r w:rsidR="006704E0" w:rsidRPr="006704E0">
              <w:t>qu’au Niger la modalité X de la variable branche d’activité serait associée fortement ou faiblement à la modalité Y de la variable types de maladie.</w:t>
            </w:r>
          </w:p>
          <w:p w14:paraId="58D66757" w14:textId="306CB367" w:rsidR="00DA3D12" w:rsidRDefault="00DA3D12" w:rsidP="00DA3D12">
            <w:r>
              <w:t>La démarche de l’AFC consiste à transformer les données initiales en un ensemble de coordonnées dans un espace factoriel de dimension réduite</w:t>
            </w:r>
            <w:r w:rsidR="00005BAA">
              <w:t>.</w:t>
            </w:r>
            <w:r>
              <w:t xml:space="preserve"> Cela permet de visualiser et d'interpréter les relations entre les </w:t>
            </w:r>
            <w:r w:rsidR="00287B3D">
              <w:t xml:space="preserve">lignes (types de maladie) </w:t>
            </w:r>
            <w:r>
              <w:t xml:space="preserve">et les </w:t>
            </w:r>
            <w:r w:rsidR="00287B3D">
              <w:t xml:space="preserve">colonnes (branche d’activité) </w:t>
            </w:r>
            <w:r>
              <w:t>du tableau.</w:t>
            </w:r>
            <w:r w:rsidR="0089273D">
              <w:t xml:space="preserve"> La </w:t>
            </w:r>
            <w:r w:rsidR="00FD271D">
              <w:t>procédure</w:t>
            </w:r>
            <w:r w:rsidR="0089273D">
              <w:t xml:space="preserve"> est la suivante :</w:t>
            </w:r>
          </w:p>
          <w:p w14:paraId="4E2C05D0" w14:textId="46CA51AF" w:rsidR="00DA3D12" w:rsidRDefault="00DA3D12" w:rsidP="00DA3D12">
            <w:r w:rsidRPr="003D6FDD">
              <w:rPr>
                <w:b/>
                <w:bCs/>
                <w:sz w:val="20"/>
                <w:szCs w:val="20"/>
              </w:rPr>
              <w:t>Calcul des fréquences relatives</w:t>
            </w:r>
            <w:r w:rsidRPr="003D6FDD">
              <w:rPr>
                <w:sz w:val="20"/>
                <w:szCs w:val="20"/>
              </w:rPr>
              <w:t xml:space="preserve"> </w:t>
            </w:r>
            <w:r>
              <w:t xml:space="preserve">: </w:t>
            </w:r>
            <w:r w:rsidR="00FD271D">
              <w:t>l</w:t>
            </w:r>
            <w:r>
              <w:t>es effectifs du tableau sont transformés en fréquences relatives, c'est-à-dire la fréquence de chaque type de maladie pour chaque branche.</w:t>
            </w:r>
          </w:p>
          <w:p w14:paraId="09E7E41E" w14:textId="64949C64" w:rsidR="00DA3D12" w:rsidRDefault="00DA3D12" w:rsidP="00DA3D12">
            <w:r w:rsidRPr="003D6FDD">
              <w:rPr>
                <w:b/>
                <w:bCs/>
                <w:sz w:val="20"/>
                <w:szCs w:val="20"/>
              </w:rPr>
              <w:t>Construction de la matrice de contingence</w:t>
            </w:r>
            <w:r w:rsidRPr="003D6FDD">
              <w:rPr>
                <w:sz w:val="20"/>
                <w:szCs w:val="20"/>
              </w:rPr>
              <w:t xml:space="preserve"> </w:t>
            </w:r>
            <w:r>
              <w:t xml:space="preserve">: </w:t>
            </w:r>
            <w:r w:rsidR="00FD271D">
              <w:t>à</w:t>
            </w:r>
            <w:r>
              <w:t xml:space="preserve"> partir des fréquences relatives, une matrice de contingence est construite pour représenter les relations entre les </w:t>
            </w:r>
            <w:r w:rsidR="00FD271D">
              <w:t>types de maladies</w:t>
            </w:r>
            <w:r>
              <w:t xml:space="preserve"> et les branches </w:t>
            </w:r>
            <w:r w:rsidR="00FD271D">
              <w:t>d’activité</w:t>
            </w:r>
            <w:r>
              <w:t>.</w:t>
            </w:r>
          </w:p>
          <w:p w14:paraId="2027076D" w14:textId="53502721" w:rsidR="00DA3D12" w:rsidRDefault="00DA3D12" w:rsidP="006D4C41">
            <w:r w:rsidRPr="003D6FDD">
              <w:rPr>
                <w:b/>
                <w:bCs/>
                <w:sz w:val="20"/>
                <w:szCs w:val="20"/>
              </w:rPr>
              <w:t>Décomposition en valeurs propres</w:t>
            </w:r>
            <w:r w:rsidRPr="003D6FDD">
              <w:rPr>
                <w:sz w:val="20"/>
                <w:szCs w:val="20"/>
              </w:rPr>
              <w:t xml:space="preserve"> </w:t>
            </w:r>
            <w:r>
              <w:t xml:space="preserve">: </w:t>
            </w:r>
            <w:r w:rsidR="00FD271D">
              <w:t>l</w:t>
            </w:r>
            <w:r>
              <w:t>'AFC effectue une décomposition en valeurs propres de la matrice de contingence, ce qui permet de représenter les données dans un espace de dimension réduite appelé espace factoriel (généralement un plan).</w:t>
            </w:r>
          </w:p>
          <w:p w14:paraId="09FAE789" w14:textId="5CA8A9DD" w:rsidR="00D50EE3" w:rsidRDefault="00DA3D12" w:rsidP="006D4C41">
            <w:r w:rsidRPr="003D6FDD">
              <w:rPr>
                <w:b/>
                <w:bCs/>
                <w:sz w:val="20"/>
                <w:szCs w:val="20"/>
              </w:rPr>
              <w:t>Visualisation des résultats</w:t>
            </w:r>
            <w:r>
              <w:t xml:space="preserve"> : Les maladies et les branches d’activité sont projeté</w:t>
            </w:r>
            <w:r w:rsidR="001D7D5E">
              <w:t>e</w:t>
            </w:r>
            <w:r>
              <w:t>s dans le plan factoriel, et leur position relative permet de déterminer les regroupements et les associations entre les maladies et les branches.</w:t>
            </w:r>
          </w:p>
          <w:p w14:paraId="5A941031" w14:textId="12C65EC4" w:rsidR="006D4C41" w:rsidRPr="006D4C41" w:rsidRDefault="006D4C41" w:rsidP="006D4C41">
            <w:r>
              <w:lastRenderedPageBreak/>
              <w:t>L'AFC permettra de comprendre les différentes maladies qui touchent les individus exerçant sur une branche bien déterminé</w:t>
            </w:r>
            <w:r w:rsidR="000E59AD">
              <w:t>e</w:t>
            </w:r>
            <w:r>
              <w:t>, d'identifier des tendances et des regroupements, et d'obtenir des informations essentielles pour mieux orienter les politiques sanitaires au Niger.</w:t>
            </w:r>
          </w:p>
        </w:tc>
      </w:tr>
    </w:tbl>
    <w:p w14:paraId="78D88625" w14:textId="77777777" w:rsidR="00FE1C81" w:rsidRDefault="00FE1C81" w:rsidP="00D02A41"/>
    <w:tbl>
      <w:tblPr>
        <w:tblStyle w:val="Grilledutableau"/>
        <w:tblW w:w="10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90"/>
        <w:gridCol w:w="5465"/>
      </w:tblGrid>
      <w:tr w:rsidR="00CC6141" w14:paraId="7F95E245" w14:textId="77777777" w:rsidTr="004332DA">
        <w:trPr>
          <w:trHeight w:val="387"/>
        </w:trPr>
        <w:tc>
          <w:tcPr>
            <w:tcW w:w="4890" w:type="dxa"/>
          </w:tcPr>
          <w:p w14:paraId="1805A8BF" w14:textId="77777777" w:rsidR="00AA4E5A" w:rsidRPr="007B6462" w:rsidRDefault="00AA4E5A" w:rsidP="008840D5">
            <w:pPr>
              <w:pStyle w:val="Titre1"/>
              <w:rPr>
                <w:color w:val="008080"/>
              </w:rPr>
            </w:pPr>
            <w:r w:rsidRPr="00290F2F">
              <w:rPr>
                <w:color w:val="008080"/>
              </w:rPr>
              <w:t>Analyse</w:t>
            </w:r>
            <w:r>
              <w:rPr>
                <w:color w:val="008080"/>
              </w:rPr>
              <w:t>s</w:t>
            </w:r>
            <w:r w:rsidRPr="00290F2F">
              <w:rPr>
                <w:color w:val="008080"/>
              </w:rPr>
              <w:t xml:space="preserve"> </w:t>
            </w:r>
            <w:r>
              <w:rPr>
                <w:color w:val="008080"/>
              </w:rPr>
              <w:t>préliminaires</w:t>
            </w:r>
          </w:p>
        </w:tc>
        <w:tc>
          <w:tcPr>
            <w:tcW w:w="5464" w:type="dxa"/>
          </w:tcPr>
          <w:p w14:paraId="2C276D39" w14:textId="1B2146D1" w:rsidR="00AA4E5A" w:rsidRDefault="00AA4E5A" w:rsidP="008840D5"/>
        </w:tc>
      </w:tr>
      <w:tr w:rsidR="00CC6141" w14:paraId="5C184544" w14:textId="77777777" w:rsidTr="004332DA">
        <w:trPr>
          <w:trHeight w:val="2115"/>
        </w:trPr>
        <w:tc>
          <w:tcPr>
            <w:tcW w:w="4890" w:type="dxa"/>
          </w:tcPr>
          <w:p w14:paraId="3416649B" w14:textId="41E47075" w:rsidR="00823FAB" w:rsidRPr="007B6462" w:rsidRDefault="00170B69" w:rsidP="00D85BA1">
            <w:r>
              <w:t>L’analyse des branches d’activité au Niger</w:t>
            </w:r>
            <w:r>
              <w:t xml:space="preserve"> indique que plus de la moitié de la population en âge de travailler est inactive ou inoccupée. Aussi, l’agriculture et élevage/pêche sont les principaux secteurs d’activité de l’économie représentant respectivement </w:t>
            </w:r>
            <w:r w:rsidRPr="0076253E">
              <w:t>21.8</w:t>
            </w:r>
            <w:r>
              <w:t xml:space="preserve">% et </w:t>
            </w:r>
            <w:r w:rsidRPr="0076253E">
              <w:t>11.7</w:t>
            </w:r>
            <w:r>
              <w:t>%. Le commerce, et les autres branches n’occupent que 15.1% de la population met</w:t>
            </w:r>
            <w:r w:rsidR="00D85BA1">
              <w:t>tant ainsi</w:t>
            </w:r>
            <w:r>
              <w:t xml:space="preserve"> en évidence la prédominance du secteur primaire et le poids des inactifs</w:t>
            </w:r>
            <w:r w:rsidR="00D85BA1">
              <w:t xml:space="preserve"> et des</w:t>
            </w:r>
            <w:r w:rsidR="00823FAB">
              <w:t xml:space="preserve"> </w:t>
            </w:r>
            <w:r w:rsidR="00823FAB">
              <w:t>inoccupés</w:t>
            </w:r>
            <w:r w:rsidR="00823FAB">
              <w:rPr>
                <w:noProof/>
              </w:rPr>
              <w:t xml:space="preserve"> </w:t>
            </w:r>
            <w:r w:rsidR="00823FAB" w:rsidRPr="00D85BA1">
              <w:t>dans la population en âge de travailler au Niger</w:t>
            </w:r>
            <w:r w:rsidR="00823FAB">
              <w:t>.</w:t>
            </w:r>
          </w:p>
        </w:tc>
        <w:tc>
          <w:tcPr>
            <w:tcW w:w="5464" w:type="dxa"/>
          </w:tcPr>
          <w:p w14:paraId="5A1E6BBE" w14:textId="73BB1EA1" w:rsidR="00AA4E5A" w:rsidRDefault="00D85BA1" w:rsidP="00D85BA1">
            <w:r>
              <w:rPr>
                <w:noProof/>
              </w:rPr>
              <w:drawing>
                <wp:anchor distT="0" distB="0" distL="114300" distR="114300" simplePos="0" relativeHeight="251663360" behindDoc="0" locked="0" layoutInCell="1" allowOverlap="1" wp14:anchorId="2A263B77" wp14:editId="31D12157">
                  <wp:simplePos x="0" y="0"/>
                  <wp:positionH relativeFrom="column">
                    <wp:posOffset>-59690</wp:posOffset>
                  </wp:positionH>
                  <wp:positionV relativeFrom="paragraph">
                    <wp:posOffset>99695</wp:posOffset>
                  </wp:positionV>
                  <wp:extent cx="3494405" cy="2146935"/>
                  <wp:effectExtent l="0" t="0" r="10795" b="5715"/>
                  <wp:wrapTopAndBottom/>
                  <wp:docPr id="356924729" name="Graphique 1">
                    <a:extLst xmlns:a="http://schemas.openxmlformats.org/drawingml/2006/main">
                      <a:ext uri="{FF2B5EF4-FFF2-40B4-BE49-F238E27FC236}">
                        <a16:creationId xmlns:a16="http://schemas.microsoft.com/office/drawing/2014/main" id="{B77083F1-E899-8135-252B-E6EF7B6ACD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tc>
      </w:tr>
      <w:tr w:rsidR="00723305" w14:paraId="5C0ABC67" w14:textId="77777777" w:rsidTr="004332DA">
        <w:tblPrEx>
          <w:tblCellMar>
            <w:left w:w="70" w:type="dxa"/>
            <w:right w:w="70" w:type="dxa"/>
          </w:tblCellMar>
        </w:tblPrEx>
        <w:trPr>
          <w:trHeight w:val="2115"/>
        </w:trPr>
        <w:tc>
          <w:tcPr>
            <w:tcW w:w="4890" w:type="dxa"/>
          </w:tcPr>
          <w:p w14:paraId="064C8F27" w14:textId="663E6EC6" w:rsidR="00723305" w:rsidRDefault="00BE6B7E" w:rsidP="00D85BA1">
            <w:r>
              <w:t>Sur</w:t>
            </w:r>
            <w:r>
              <w:t xml:space="preserve"> le mois qui s’est écoulé, </w:t>
            </w:r>
            <w:r>
              <w:t xml:space="preserve">environ </w:t>
            </w:r>
            <w:r>
              <w:t>6 personnes sur 10 (67,4% de la population) n’ont pas été affectées par une quelconque maladie. Tout de même, 16.2% ont attrapé le paludisme</w:t>
            </w:r>
            <w:r>
              <w:t xml:space="preserve"> ou la fièvre</w:t>
            </w:r>
            <w:r>
              <w:t xml:space="preserve">, 6.9% ont contracté la toux ou le rhume, 2.2% ont un problème d’estomac. Il y a donc environ un tier de la population qui souffre d’un malaise. Ce qui montre à suffisance que le problème de santé publique au Niger est un problème majeur qu’il faut analyser minutieusement afin d’apporter des solutions idoines qui seraient </w:t>
            </w:r>
            <w:r w:rsidR="00F21470">
              <w:t xml:space="preserve">à </w:t>
            </w:r>
            <w:r>
              <w:t>la hauteur du problème.</w:t>
            </w:r>
          </w:p>
        </w:tc>
        <w:tc>
          <w:tcPr>
            <w:tcW w:w="5464" w:type="dxa"/>
          </w:tcPr>
          <w:p w14:paraId="421C8AEF" w14:textId="447363A1" w:rsidR="00723305" w:rsidRDefault="001127D7" w:rsidP="00D85BA1">
            <w:pPr>
              <w:rPr>
                <w:noProof/>
              </w:rPr>
            </w:pPr>
            <w:r>
              <w:rPr>
                <w:noProof/>
              </w:rPr>
              <w:drawing>
                <wp:inline distT="0" distB="0" distL="0" distR="0" wp14:anchorId="19C1E258" wp14:editId="460AB6EF">
                  <wp:extent cx="3418840" cy="2262293"/>
                  <wp:effectExtent l="0" t="0" r="29210" b="5080"/>
                  <wp:docPr id="1731525723" name="Graphique 1">
                    <a:extLst xmlns:a="http://schemas.openxmlformats.org/drawingml/2006/main">
                      <a:ext uri="{FF2B5EF4-FFF2-40B4-BE49-F238E27FC236}">
                        <a16:creationId xmlns:a16="http://schemas.microsoft.com/office/drawing/2014/main" id="{1A5254CA-519D-4070-4C2C-2D0BF0495B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2A71DC" w14:paraId="106DD65F" w14:textId="77777777" w:rsidTr="004332DA">
        <w:tblPrEx>
          <w:tblCellMar>
            <w:left w:w="70" w:type="dxa"/>
            <w:right w:w="70" w:type="dxa"/>
          </w:tblCellMar>
        </w:tblPrEx>
        <w:trPr>
          <w:trHeight w:val="857"/>
        </w:trPr>
        <w:tc>
          <w:tcPr>
            <w:tcW w:w="10355" w:type="dxa"/>
            <w:gridSpan w:val="2"/>
          </w:tcPr>
          <w:p w14:paraId="67BE73D0" w14:textId="3EBD25E3" w:rsidR="002A71DC" w:rsidRDefault="00F519E2" w:rsidP="0025133B">
            <w:pPr>
              <w:rPr>
                <w:noProof/>
              </w:rPr>
            </w:pPr>
            <w:r w:rsidRPr="00F519E2">
              <w:rPr>
                <w:noProof/>
              </w:rPr>
              <w:t>Par ailleurs, le test de Khi</w:t>
            </w:r>
            <w:r w:rsidR="00EF2976">
              <w:rPr>
                <w:noProof/>
                <w:vertAlign w:val="superscript"/>
              </w:rPr>
              <w:t>2</w:t>
            </w:r>
            <w:r w:rsidRPr="00F519E2">
              <w:rPr>
                <w:noProof/>
              </w:rPr>
              <w:t xml:space="preserve">  d’indépendance entre le Type de maladies et les branches d’activité donne avec une p-value &lt; 2.2e-16</w:t>
            </w:r>
            <w:r>
              <w:rPr>
                <w:rStyle w:val="Appelnotedebasdep"/>
                <w:noProof/>
              </w:rPr>
              <w:footnoteReference w:id="4"/>
            </w:r>
            <w:r w:rsidR="009E1807">
              <w:rPr>
                <w:noProof/>
              </w:rPr>
              <w:t xml:space="preserve"> (</w:t>
            </w:r>
            <w:r w:rsidR="009E1807" w:rsidRPr="009E1807">
              <w:rPr>
                <w:noProof/>
              </w:rPr>
              <w:t>7.57</w:t>
            </w:r>
            <w:r w:rsidR="009E1807">
              <w:t xml:space="preserve"> </w:t>
            </w:r>
            <w:r w:rsidR="009E1807" w:rsidRPr="009E1807">
              <w:rPr>
                <w:noProof/>
              </w:rPr>
              <w:t>e-120</w:t>
            </w:r>
            <w:r w:rsidR="009E1807">
              <w:rPr>
                <w:noProof/>
              </w:rPr>
              <w:t xml:space="preserve">). </w:t>
            </w:r>
            <w:r w:rsidRPr="00F519E2">
              <w:rPr>
                <w:noProof/>
              </w:rPr>
              <w:t xml:space="preserve">Nous pouvons donc </w:t>
            </w:r>
            <w:r w:rsidR="004E7FA9">
              <w:rPr>
                <w:noProof/>
              </w:rPr>
              <w:t>rejette</w:t>
            </w:r>
            <w:r w:rsidRPr="00F519E2">
              <w:rPr>
                <w:noProof/>
              </w:rPr>
              <w:t xml:space="preserve"> l'hypothèse </w:t>
            </w:r>
            <w:r w:rsidR="004E7FA9">
              <w:rPr>
                <w:noProof/>
              </w:rPr>
              <w:t>nulle d’indépendance</w:t>
            </w:r>
            <w:r w:rsidRPr="00F519E2">
              <w:rPr>
                <w:noProof/>
              </w:rPr>
              <w:t xml:space="preserve"> entre les deux variables.</w:t>
            </w:r>
          </w:p>
        </w:tc>
      </w:tr>
    </w:tbl>
    <w:p w14:paraId="42C19889" w14:textId="77777777" w:rsidR="00AA4E5A" w:rsidRDefault="00AA4E5A" w:rsidP="00D02A41"/>
    <w:tbl>
      <w:tblPr>
        <w:tblStyle w:val="Grilledutableau"/>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B87A13" w14:paraId="2F96D169" w14:textId="24508B78" w:rsidTr="004332DA">
        <w:tc>
          <w:tcPr>
            <w:tcW w:w="10456" w:type="dxa"/>
          </w:tcPr>
          <w:p w14:paraId="02E1E83B" w14:textId="37130046" w:rsidR="00B87A13" w:rsidRDefault="00B87A13" w:rsidP="00B87A13">
            <w:pPr>
              <w:pStyle w:val="Titre1"/>
            </w:pPr>
            <w:r w:rsidRPr="00290F2F">
              <w:rPr>
                <w:color w:val="008080"/>
              </w:rPr>
              <w:t>Analyse factorielle</w:t>
            </w:r>
          </w:p>
        </w:tc>
      </w:tr>
      <w:tr w:rsidR="00B87A13" w14:paraId="584CFC01" w14:textId="77777777" w:rsidTr="004332DA">
        <w:tc>
          <w:tcPr>
            <w:tcW w:w="10456" w:type="dxa"/>
            <w:shd w:val="clear" w:color="auto" w:fill="E7E6E6" w:themeFill="background2"/>
          </w:tcPr>
          <w:p w14:paraId="47EC88E8" w14:textId="6EFE5205" w:rsidR="00B87A13" w:rsidRDefault="00B87A13" w:rsidP="00B87A13">
            <w:r w:rsidRPr="0026648E">
              <w:t>Dans la partie précédente, nous avons étudié les variables d’intérêt individuellement puis nous avons étudié la relation entre les deux variables. Nous avons également vu la liaison entre les deux variables à travers le test du Khi-deux effectués et avons justifiées la pertinence d’une analyse factorielle des correspondances dans le cas de cette base. Cette partie est dédié à la présentation des résultats de l’analyse factorielle qui nous permettra de voir plus clair dans la liaison brute décelée par le test de khi-deux.</w:t>
            </w:r>
          </w:p>
        </w:tc>
      </w:tr>
    </w:tbl>
    <w:p w14:paraId="2A0E67D3" w14:textId="77777777" w:rsidR="00B87A13" w:rsidRDefault="00B87A13" w:rsidP="00D02A41"/>
    <w:p w14:paraId="2C84E140" w14:textId="77777777" w:rsidR="00AA4E5A" w:rsidRDefault="00AA4E5A" w:rsidP="00D02A41"/>
    <w:tbl>
      <w:tblPr>
        <w:tblStyle w:val="Grilledutableau"/>
        <w:tblpPr w:leftFromText="141" w:rightFromText="141" w:vertAnchor="page" w:horzAnchor="margin" w:tblpY="6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0"/>
        <w:gridCol w:w="5216"/>
      </w:tblGrid>
      <w:tr w:rsidR="008308C9" w14:paraId="5BB0FE00" w14:textId="77777777" w:rsidTr="008308C9">
        <w:tc>
          <w:tcPr>
            <w:tcW w:w="5240" w:type="dxa"/>
          </w:tcPr>
          <w:p w14:paraId="3C786BD6" w14:textId="77777777" w:rsidR="008308C9" w:rsidRPr="00B02ED5" w:rsidRDefault="008308C9" w:rsidP="008308C9">
            <w:pPr>
              <w:rPr>
                <w:b/>
                <w:bCs/>
                <w:color w:val="7F7F7F" w:themeColor="text1" w:themeTint="80"/>
                <w:sz w:val="24"/>
                <w:szCs w:val="24"/>
                <w:u w:val="thick"/>
              </w:rPr>
            </w:pPr>
            <w:r w:rsidRPr="00B02ED5">
              <w:rPr>
                <w:b/>
                <w:bCs/>
                <w:color w:val="7F7F7F" w:themeColor="text1" w:themeTint="80"/>
                <w:sz w:val="24"/>
                <w:szCs w:val="24"/>
                <w:u w:val="thick"/>
              </w:rPr>
              <w:lastRenderedPageBreak/>
              <w:t>Analyse des valeurs propres</w:t>
            </w:r>
          </w:p>
        </w:tc>
        <w:tc>
          <w:tcPr>
            <w:tcW w:w="5216" w:type="dxa"/>
            <w:vMerge w:val="restart"/>
          </w:tcPr>
          <w:tbl>
            <w:tblPr>
              <w:tblStyle w:val="TableauGrille6Couleur-Accentuation3"/>
              <w:tblpPr w:leftFromText="141" w:rightFromText="141" w:vertAnchor="page" w:horzAnchor="margin" w:tblpY="141"/>
              <w:tblW w:w="5026" w:type="dxa"/>
              <w:tblLayout w:type="fixed"/>
              <w:tblLook w:val="04A0" w:firstRow="1" w:lastRow="0" w:firstColumn="1" w:lastColumn="0" w:noHBand="0" w:noVBand="1"/>
            </w:tblPr>
            <w:tblGrid>
              <w:gridCol w:w="1275"/>
              <w:gridCol w:w="1422"/>
              <w:gridCol w:w="995"/>
              <w:gridCol w:w="1334"/>
            </w:tblGrid>
            <w:tr w:rsidR="008308C9" w:rsidRPr="00AD115B" w14:paraId="4DCB279C" w14:textId="77777777" w:rsidTr="008308C9">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5" w:type="dxa"/>
                  <w:noWrap/>
                  <w:hideMark/>
                </w:tcPr>
                <w:p w14:paraId="72CDCC3A" w14:textId="77777777" w:rsidR="008308C9" w:rsidRPr="00AD115B" w:rsidRDefault="008308C9" w:rsidP="008308C9">
                  <w:pPr>
                    <w:spacing w:after="0"/>
                    <w:jc w:val="left"/>
                    <w:rPr>
                      <w:color w:val="auto"/>
                      <w:sz w:val="18"/>
                      <w:szCs w:val="18"/>
                      <w:lang w:eastAsia="fr-FR"/>
                    </w:rPr>
                  </w:pPr>
                  <w:r w:rsidRPr="00AD115B">
                    <w:rPr>
                      <w:color w:val="auto"/>
                      <w:sz w:val="18"/>
                      <w:szCs w:val="18"/>
                      <w:lang w:eastAsia="fr-FR"/>
                    </w:rPr>
                    <w:t>Dimension</w:t>
                  </w:r>
                </w:p>
              </w:tc>
              <w:tc>
                <w:tcPr>
                  <w:tcW w:w="1422" w:type="dxa"/>
                  <w:noWrap/>
                  <w:hideMark/>
                </w:tcPr>
                <w:p w14:paraId="5C20C4F4" w14:textId="77777777" w:rsidR="008308C9" w:rsidRPr="00AD115B" w:rsidRDefault="008308C9" w:rsidP="008308C9">
                  <w:pPr>
                    <w:spacing w:after="0"/>
                    <w:jc w:val="center"/>
                    <w:cnfStyle w:val="100000000000" w:firstRow="1" w:lastRow="0" w:firstColumn="0" w:lastColumn="0" w:oddVBand="0" w:evenVBand="0" w:oddHBand="0" w:evenHBand="0" w:firstRowFirstColumn="0" w:firstRowLastColumn="0" w:lastRowFirstColumn="0" w:lastRowLastColumn="0"/>
                    <w:rPr>
                      <w:color w:val="auto"/>
                      <w:sz w:val="18"/>
                      <w:szCs w:val="18"/>
                      <w:lang w:eastAsia="fr-FR"/>
                    </w:rPr>
                  </w:pPr>
                  <w:r w:rsidRPr="00AD115B">
                    <w:rPr>
                      <w:color w:val="auto"/>
                      <w:sz w:val="18"/>
                      <w:szCs w:val="18"/>
                      <w:lang w:eastAsia="fr-FR"/>
                    </w:rPr>
                    <w:t>Valeur propre</w:t>
                  </w:r>
                </w:p>
              </w:tc>
              <w:tc>
                <w:tcPr>
                  <w:tcW w:w="995" w:type="dxa"/>
                </w:tcPr>
                <w:p w14:paraId="7030B674" w14:textId="5BBD8AAA" w:rsidR="008308C9" w:rsidRDefault="008308C9" w:rsidP="008308C9">
                  <w:pPr>
                    <w:spacing w:after="0"/>
                    <w:jc w:val="center"/>
                    <w:cnfStyle w:val="100000000000" w:firstRow="1" w:lastRow="0" w:firstColumn="0" w:lastColumn="0" w:oddVBand="0" w:evenVBand="0" w:oddHBand="0" w:evenHBand="0" w:firstRowFirstColumn="0" w:firstRowLastColumn="0" w:lastRowFirstColumn="0" w:lastRowLastColumn="0"/>
                    <w:rPr>
                      <w:sz w:val="18"/>
                      <w:szCs w:val="18"/>
                      <w:lang w:eastAsia="fr-FR"/>
                    </w:rPr>
                  </w:pPr>
                  <w:r>
                    <w:rPr>
                      <w:sz w:val="18"/>
                      <w:szCs w:val="18"/>
                      <w:lang w:eastAsia="fr-FR"/>
                    </w:rPr>
                    <w:t>%</w:t>
                  </w:r>
                </w:p>
              </w:tc>
              <w:tc>
                <w:tcPr>
                  <w:tcW w:w="1334" w:type="dxa"/>
                  <w:noWrap/>
                  <w:hideMark/>
                </w:tcPr>
                <w:p w14:paraId="17D47CF9" w14:textId="77777777" w:rsidR="008308C9" w:rsidRPr="00AD115B" w:rsidRDefault="008308C9" w:rsidP="008308C9">
                  <w:pPr>
                    <w:spacing w:after="0"/>
                    <w:jc w:val="center"/>
                    <w:cnfStyle w:val="100000000000" w:firstRow="1" w:lastRow="0" w:firstColumn="0" w:lastColumn="0" w:oddVBand="0" w:evenVBand="0" w:oddHBand="0" w:evenHBand="0" w:firstRowFirstColumn="0" w:firstRowLastColumn="0" w:lastRowFirstColumn="0" w:lastRowLastColumn="0"/>
                    <w:rPr>
                      <w:color w:val="auto"/>
                      <w:sz w:val="18"/>
                      <w:szCs w:val="18"/>
                      <w:lang w:eastAsia="fr-FR"/>
                    </w:rPr>
                  </w:pPr>
                  <w:r>
                    <w:rPr>
                      <w:color w:val="auto"/>
                      <w:sz w:val="18"/>
                      <w:szCs w:val="18"/>
                      <w:lang w:eastAsia="fr-FR"/>
                    </w:rPr>
                    <w:t>% cumulé</w:t>
                  </w:r>
                  <w:r w:rsidRPr="00AD115B">
                    <w:rPr>
                      <w:color w:val="auto"/>
                      <w:sz w:val="18"/>
                      <w:szCs w:val="18"/>
                      <w:lang w:eastAsia="fr-FR"/>
                    </w:rPr>
                    <w:t xml:space="preserve"> </w:t>
                  </w:r>
                </w:p>
              </w:tc>
            </w:tr>
            <w:tr w:rsidR="008308C9" w:rsidRPr="00AD115B" w14:paraId="63B9E6B4" w14:textId="77777777" w:rsidTr="008308C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5" w:type="dxa"/>
                  <w:noWrap/>
                  <w:hideMark/>
                </w:tcPr>
                <w:p w14:paraId="05BB6CA2" w14:textId="77777777" w:rsidR="008308C9" w:rsidRPr="00AD115B" w:rsidRDefault="008308C9" w:rsidP="008308C9">
                  <w:pPr>
                    <w:spacing w:after="0"/>
                    <w:rPr>
                      <w:color w:val="auto"/>
                      <w:sz w:val="18"/>
                      <w:szCs w:val="18"/>
                      <w:lang w:eastAsia="fr-FR"/>
                    </w:rPr>
                  </w:pPr>
                  <w:proofErr w:type="spellStart"/>
                  <w:proofErr w:type="gramStart"/>
                  <w:r w:rsidRPr="00AD115B">
                    <w:rPr>
                      <w:color w:val="auto"/>
                      <w:sz w:val="18"/>
                      <w:szCs w:val="18"/>
                      <w:lang w:eastAsia="fr-FR"/>
                    </w:rPr>
                    <w:t>dim</w:t>
                  </w:r>
                  <w:proofErr w:type="spellEnd"/>
                  <w:proofErr w:type="gramEnd"/>
                  <w:r w:rsidRPr="00AD115B">
                    <w:rPr>
                      <w:color w:val="auto"/>
                      <w:sz w:val="18"/>
                      <w:szCs w:val="18"/>
                      <w:lang w:eastAsia="fr-FR"/>
                    </w:rPr>
                    <w:t xml:space="preserve"> 1</w:t>
                  </w:r>
                </w:p>
              </w:tc>
              <w:tc>
                <w:tcPr>
                  <w:tcW w:w="1422" w:type="dxa"/>
                  <w:noWrap/>
                  <w:vAlign w:val="center"/>
                  <w:hideMark/>
                </w:tcPr>
                <w:p w14:paraId="024337FB" w14:textId="77777777" w:rsidR="008308C9" w:rsidRPr="00AD115B" w:rsidRDefault="008308C9" w:rsidP="008308C9">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lang w:eastAsia="fr-FR"/>
                    </w:rPr>
                  </w:pPr>
                  <w:r w:rsidRPr="00B87A13">
                    <w:rPr>
                      <w:color w:val="auto"/>
                      <w:sz w:val="18"/>
                      <w:szCs w:val="18"/>
                      <w:lang w:eastAsia="fr-FR"/>
                    </w:rPr>
                    <w:t>0</w:t>
                  </w:r>
                  <w:r>
                    <w:rPr>
                      <w:color w:val="auto"/>
                      <w:sz w:val="18"/>
                      <w:szCs w:val="18"/>
                      <w:lang w:eastAsia="fr-FR"/>
                    </w:rPr>
                    <w:t>.</w:t>
                  </w:r>
                  <w:r w:rsidRPr="00B87A13">
                    <w:rPr>
                      <w:color w:val="auto"/>
                      <w:sz w:val="18"/>
                      <w:szCs w:val="18"/>
                      <w:lang w:eastAsia="fr-FR"/>
                    </w:rPr>
                    <w:t>01789</w:t>
                  </w:r>
                </w:p>
              </w:tc>
              <w:tc>
                <w:tcPr>
                  <w:tcW w:w="995" w:type="dxa"/>
                  <w:vAlign w:val="center"/>
                </w:tcPr>
                <w:p w14:paraId="67C74357" w14:textId="77777777" w:rsidR="008308C9" w:rsidRPr="009C1858" w:rsidRDefault="008308C9" w:rsidP="008308C9">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lang w:eastAsia="fr-FR"/>
                    </w:rPr>
                  </w:pPr>
                  <w:r w:rsidRPr="009C1858">
                    <w:rPr>
                      <w:color w:val="auto"/>
                      <w:sz w:val="18"/>
                      <w:szCs w:val="18"/>
                      <w:lang w:eastAsia="fr-FR"/>
                    </w:rPr>
                    <w:t>59</w:t>
                  </w:r>
                  <w:r>
                    <w:rPr>
                      <w:color w:val="auto"/>
                      <w:sz w:val="18"/>
                      <w:szCs w:val="18"/>
                      <w:lang w:eastAsia="fr-FR"/>
                    </w:rPr>
                    <w:t>.</w:t>
                  </w:r>
                  <w:r w:rsidRPr="009C1858">
                    <w:rPr>
                      <w:color w:val="auto"/>
                      <w:sz w:val="18"/>
                      <w:szCs w:val="18"/>
                      <w:lang w:eastAsia="fr-FR"/>
                    </w:rPr>
                    <w:t>00</w:t>
                  </w:r>
                </w:p>
              </w:tc>
              <w:tc>
                <w:tcPr>
                  <w:tcW w:w="1334" w:type="dxa"/>
                  <w:noWrap/>
                  <w:vAlign w:val="center"/>
                  <w:hideMark/>
                </w:tcPr>
                <w:p w14:paraId="626F526C" w14:textId="77777777" w:rsidR="008308C9" w:rsidRPr="00AD115B" w:rsidRDefault="008308C9" w:rsidP="008308C9">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lang w:eastAsia="fr-FR"/>
                    </w:rPr>
                  </w:pPr>
                  <w:r w:rsidRPr="00B87A13">
                    <w:rPr>
                      <w:color w:val="auto"/>
                      <w:sz w:val="18"/>
                      <w:szCs w:val="18"/>
                      <w:lang w:eastAsia="fr-FR"/>
                    </w:rPr>
                    <w:t>59</w:t>
                  </w:r>
                  <w:r>
                    <w:rPr>
                      <w:color w:val="auto"/>
                      <w:sz w:val="18"/>
                      <w:szCs w:val="18"/>
                      <w:lang w:eastAsia="fr-FR"/>
                    </w:rPr>
                    <w:t>.</w:t>
                  </w:r>
                  <w:r w:rsidRPr="00B87A13">
                    <w:rPr>
                      <w:color w:val="auto"/>
                      <w:sz w:val="18"/>
                      <w:szCs w:val="18"/>
                      <w:lang w:eastAsia="fr-FR"/>
                    </w:rPr>
                    <w:t>00</w:t>
                  </w:r>
                </w:p>
              </w:tc>
            </w:tr>
            <w:tr w:rsidR="008308C9" w:rsidRPr="00AD115B" w14:paraId="783F34F8" w14:textId="77777777" w:rsidTr="008308C9">
              <w:trPr>
                <w:trHeight w:val="307"/>
              </w:trPr>
              <w:tc>
                <w:tcPr>
                  <w:cnfStyle w:val="001000000000" w:firstRow="0" w:lastRow="0" w:firstColumn="1" w:lastColumn="0" w:oddVBand="0" w:evenVBand="0" w:oddHBand="0" w:evenHBand="0" w:firstRowFirstColumn="0" w:firstRowLastColumn="0" w:lastRowFirstColumn="0" w:lastRowLastColumn="0"/>
                  <w:tcW w:w="1275" w:type="dxa"/>
                  <w:noWrap/>
                  <w:hideMark/>
                </w:tcPr>
                <w:p w14:paraId="6DD46FB0" w14:textId="77777777" w:rsidR="008308C9" w:rsidRPr="00AD115B" w:rsidRDefault="008308C9" w:rsidP="008308C9">
                  <w:pPr>
                    <w:spacing w:after="0"/>
                    <w:rPr>
                      <w:color w:val="auto"/>
                      <w:sz w:val="18"/>
                      <w:szCs w:val="18"/>
                      <w:lang w:eastAsia="fr-FR"/>
                    </w:rPr>
                  </w:pPr>
                  <w:proofErr w:type="spellStart"/>
                  <w:proofErr w:type="gramStart"/>
                  <w:r w:rsidRPr="00AD115B">
                    <w:rPr>
                      <w:color w:val="auto"/>
                      <w:sz w:val="18"/>
                      <w:szCs w:val="18"/>
                      <w:lang w:eastAsia="fr-FR"/>
                    </w:rPr>
                    <w:t>dim</w:t>
                  </w:r>
                  <w:proofErr w:type="spellEnd"/>
                  <w:proofErr w:type="gramEnd"/>
                  <w:r w:rsidRPr="00AD115B">
                    <w:rPr>
                      <w:color w:val="auto"/>
                      <w:sz w:val="18"/>
                      <w:szCs w:val="18"/>
                      <w:lang w:eastAsia="fr-FR"/>
                    </w:rPr>
                    <w:t xml:space="preserve"> 2</w:t>
                  </w:r>
                </w:p>
              </w:tc>
              <w:tc>
                <w:tcPr>
                  <w:tcW w:w="1422" w:type="dxa"/>
                  <w:noWrap/>
                  <w:vAlign w:val="center"/>
                  <w:hideMark/>
                </w:tcPr>
                <w:p w14:paraId="09CDAD26" w14:textId="77777777" w:rsidR="008308C9" w:rsidRPr="00AD115B" w:rsidRDefault="008308C9" w:rsidP="008308C9">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lang w:eastAsia="fr-FR"/>
                    </w:rPr>
                  </w:pPr>
                  <w:r w:rsidRPr="00B87A13">
                    <w:rPr>
                      <w:color w:val="auto"/>
                      <w:sz w:val="18"/>
                      <w:szCs w:val="18"/>
                      <w:lang w:eastAsia="fr-FR"/>
                    </w:rPr>
                    <w:t>0</w:t>
                  </w:r>
                  <w:r>
                    <w:rPr>
                      <w:color w:val="auto"/>
                      <w:sz w:val="18"/>
                      <w:szCs w:val="18"/>
                      <w:lang w:eastAsia="fr-FR"/>
                    </w:rPr>
                    <w:t>.</w:t>
                  </w:r>
                  <w:r w:rsidRPr="00B87A13">
                    <w:rPr>
                      <w:color w:val="auto"/>
                      <w:sz w:val="18"/>
                      <w:szCs w:val="18"/>
                      <w:lang w:eastAsia="fr-FR"/>
                    </w:rPr>
                    <w:t>00600</w:t>
                  </w:r>
                </w:p>
              </w:tc>
              <w:tc>
                <w:tcPr>
                  <w:tcW w:w="995" w:type="dxa"/>
                  <w:vAlign w:val="center"/>
                </w:tcPr>
                <w:p w14:paraId="3278482C" w14:textId="77777777" w:rsidR="008308C9" w:rsidRPr="009C1858" w:rsidRDefault="008308C9" w:rsidP="008308C9">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lang w:eastAsia="fr-FR"/>
                    </w:rPr>
                  </w:pPr>
                  <w:r w:rsidRPr="009C1858">
                    <w:rPr>
                      <w:color w:val="auto"/>
                      <w:sz w:val="18"/>
                      <w:szCs w:val="18"/>
                      <w:lang w:eastAsia="fr-FR"/>
                    </w:rPr>
                    <w:t>19</w:t>
                  </w:r>
                  <w:r>
                    <w:rPr>
                      <w:color w:val="auto"/>
                      <w:sz w:val="18"/>
                      <w:szCs w:val="18"/>
                      <w:lang w:eastAsia="fr-FR"/>
                    </w:rPr>
                    <w:t>.</w:t>
                  </w:r>
                  <w:r w:rsidRPr="009C1858">
                    <w:rPr>
                      <w:color w:val="auto"/>
                      <w:sz w:val="18"/>
                      <w:szCs w:val="18"/>
                      <w:lang w:eastAsia="fr-FR"/>
                    </w:rPr>
                    <w:t>79</w:t>
                  </w:r>
                </w:p>
              </w:tc>
              <w:tc>
                <w:tcPr>
                  <w:tcW w:w="1334" w:type="dxa"/>
                  <w:noWrap/>
                  <w:vAlign w:val="center"/>
                  <w:hideMark/>
                </w:tcPr>
                <w:p w14:paraId="4B7590C2" w14:textId="77777777" w:rsidR="008308C9" w:rsidRPr="00AD115B" w:rsidRDefault="008308C9" w:rsidP="008308C9">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lang w:eastAsia="fr-FR"/>
                    </w:rPr>
                  </w:pPr>
                  <w:r w:rsidRPr="00B87A13">
                    <w:rPr>
                      <w:color w:val="auto"/>
                      <w:sz w:val="18"/>
                      <w:szCs w:val="18"/>
                      <w:lang w:eastAsia="fr-FR"/>
                    </w:rPr>
                    <w:t>78</w:t>
                  </w:r>
                  <w:r>
                    <w:rPr>
                      <w:color w:val="auto"/>
                      <w:sz w:val="18"/>
                      <w:szCs w:val="18"/>
                      <w:lang w:eastAsia="fr-FR"/>
                    </w:rPr>
                    <w:t>.</w:t>
                  </w:r>
                  <w:r w:rsidRPr="00B87A13">
                    <w:rPr>
                      <w:color w:val="auto"/>
                      <w:sz w:val="18"/>
                      <w:szCs w:val="18"/>
                      <w:lang w:eastAsia="fr-FR"/>
                    </w:rPr>
                    <w:t>79</w:t>
                  </w:r>
                </w:p>
              </w:tc>
            </w:tr>
            <w:tr w:rsidR="008308C9" w:rsidRPr="00AD115B" w14:paraId="791AAB29" w14:textId="77777777" w:rsidTr="008308C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5" w:type="dxa"/>
                  <w:noWrap/>
                  <w:hideMark/>
                </w:tcPr>
                <w:p w14:paraId="2BE00DC6" w14:textId="77777777" w:rsidR="008308C9" w:rsidRPr="00AD115B" w:rsidRDefault="008308C9" w:rsidP="008308C9">
                  <w:pPr>
                    <w:spacing w:after="0"/>
                    <w:rPr>
                      <w:color w:val="auto"/>
                      <w:sz w:val="18"/>
                      <w:szCs w:val="18"/>
                      <w:lang w:eastAsia="fr-FR"/>
                    </w:rPr>
                  </w:pPr>
                  <w:proofErr w:type="spellStart"/>
                  <w:proofErr w:type="gramStart"/>
                  <w:r w:rsidRPr="00AD115B">
                    <w:rPr>
                      <w:color w:val="auto"/>
                      <w:sz w:val="18"/>
                      <w:szCs w:val="18"/>
                      <w:lang w:eastAsia="fr-FR"/>
                    </w:rPr>
                    <w:t>dim</w:t>
                  </w:r>
                  <w:proofErr w:type="spellEnd"/>
                  <w:proofErr w:type="gramEnd"/>
                  <w:r w:rsidRPr="00AD115B">
                    <w:rPr>
                      <w:color w:val="auto"/>
                      <w:sz w:val="18"/>
                      <w:szCs w:val="18"/>
                      <w:lang w:eastAsia="fr-FR"/>
                    </w:rPr>
                    <w:t xml:space="preserve"> 3</w:t>
                  </w:r>
                </w:p>
              </w:tc>
              <w:tc>
                <w:tcPr>
                  <w:tcW w:w="1422" w:type="dxa"/>
                  <w:noWrap/>
                  <w:vAlign w:val="center"/>
                  <w:hideMark/>
                </w:tcPr>
                <w:p w14:paraId="4D7D2C30" w14:textId="77777777" w:rsidR="008308C9" w:rsidRPr="00AD115B" w:rsidRDefault="008308C9" w:rsidP="008308C9">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lang w:eastAsia="fr-FR"/>
                    </w:rPr>
                  </w:pPr>
                  <w:r w:rsidRPr="00B87A13">
                    <w:rPr>
                      <w:color w:val="auto"/>
                      <w:sz w:val="18"/>
                      <w:szCs w:val="18"/>
                      <w:lang w:eastAsia="fr-FR"/>
                    </w:rPr>
                    <w:t>0</w:t>
                  </w:r>
                  <w:r>
                    <w:rPr>
                      <w:color w:val="auto"/>
                      <w:sz w:val="18"/>
                      <w:szCs w:val="18"/>
                      <w:lang w:eastAsia="fr-FR"/>
                    </w:rPr>
                    <w:t>.</w:t>
                  </w:r>
                  <w:r w:rsidRPr="00B87A13">
                    <w:rPr>
                      <w:color w:val="auto"/>
                      <w:sz w:val="18"/>
                      <w:szCs w:val="18"/>
                      <w:lang w:eastAsia="fr-FR"/>
                    </w:rPr>
                    <w:t>00237</w:t>
                  </w:r>
                </w:p>
              </w:tc>
              <w:tc>
                <w:tcPr>
                  <w:tcW w:w="995" w:type="dxa"/>
                  <w:vAlign w:val="center"/>
                </w:tcPr>
                <w:p w14:paraId="5614FD4F" w14:textId="77777777" w:rsidR="008308C9" w:rsidRPr="009C1858" w:rsidRDefault="008308C9" w:rsidP="008308C9">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lang w:eastAsia="fr-FR"/>
                    </w:rPr>
                  </w:pPr>
                  <w:r w:rsidRPr="009C1858">
                    <w:rPr>
                      <w:color w:val="auto"/>
                      <w:sz w:val="18"/>
                      <w:szCs w:val="18"/>
                      <w:lang w:eastAsia="fr-FR"/>
                    </w:rPr>
                    <w:t>7</w:t>
                  </w:r>
                  <w:r>
                    <w:rPr>
                      <w:color w:val="auto"/>
                      <w:sz w:val="18"/>
                      <w:szCs w:val="18"/>
                      <w:lang w:eastAsia="fr-FR"/>
                    </w:rPr>
                    <w:t>.</w:t>
                  </w:r>
                  <w:r w:rsidRPr="009C1858">
                    <w:rPr>
                      <w:color w:val="auto"/>
                      <w:sz w:val="18"/>
                      <w:szCs w:val="18"/>
                      <w:lang w:eastAsia="fr-FR"/>
                    </w:rPr>
                    <w:t>83</w:t>
                  </w:r>
                </w:p>
              </w:tc>
              <w:tc>
                <w:tcPr>
                  <w:tcW w:w="1334" w:type="dxa"/>
                  <w:noWrap/>
                  <w:vAlign w:val="center"/>
                  <w:hideMark/>
                </w:tcPr>
                <w:p w14:paraId="7E46B1A9" w14:textId="77777777" w:rsidR="008308C9" w:rsidRPr="00AD115B" w:rsidRDefault="008308C9" w:rsidP="008308C9">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lang w:eastAsia="fr-FR"/>
                    </w:rPr>
                  </w:pPr>
                  <w:r w:rsidRPr="00B87A13">
                    <w:rPr>
                      <w:color w:val="auto"/>
                      <w:sz w:val="18"/>
                      <w:szCs w:val="18"/>
                      <w:lang w:eastAsia="fr-FR"/>
                    </w:rPr>
                    <w:t>86</w:t>
                  </w:r>
                  <w:r>
                    <w:rPr>
                      <w:color w:val="auto"/>
                      <w:sz w:val="18"/>
                      <w:szCs w:val="18"/>
                      <w:lang w:eastAsia="fr-FR"/>
                    </w:rPr>
                    <w:t>.</w:t>
                  </w:r>
                  <w:r w:rsidRPr="00B87A13">
                    <w:rPr>
                      <w:color w:val="auto"/>
                      <w:sz w:val="18"/>
                      <w:szCs w:val="18"/>
                      <w:lang w:eastAsia="fr-FR"/>
                    </w:rPr>
                    <w:t>62</w:t>
                  </w:r>
                </w:p>
              </w:tc>
            </w:tr>
            <w:tr w:rsidR="008308C9" w:rsidRPr="00AD115B" w14:paraId="6D9028A8" w14:textId="77777777" w:rsidTr="008308C9">
              <w:trPr>
                <w:trHeight w:val="307"/>
              </w:trPr>
              <w:tc>
                <w:tcPr>
                  <w:cnfStyle w:val="001000000000" w:firstRow="0" w:lastRow="0" w:firstColumn="1" w:lastColumn="0" w:oddVBand="0" w:evenVBand="0" w:oddHBand="0" w:evenHBand="0" w:firstRowFirstColumn="0" w:firstRowLastColumn="0" w:lastRowFirstColumn="0" w:lastRowLastColumn="0"/>
                  <w:tcW w:w="1275" w:type="dxa"/>
                  <w:noWrap/>
                  <w:hideMark/>
                </w:tcPr>
                <w:p w14:paraId="0F252D06" w14:textId="77777777" w:rsidR="008308C9" w:rsidRPr="00AD115B" w:rsidRDefault="008308C9" w:rsidP="008308C9">
                  <w:pPr>
                    <w:spacing w:after="0"/>
                    <w:rPr>
                      <w:color w:val="auto"/>
                      <w:sz w:val="18"/>
                      <w:szCs w:val="18"/>
                      <w:lang w:eastAsia="fr-FR"/>
                    </w:rPr>
                  </w:pPr>
                  <w:proofErr w:type="spellStart"/>
                  <w:proofErr w:type="gramStart"/>
                  <w:r w:rsidRPr="00AD115B">
                    <w:rPr>
                      <w:color w:val="auto"/>
                      <w:sz w:val="18"/>
                      <w:szCs w:val="18"/>
                      <w:lang w:eastAsia="fr-FR"/>
                    </w:rPr>
                    <w:t>dim</w:t>
                  </w:r>
                  <w:proofErr w:type="spellEnd"/>
                  <w:proofErr w:type="gramEnd"/>
                  <w:r w:rsidRPr="00AD115B">
                    <w:rPr>
                      <w:color w:val="auto"/>
                      <w:sz w:val="18"/>
                      <w:szCs w:val="18"/>
                      <w:lang w:eastAsia="fr-FR"/>
                    </w:rPr>
                    <w:t xml:space="preserve"> 4</w:t>
                  </w:r>
                </w:p>
              </w:tc>
              <w:tc>
                <w:tcPr>
                  <w:tcW w:w="1422" w:type="dxa"/>
                  <w:noWrap/>
                  <w:vAlign w:val="center"/>
                  <w:hideMark/>
                </w:tcPr>
                <w:p w14:paraId="203CECAA" w14:textId="77777777" w:rsidR="008308C9" w:rsidRPr="00AD115B" w:rsidRDefault="008308C9" w:rsidP="008308C9">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lang w:eastAsia="fr-FR"/>
                    </w:rPr>
                  </w:pPr>
                  <w:r w:rsidRPr="00B87A13">
                    <w:rPr>
                      <w:color w:val="auto"/>
                      <w:sz w:val="18"/>
                      <w:szCs w:val="18"/>
                      <w:lang w:eastAsia="fr-FR"/>
                    </w:rPr>
                    <w:t>0</w:t>
                  </w:r>
                  <w:r>
                    <w:rPr>
                      <w:color w:val="auto"/>
                      <w:sz w:val="18"/>
                      <w:szCs w:val="18"/>
                      <w:lang w:eastAsia="fr-FR"/>
                    </w:rPr>
                    <w:t>.</w:t>
                  </w:r>
                  <w:r w:rsidRPr="00B87A13">
                    <w:rPr>
                      <w:color w:val="auto"/>
                      <w:sz w:val="18"/>
                      <w:szCs w:val="18"/>
                      <w:lang w:eastAsia="fr-FR"/>
                    </w:rPr>
                    <w:t>00118</w:t>
                  </w:r>
                </w:p>
              </w:tc>
              <w:tc>
                <w:tcPr>
                  <w:tcW w:w="995" w:type="dxa"/>
                  <w:vAlign w:val="center"/>
                </w:tcPr>
                <w:p w14:paraId="5C4FF30C" w14:textId="77777777" w:rsidR="008308C9" w:rsidRPr="009C1858" w:rsidRDefault="008308C9" w:rsidP="008308C9">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lang w:eastAsia="fr-FR"/>
                    </w:rPr>
                  </w:pPr>
                  <w:r w:rsidRPr="009C1858">
                    <w:rPr>
                      <w:color w:val="auto"/>
                      <w:sz w:val="18"/>
                      <w:szCs w:val="18"/>
                      <w:lang w:eastAsia="fr-FR"/>
                    </w:rPr>
                    <w:t>3</w:t>
                  </w:r>
                  <w:r>
                    <w:rPr>
                      <w:color w:val="auto"/>
                      <w:sz w:val="18"/>
                      <w:szCs w:val="18"/>
                      <w:lang w:eastAsia="fr-FR"/>
                    </w:rPr>
                    <w:t>.</w:t>
                  </w:r>
                  <w:r w:rsidRPr="009C1858">
                    <w:rPr>
                      <w:color w:val="auto"/>
                      <w:sz w:val="18"/>
                      <w:szCs w:val="18"/>
                      <w:lang w:eastAsia="fr-FR"/>
                    </w:rPr>
                    <w:t>90</w:t>
                  </w:r>
                </w:p>
              </w:tc>
              <w:tc>
                <w:tcPr>
                  <w:tcW w:w="1334" w:type="dxa"/>
                  <w:noWrap/>
                  <w:vAlign w:val="center"/>
                  <w:hideMark/>
                </w:tcPr>
                <w:p w14:paraId="022C0388" w14:textId="77777777" w:rsidR="008308C9" w:rsidRPr="00AD115B" w:rsidRDefault="008308C9" w:rsidP="008308C9">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lang w:eastAsia="fr-FR"/>
                    </w:rPr>
                  </w:pPr>
                  <w:r w:rsidRPr="00B87A13">
                    <w:rPr>
                      <w:color w:val="auto"/>
                      <w:sz w:val="18"/>
                      <w:szCs w:val="18"/>
                      <w:lang w:eastAsia="fr-FR"/>
                    </w:rPr>
                    <w:t>90</w:t>
                  </w:r>
                  <w:r>
                    <w:rPr>
                      <w:color w:val="auto"/>
                      <w:sz w:val="18"/>
                      <w:szCs w:val="18"/>
                      <w:lang w:eastAsia="fr-FR"/>
                    </w:rPr>
                    <w:t>.</w:t>
                  </w:r>
                  <w:r w:rsidRPr="00B87A13">
                    <w:rPr>
                      <w:color w:val="auto"/>
                      <w:sz w:val="18"/>
                      <w:szCs w:val="18"/>
                      <w:lang w:eastAsia="fr-FR"/>
                    </w:rPr>
                    <w:t>52</w:t>
                  </w:r>
                </w:p>
              </w:tc>
            </w:tr>
            <w:tr w:rsidR="008308C9" w:rsidRPr="00AD115B" w14:paraId="2D017E81" w14:textId="77777777" w:rsidTr="008308C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5" w:type="dxa"/>
                  <w:noWrap/>
                  <w:hideMark/>
                </w:tcPr>
                <w:p w14:paraId="4E74B456" w14:textId="77777777" w:rsidR="008308C9" w:rsidRPr="00AD115B" w:rsidRDefault="008308C9" w:rsidP="008308C9">
                  <w:pPr>
                    <w:spacing w:after="0"/>
                    <w:rPr>
                      <w:color w:val="auto"/>
                      <w:sz w:val="18"/>
                      <w:szCs w:val="18"/>
                      <w:lang w:eastAsia="fr-FR"/>
                    </w:rPr>
                  </w:pPr>
                  <w:proofErr w:type="spellStart"/>
                  <w:proofErr w:type="gramStart"/>
                  <w:r w:rsidRPr="00AD115B">
                    <w:rPr>
                      <w:color w:val="auto"/>
                      <w:sz w:val="18"/>
                      <w:szCs w:val="18"/>
                      <w:lang w:eastAsia="fr-FR"/>
                    </w:rPr>
                    <w:t>dim</w:t>
                  </w:r>
                  <w:proofErr w:type="spellEnd"/>
                  <w:proofErr w:type="gramEnd"/>
                  <w:r w:rsidRPr="00AD115B">
                    <w:rPr>
                      <w:color w:val="auto"/>
                      <w:sz w:val="18"/>
                      <w:szCs w:val="18"/>
                      <w:lang w:eastAsia="fr-FR"/>
                    </w:rPr>
                    <w:t xml:space="preserve"> 5</w:t>
                  </w:r>
                </w:p>
              </w:tc>
              <w:tc>
                <w:tcPr>
                  <w:tcW w:w="1422" w:type="dxa"/>
                  <w:noWrap/>
                  <w:vAlign w:val="center"/>
                  <w:hideMark/>
                </w:tcPr>
                <w:p w14:paraId="6E372905" w14:textId="77777777" w:rsidR="008308C9" w:rsidRPr="00AD115B" w:rsidRDefault="008308C9" w:rsidP="008308C9">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lang w:eastAsia="fr-FR"/>
                    </w:rPr>
                  </w:pPr>
                  <w:r w:rsidRPr="00B87A13">
                    <w:rPr>
                      <w:color w:val="auto"/>
                      <w:sz w:val="18"/>
                      <w:szCs w:val="18"/>
                      <w:lang w:eastAsia="fr-FR"/>
                    </w:rPr>
                    <w:t>0</w:t>
                  </w:r>
                  <w:r>
                    <w:rPr>
                      <w:color w:val="auto"/>
                      <w:sz w:val="18"/>
                      <w:szCs w:val="18"/>
                      <w:lang w:eastAsia="fr-FR"/>
                    </w:rPr>
                    <w:t>.</w:t>
                  </w:r>
                  <w:r w:rsidRPr="00B87A13">
                    <w:rPr>
                      <w:color w:val="auto"/>
                      <w:sz w:val="18"/>
                      <w:szCs w:val="18"/>
                      <w:lang w:eastAsia="fr-FR"/>
                    </w:rPr>
                    <w:t>00108</w:t>
                  </w:r>
                </w:p>
              </w:tc>
              <w:tc>
                <w:tcPr>
                  <w:tcW w:w="995" w:type="dxa"/>
                  <w:vAlign w:val="center"/>
                </w:tcPr>
                <w:p w14:paraId="552DA697" w14:textId="77777777" w:rsidR="008308C9" w:rsidRPr="009C1858" w:rsidRDefault="008308C9" w:rsidP="008308C9">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lang w:eastAsia="fr-FR"/>
                    </w:rPr>
                  </w:pPr>
                  <w:r w:rsidRPr="009C1858">
                    <w:rPr>
                      <w:color w:val="auto"/>
                      <w:sz w:val="18"/>
                      <w:szCs w:val="18"/>
                      <w:lang w:eastAsia="fr-FR"/>
                    </w:rPr>
                    <w:t>3</w:t>
                  </w:r>
                  <w:r>
                    <w:rPr>
                      <w:color w:val="auto"/>
                      <w:sz w:val="18"/>
                      <w:szCs w:val="18"/>
                      <w:lang w:eastAsia="fr-FR"/>
                    </w:rPr>
                    <w:t>.</w:t>
                  </w:r>
                  <w:r w:rsidRPr="009C1858">
                    <w:rPr>
                      <w:color w:val="auto"/>
                      <w:sz w:val="18"/>
                      <w:szCs w:val="18"/>
                      <w:lang w:eastAsia="fr-FR"/>
                    </w:rPr>
                    <w:t>55</w:t>
                  </w:r>
                </w:p>
              </w:tc>
              <w:tc>
                <w:tcPr>
                  <w:tcW w:w="1334" w:type="dxa"/>
                  <w:noWrap/>
                  <w:vAlign w:val="center"/>
                  <w:hideMark/>
                </w:tcPr>
                <w:p w14:paraId="535CDFC6" w14:textId="77777777" w:rsidR="008308C9" w:rsidRPr="00AD115B" w:rsidRDefault="008308C9" w:rsidP="008308C9">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lang w:eastAsia="fr-FR"/>
                    </w:rPr>
                  </w:pPr>
                  <w:r w:rsidRPr="00B87A13">
                    <w:rPr>
                      <w:color w:val="auto"/>
                      <w:sz w:val="18"/>
                      <w:szCs w:val="18"/>
                      <w:lang w:eastAsia="fr-FR"/>
                    </w:rPr>
                    <w:t>94</w:t>
                  </w:r>
                  <w:r>
                    <w:rPr>
                      <w:color w:val="auto"/>
                      <w:sz w:val="18"/>
                      <w:szCs w:val="18"/>
                      <w:lang w:eastAsia="fr-FR"/>
                    </w:rPr>
                    <w:t>.</w:t>
                  </w:r>
                  <w:r w:rsidRPr="00B87A13">
                    <w:rPr>
                      <w:color w:val="auto"/>
                      <w:sz w:val="18"/>
                      <w:szCs w:val="18"/>
                      <w:lang w:eastAsia="fr-FR"/>
                    </w:rPr>
                    <w:t>07</w:t>
                  </w:r>
                </w:p>
              </w:tc>
            </w:tr>
            <w:tr w:rsidR="008308C9" w:rsidRPr="00AD115B" w14:paraId="64647133" w14:textId="77777777" w:rsidTr="008308C9">
              <w:trPr>
                <w:trHeight w:val="307"/>
              </w:trPr>
              <w:tc>
                <w:tcPr>
                  <w:cnfStyle w:val="001000000000" w:firstRow="0" w:lastRow="0" w:firstColumn="1" w:lastColumn="0" w:oddVBand="0" w:evenVBand="0" w:oddHBand="0" w:evenHBand="0" w:firstRowFirstColumn="0" w:firstRowLastColumn="0" w:lastRowFirstColumn="0" w:lastRowLastColumn="0"/>
                  <w:tcW w:w="1275" w:type="dxa"/>
                  <w:noWrap/>
                  <w:hideMark/>
                </w:tcPr>
                <w:p w14:paraId="2D5EF0F5" w14:textId="77777777" w:rsidR="008308C9" w:rsidRPr="00AD115B" w:rsidRDefault="008308C9" w:rsidP="008308C9">
                  <w:pPr>
                    <w:spacing w:after="0"/>
                    <w:rPr>
                      <w:color w:val="auto"/>
                      <w:sz w:val="18"/>
                      <w:szCs w:val="18"/>
                      <w:lang w:eastAsia="fr-FR"/>
                    </w:rPr>
                  </w:pPr>
                  <w:proofErr w:type="spellStart"/>
                  <w:proofErr w:type="gramStart"/>
                  <w:r w:rsidRPr="00AD115B">
                    <w:rPr>
                      <w:color w:val="auto"/>
                      <w:sz w:val="18"/>
                      <w:szCs w:val="18"/>
                      <w:lang w:eastAsia="fr-FR"/>
                    </w:rPr>
                    <w:t>dim</w:t>
                  </w:r>
                  <w:proofErr w:type="spellEnd"/>
                  <w:proofErr w:type="gramEnd"/>
                  <w:r w:rsidRPr="00AD115B">
                    <w:rPr>
                      <w:color w:val="auto"/>
                      <w:sz w:val="18"/>
                      <w:szCs w:val="18"/>
                      <w:lang w:eastAsia="fr-FR"/>
                    </w:rPr>
                    <w:t xml:space="preserve"> 6</w:t>
                  </w:r>
                </w:p>
              </w:tc>
              <w:tc>
                <w:tcPr>
                  <w:tcW w:w="1422" w:type="dxa"/>
                  <w:noWrap/>
                  <w:vAlign w:val="center"/>
                  <w:hideMark/>
                </w:tcPr>
                <w:p w14:paraId="2E4EB588" w14:textId="77777777" w:rsidR="008308C9" w:rsidRPr="00AD115B" w:rsidRDefault="008308C9" w:rsidP="008308C9">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lang w:eastAsia="fr-FR"/>
                    </w:rPr>
                  </w:pPr>
                  <w:r w:rsidRPr="00B87A13">
                    <w:rPr>
                      <w:color w:val="auto"/>
                      <w:sz w:val="18"/>
                      <w:szCs w:val="18"/>
                      <w:lang w:eastAsia="fr-FR"/>
                    </w:rPr>
                    <w:t>0</w:t>
                  </w:r>
                  <w:r>
                    <w:rPr>
                      <w:color w:val="auto"/>
                      <w:sz w:val="18"/>
                      <w:szCs w:val="18"/>
                      <w:lang w:eastAsia="fr-FR"/>
                    </w:rPr>
                    <w:t>.</w:t>
                  </w:r>
                  <w:r w:rsidRPr="00B87A13">
                    <w:rPr>
                      <w:color w:val="auto"/>
                      <w:sz w:val="18"/>
                      <w:szCs w:val="18"/>
                      <w:lang w:eastAsia="fr-FR"/>
                    </w:rPr>
                    <w:t>00078</w:t>
                  </w:r>
                </w:p>
              </w:tc>
              <w:tc>
                <w:tcPr>
                  <w:tcW w:w="995" w:type="dxa"/>
                  <w:vAlign w:val="center"/>
                </w:tcPr>
                <w:p w14:paraId="1C96E3AC" w14:textId="77777777" w:rsidR="008308C9" w:rsidRPr="009C1858" w:rsidRDefault="008308C9" w:rsidP="008308C9">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lang w:eastAsia="fr-FR"/>
                    </w:rPr>
                  </w:pPr>
                  <w:r w:rsidRPr="009C1858">
                    <w:rPr>
                      <w:color w:val="auto"/>
                      <w:sz w:val="18"/>
                      <w:szCs w:val="18"/>
                      <w:lang w:eastAsia="fr-FR"/>
                    </w:rPr>
                    <w:t>2</w:t>
                  </w:r>
                  <w:r>
                    <w:rPr>
                      <w:color w:val="auto"/>
                      <w:sz w:val="18"/>
                      <w:szCs w:val="18"/>
                      <w:lang w:eastAsia="fr-FR"/>
                    </w:rPr>
                    <w:t>.</w:t>
                  </w:r>
                  <w:r w:rsidRPr="009C1858">
                    <w:rPr>
                      <w:color w:val="auto"/>
                      <w:sz w:val="18"/>
                      <w:szCs w:val="18"/>
                      <w:lang w:eastAsia="fr-FR"/>
                    </w:rPr>
                    <w:t>56</w:t>
                  </w:r>
                </w:p>
              </w:tc>
              <w:tc>
                <w:tcPr>
                  <w:tcW w:w="1334" w:type="dxa"/>
                  <w:noWrap/>
                  <w:vAlign w:val="center"/>
                  <w:hideMark/>
                </w:tcPr>
                <w:p w14:paraId="63A8F8FA" w14:textId="77777777" w:rsidR="008308C9" w:rsidRPr="00AD115B" w:rsidRDefault="008308C9" w:rsidP="008308C9">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lang w:eastAsia="fr-FR"/>
                    </w:rPr>
                  </w:pPr>
                  <w:r w:rsidRPr="00B87A13">
                    <w:rPr>
                      <w:color w:val="auto"/>
                      <w:sz w:val="18"/>
                      <w:szCs w:val="18"/>
                      <w:lang w:eastAsia="fr-FR"/>
                    </w:rPr>
                    <w:t>96</w:t>
                  </w:r>
                  <w:r>
                    <w:rPr>
                      <w:color w:val="auto"/>
                      <w:sz w:val="18"/>
                      <w:szCs w:val="18"/>
                      <w:lang w:eastAsia="fr-FR"/>
                    </w:rPr>
                    <w:t>.</w:t>
                  </w:r>
                  <w:r w:rsidRPr="00B87A13">
                    <w:rPr>
                      <w:color w:val="auto"/>
                      <w:sz w:val="18"/>
                      <w:szCs w:val="18"/>
                      <w:lang w:eastAsia="fr-FR"/>
                    </w:rPr>
                    <w:t>64</w:t>
                  </w:r>
                </w:p>
              </w:tc>
            </w:tr>
            <w:tr w:rsidR="008308C9" w:rsidRPr="00AD115B" w14:paraId="42DB2AB0" w14:textId="77777777" w:rsidTr="008308C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5" w:type="dxa"/>
                  <w:noWrap/>
                  <w:hideMark/>
                </w:tcPr>
                <w:p w14:paraId="7C579E52" w14:textId="77777777" w:rsidR="008308C9" w:rsidRPr="00AD115B" w:rsidRDefault="008308C9" w:rsidP="008308C9">
                  <w:pPr>
                    <w:spacing w:after="0"/>
                    <w:rPr>
                      <w:color w:val="auto"/>
                      <w:sz w:val="18"/>
                      <w:szCs w:val="18"/>
                      <w:lang w:eastAsia="fr-FR"/>
                    </w:rPr>
                  </w:pPr>
                  <w:proofErr w:type="spellStart"/>
                  <w:proofErr w:type="gramStart"/>
                  <w:r w:rsidRPr="00AD115B">
                    <w:rPr>
                      <w:color w:val="auto"/>
                      <w:sz w:val="18"/>
                      <w:szCs w:val="18"/>
                      <w:lang w:eastAsia="fr-FR"/>
                    </w:rPr>
                    <w:t>dim</w:t>
                  </w:r>
                  <w:proofErr w:type="spellEnd"/>
                  <w:proofErr w:type="gramEnd"/>
                  <w:r w:rsidRPr="00AD115B">
                    <w:rPr>
                      <w:color w:val="auto"/>
                      <w:sz w:val="18"/>
                      <w:szCs w:val="18"/>
                      <w:lang w:eastAsia="fr-FR"/>
                    </w:rPr>
                    <w:t xml:space="preserve"> 7</w:t>
                  </w:r>
                </w:p>
              </w:tc>
              <w:tc>
                <w:tcPr>
                  <w:tcW w:w="1422" w:type="dxa"/>
                  <w:noWrap/>
                  <w:vAlign w:val="center"/>
                  <w:hideMark/>
                </w:tcPr>
                <w:p w14:paraId="4861A61A" w14:textId="77777777" w:rsidR="008308C9" w:rsidRPr="00AD115B" w:rsidRDefault="008308C9" w:rsidP="008308C9">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lang w:eastAsia="fr-FR"/>
                    </w:rPr>
                  </w:pPr>
                  <w:r w:rsidRPr="00B87A13">
                    <w:rPr>
                      <w:color w:val="auto"/>
                      <w:sz w:val="18"/>
                      <w:szCs w:val="18"/>
                      <w:lang w:eastAsia="fr-FR"/>
                    </w:rPr>
                    <w:t>0</w:t>
                  </w:r>
                  <w:r>
                    <w:rPr>
                      <w:color w:val="auto"/>
                      <w:sz w:val="18"/>
                      <w:szCs w:val="18"/>
                      <w:lang w:eastAsia="fr-FR"/>
                    </w:rPr>
                    <w:t>.</w:t>
                  </w:r>
                  <w:r w:rsidRPr="00B87A13">
                    <w:rPr>
                      <w:color w:val="auto"/>
                      <w:sz w:val="18"/>
                      <w:szCs w:val="18"/>
                      <w:lang w:eastAsia="fr-FR"/>
                    </w:rPr>
                    <w:t>00043</w:t>
                  </w:r>
                </w:p>
              </w:tc>
              <w:tc>
                <w:tcPr>
                  <w:tcW w:w="995" w:type="dxa"/>
                  <w:vAlign w:val="center"/>
                </w:tcPr>
                <w:p w14:paraId="652E0617" w14:textId="77777777" w:rsidR="008308C9" w:rsidRPr="009C1858" w:rsidRDefault="008308C9" w:rsidP="008308C9">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lang w:eastAsia="fr-FR"/>
                    </w:rPr>
                  </w:pPr>
                  <w:r w:rsidRPr="009C1858">
                    <w:rPr>
                      <w:color w:val="auto"/>
                      <w:sz w:val="18"/>
                      <w:szCs w:val="18"/>
                      <w:lang w:eastAsia="fr-FR"/>
                    </w:rPr>
                    <w:t>1</w:t>
                  </w:r>
                  <w:r>
                    <w:rPr>
                      <w:color w:val="auto"/>
                      <w:sz w:val="18"/>
                      <w:szCs w:val="18"/>
                      <w:lang w:eastAsia="fr-FR"/>
                    </w:rPr>
                    <w:t>.</w:t>
                  </w:r>
                  <w:r w:rsidRPr="009C1858">
                    <w:rPr>
                      <w:color w:val="auto"/>
                      <w:sz w:val="18"/>
                      <w:szCs w:val="18"/>
                      <w:lang w:eastAsia="fr-FR"/>
                    </w:rPr>
                    <w:t>42</w:t>
                  </w:r>
                </w:p>
              </w:tc>
              <w:tc>
                <w:tcPr>
                  <w:tcW w:w="1334" w:type="dxa"/>
                  <w:noWrap/>
                  <w:vAlign w:val="center"/>
                  <w:hideMark/>
                </w:tcPr>
                <w:p w14:paraId="31AC879C" w14:textId="77777777" w:rsidR="008308C9" w:rsidRPr="00AD115B" w:rsidRDefault="008308C9" w:rsidP="008308C9">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lang w:eastAsia="fr-FR"/>
                    </w:rPr>
                  </w:pPr>
                  <w:r w:rsidRPr="00B87A13">
                    <w:rPr>
                      <w:color w:val="auto"/>
                      <w:sz w:val="18"/>
                      <w:szCs w:val="18"/>
                      <w:lang w:eastAsia="fr-FR"/>
                    </w:rPr>
                    <w:t>98</w:t>
                  </w:r>
                  <w:r>
                    <w:rPr>
                      <w:color w:val="auto"/>
                      <w:sz w:val="18"/>
                      <w:szCs w:val="18"/>
                      <w:lang w:eastAsia="fr-FR"/>
                    </w:rPr>
                    <w:t>.</w:t>
                  </w:r>
                  <w:r w:rsidRPr="00B87A13">
                    <w:rPr>
                      <w:color w:val="auto"/>
                      <w:sz w:val="18"/>
                      <w:szCs w:val="18"/>
                      <w:lang w:eastAsia="fr-FR"/>
                    </w:rPr>
                    <w:t>06</w:t>
                  </w:r>
                </w:p>
              </w:tc>
            </w:tr>
            <w:tr w:rsidR="008308C9" w:rsidRPr="00AD115B" w14:paraId="7AB93C89" w14:textId="77777777" w:rsidTr="008308C9">
              <w:trPr>
                <w:trHeight w:val="307"/>
              </w:trPr>
              <w:tc>
                <w:tcPr>
                  <w:cnfStyle w:val="001000000000" w:firstRow="0" w:lastRow="0" w:firstColumn="1" w:lastColumn="0" w:oddVBand="0" w:evenVBand="0" w:oddHBand="0" w:evenHBand="0" w:firstRowFirstColumn="0" w:firstRowLastColumn="0" w:lastRowFirstColumn="0" w:lastRowLastColumn="0"/>
                  <w:tcW w:w="1275" w:type="dxa"/>
                  <w:noWrap/>
                  <w:hideMark/>
                </w:tcPr>
                <w:p w14:paraId="6D01728F" w14:textId="77777777" w:rsidR="008308C9" w:rsidRPr="00AD115B" w:rsidRDefault="008308C9" w:rsidP="008308C9">
                  <w:pPr>
                    <w:spacing w:after="0"/>
                    <w:rPr>
                      <w:color w:val="auto"/>
                      <w:sz w:val="18"/>
                      <w:szCs w:val="18"/>
                      <w:lang w:eastAsia="fr-FR"/>
                    </w:rPr>
                  </w:pPr>
                  <w:proofErr w:type="spellStart"/>
                  <w:proofErr w:type="gramStart"/>
                  <w:r w:rsidRPr="00AD115B">
                    <w:rPr>
                      <w:color w:val="auto"/>
                      <w:sz w:val="18"/>
                      <w:szCs w:val="18"/>
                      <w:lang w:eastAsia="fr-FR"/>
                    </w:rPr>
                    <w:t>dim</w:t>
                  </w:r>
                  <w:proofErr w:type="spellEnd"/>
                  <w:proofErr w:type="gramEnd"/>
                  <w:r w:rsidRPr="00AD115B">
                    <w:rPr>
                      <w:color w:val="auto"/>
                      <w:sz w:val="18"/>
                      <w:szCs w:val="18"/>
                      <w:lang w:eastAsia="fr-FR"/>
                    </w:rPr>
                    <w:t xml:space="preserve"> 8</w:t>
                  </w:r>
                </w:p>
              </w:tc>
              <w:tc>
                <w:tcPr>
                  <w:tcW w:w="1422" w:type="dxa"/>
                  <w:noWrap/>
                  <w:vAlign w:val="center"/>
                  <w:hideMark/>
                </w:tcPr>
                <w:p w14:paraId="6B94C2DF" w14:textId="77777777" w:rsidR="008308C9" w:rsidRPr="00AD115B" w:rsidRDefault="008308C9" w:rsidP="008308C9">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lang w:eastAsia="fr-FR"/>
                    </w:rPr>
                  </w:pPr>
                  <w:r w:rsidRPr="00B87A13">
                    <w:rPr>
                      <w:color w:val="auto"/>
                      <w:sz w:val="18"/>
                      <w:szCs w:val="18"/>
                      <w:lang w:eastAsia="fr-FR"/>
                    </w:rPr>
                    <w:t>0</w:t>
                  </w:r>
                  <w:r>
                    <w:rPr>
                      <w:color w:val="auto"/>
                      <w:sz w:val="18"/>
                      <w:szCs w:val="18"/>
                      <w:lang w:eastAsia="fr-FR"/>
                    </w:rPr>
                    <w:t>.</w:t>
                  </w:r>
                  <w:r w:rsidRPr="00B87A13">
                    <w:rPr>
                      <w:color w:val="auto"/>
                      <w:sz w:val="18"/>
                      <w:szCs w:val="18"/>
                      <w:lang w:eastAsia="fr-FR"/>
                    </w:rPr>
                    <w:t>00033</w:t>
                  </w:r>
                </w:p>
              </w:tc>
              <w:tc>
                <w:tcPr>
                  <w:tcW w:w="995" w:type="dxa"/>
                  <w:vAlign w:val="center"/>
                </w:tcPr>
                <w:p w14:paraId="4504C6A5" w14:textId="77777777" w:rsidR="008308C9" w:rsidRPr="009C1858" w:rsidRDefault="008308C9" w:rsidP="008308C9">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lang w:eastAsia="fr-FR"/>
                    </w:rPr>
                  </w:pPr>
                  <w:r w:rsidRPr="009C1858">
                    <w:rPr>
                      <w:color w:val="auto"/>
                      <w:sz w:val="18"/>
                      <w:szCs w:val="18"/>
                      <w:lang w:eastAsia="fr-FR"/>
                    </w:rPr>
                    <w:t>1</w:t>
                  </w:r>
                  <w:r>
                    <w:rPr>
                      <w:color w:val="auto"/>
                      <w:sz w:val="18"/>
                      <w:szCs w:val="18"/>
                      <w:lang w:eastAsia="fr-FR"/>
                    </w:rPr>
                    <w:t>.</w:t>
                  </w:r>
                  <w:r w:rsidRPr="009C1858">
                    <w:rPr>
                      <w:color w:val="auto"/>
                      <w:sz w:val="18"/>
                      <w:szCs w:val="18"/>
                      <w:lang w:eastAsia="fr-FR"/>
                    </w:rPr>
                    <w:t>09</w:t>
                  </w:r>
                </w:p>
              </w:tc>
              <w:tc>
                <w:tcPr>
                  <w:tcW w:w="1334" w:type="dxa"/>
                  <w:noWrap/>
                  <w:vAlign w:val="center"/>
                  <w:hideMark/>
                </w:tcPr>
                <w:p w14:paraId="6345757E" w14:textId="77777777" w:rsidR="008308C9" w:rsidRPr="00AD115B" w:rsidRDefault="008308C9" w:rsidP="008308C9">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lang w:eastAsia="fr-FR"/>
                    </w:rPr>
                  </w:pPr>
                  <w:r w:rsidRPr="00B87A13">
                    <w:rPr>
                      <w:color w:val="auto"/>
                      <w:sz w:val="18"/>
                      <w:szCs w:val="18"/>
                      <w:lang w:eastAsia="fr-FR"/>
                    </w:rPr>
                    <w:t>99</w:t>
                  </w:r>
                  <w:r>
                    <w:rPr>
                      <w:color w:val="auto"/>
                      <w:sz w:val="18"/>
                      <w:szCs w:val="18"/>
                      <w:lang w:eastAsia="fr-FR"/>
                    </w:rPr>
                    <w:t>.</w:t>
                  </w:r>
                  <w:r w:rsidRPr="00B87A13">
                    <w:rPr>
                      <w:color w:val="auto"/>
                      <w:sz w:val="18"/>
                      <w:szCs w:val="18"/>
                      <w:lang w:eastAsia="fr-FR"/>
                    </w:rPr>
                    <w:t>15</w:t>
                  </w:r>
                </w:p>
              </w:tc>
            </w:tr>
            <w:tr w:rsidR="008308C9" w:rsidRPr="00AD115B" w14:paraId="4DF86BA6" w14:textId="77777777" w:rsidTr="008308C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5" w:type="dxa"/>
                  <w:noWrap/>
                  <w:hideMark/>
                </w:tcPr>
                <w:p w14:paraId="2F5444D6" w14:textId="77777777" w:rsidR="008308C9" w:rsidRPr="00AD115B" w:rsidRDefault="008308C9" w:rsidP="008308C9">
                  <w:pPr>
                    <w:spacing w:after="0"/>
                    <w:rPr>
                      <w:color w:val="auto"/>
                      <w:sz w:val="18"/>
                      <w:szCs w:val="18"/>
                      <w:lang w:eastAsia="fr-FR"/>
                    </w:rPr>
                  </w:pPr>
                  <w:proofErr w:type="spellStart"/>
                  <w:proofErr w:type="gramStart"/>
                  <w:r w:rsidRPr="00AD115B">
                    <w:rPr>
                      <w:color w:val="auto"/>
                      <w:sz w:val="18"/>
                      <w:szCs w:val="18"/>
                      <w:lang w:eastAsia="fr-FR"/>
                    </w:rPr>
                    <w:t>dim</w:t>
                  </w:r>
                  <w:proofErr w:type="spellEnd"/>
                  <w:proofErr w:type="gramEnd"/>
                  <w:r w:rsidRPr="00AD115B">
                    <w:rPr>
                      <w:color w:val="auto"/>
                      <w:sz w:val="18"/>
                      <w:szCs w:val="18"/>
                      <w:lang w:eastAsia="fr-FR"/>
                    </w:rPr>
                    <w:t xml:space="preserve"> 9</w:t>
                  </w:r>
                </w:p>
              </w:tc>
              <w:tc>
                <w:tcPr>
                  <w:tcW w:w="1422" w:type="dxa"/>
                  <w:noWrap/>
                  <w:vAlign w:val="center"/>
                  <w:hideMark/>
                </w:tcPr>
                <w:p w14:paraId="4EE1A354" w14:textId="77777777" w:rsidR="008308C9" w:rsidRPr="00AD115B" w:rsidRDefault="008308C9" w:rsidP="008308C9">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lang w:eastAsia="fr-FR"/>
                    </w:rPr>
                  </w:pPr>
                  <w:r w:rsidRPr="00B87A13">
                    <w:rPr>
                      <w:color w:val="auto"/>
                      <w:sz w:val="18"/>
                      <w:szCs w:val="18"/>
                      <w:lang w:eastAsia="fr-FR"/>
                    </w:rPr>
                    <w:t>0</w:t>
                  </w:r>
                  <w:r>
                    <w:rPr>
                      <w:color w:val="auto"/>
                      <w:sz w:val="18"/>
                      <w:szCs w:val="18"/>
                      <w:lang w:eastAsia="fr-FR"/>
                    </w:rPr>
                    <w:t>.</w:t>
                  </w:r>
                  <w:r w:rsidRPr="00B87A13">
                    <w:rPr>
                      <w:color w:val="auto"/>
                      <w:sz w:val="18"/>
                      <w:szCs w:val="18"/>
                      <w:lang w:eastAsia="fr-FR"/>
                    </w:rPr>
                    <w:t>00014</w:t>
                  </w:r>
                </w:p>
              </w:tc>
              <w:tc>
                <w:tcPr>
                  <w:tcW w:w="995" w:type="dxa"/>
                  <w:vAlign w:val="center"/>
                </w:tcPr>
                <w:p w14:paraId="4143A256" w14:textId="77777777" w:rsidR="008308C9" w:rsidRPr="009C1858" w:rsidRDefault="008308C9" w:rsidP="008308C9">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lang w:eastAsia="fr-FR"/>
                    </w:rPr>
                  </w:pPr>
                  <w:r w:rsidRPr="009C1858">
                    <w:rPr>
                      <w:color w:val="auto"/>
                      <w:sz w:val="18"/>
                      <w:szCs w:val="18"/>
                      <w:lang w:eastAsia="fr-FR"/>
                    </w:rPr>
                    <w:t>0</w:t>
                  </w:r>
                  <w:r>
                    <w:rPr>
                      <w:color w:val="auto"/>
                      <w:sz w:val="18"/>
                      <w:szCs w:val="18"/>
                      <w:lang w:eastAsia="fr-FR"/>
                    </w:rPr>
                    <w:t>.</w:t>
                  </w:r>
                  <w:r w:rsidRPr="009C1858">
                    <w:rPr>
                      <w:color w:val="auto"/>
                      <w:sz w:val="18"/>
                      <w:szCs w:val="18"/>
                      <w:lang w:eastAsia="fr-FR"/>
                    </w:rPr>
                    <w:t>45</w:t>
                  </w:r>
                </w:p>
              </w:tc>
              <w:tc>
                <w:tcPr>
                  <w:tcW w:w="1334" w:type="dxa"/>
                  <w:noWrap/>
                  <w:vAlign w:val="center"/>
                  <w:hideMark/>
                </w:tcPr>
                <w:p w14:paraId="5AB78865" w14:textId="77777777" w:rsidR="008308C9" w:rsidRPr="00AD115B" w:rsidRDefault="008308C9" w:rsidP="008308C9">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lang w:eastAsia="fr-FR"/>
                    </w:rPr>
                  </w:pPr>
                  <w:r w:rsidRPr="00B87A13">
                    <w:rPr>
                      <w:color w:val="auto"/>
                      <w:sz w:val="18"/>
                      <w:szCs w:val="18"/>
                      <w:lang w:eastAsia="fr-FR"/>
                    </w:rPr>
                    <w:t>99</w:t>
                  </w:r>
                  <w:r>
                    <w:rPr>
                      <w:color w:val="auto"/>
                      <w:sz w:val="18"/>
                      <w:szCs w:val="18"/>
                      <w:lang w:eastAsia="fr-FR"/>
                    </w:rPr>
                    <w:t>.</w:t>
                  </w:r>
                  <w:r w:rsidRPr="00B87A13">
                    <w:rPr>
                      <w:color w:val="auto"/>
                      <w:sz w:val="18"/>
                      <w:szCs w:val="18"/>
                      <w:lang w:eastAsia="fr-FR"/>
                    </w:rPr>
                    <w:t>60</w:t>
                  </w:r>
                </w:p>
              </w:tc>
            </w:tr>
            <w:tr w:rsidR="008308C9" w:rsidRPr="00AD115B" w14:paraId="3087BB06" w14:textId="77777777" w:rsidTr="008308C9">
              <w:trPr>
                <w:trHeight w:val="307"/>
              </w:trPr>
              <w:tc>
                <w:tcPr>
                  <w:cnfStyle w:val="001000000000" w:firstRow="0" w:lastRow="0" w:firstColumn="1" w:lastColumn="0" w:oddVBand="0" w:evenVBand="0" w:oddHBand="0" w:evenHBand="0" w:firstRowFirstColumn="0" w:firstRowLastColumn="0" w:lastRowFirstColumn="0" w:lastRowLastColumn="0"/>
                  <w:tcW w:w="1275" w:type="dxa"/>
                  <w:noWrap/>
                  <w:hideMark/>
                </w:tcPr>
                <w:p w14:paraId="4E469ACB" w14:textId="77777777" w:rsidR="008308C9" w:rsidRPr="00AD115B" w:rsidRDefault="008308C9" w:rsidP="008308C9">
                  <w:pPr>
                    <w:spacing w:after="0"/>
                    <w:rPr>
                      <w:color w:val="auto"/>
                      <w:sz w:val="18"/>
                      <w:szCs w:val="18"/>
                      <w:lang w:eastAsia="fr-FR"/>
                    </w:rPr>
                  </w:pPr>
                  <w:proofErr w:type="spellStart"/>
                  <w:proofErr w:type="gramStart"/>
                  <w:r w:rsidRPr="00AD115B">
                    <w:rPr>
                      <w:color w:val="auto"/>
                      <w:sz w:val="18"/>
                      <w:szCs w:val="18"/>
                      <w:lang w:eastAsia="fr-FR"/>
                    </w:rPr>
                    <w:t>dim</w:t>
                  </w:r>
                  <w:proofErr w:type="spellEnd"/>
                  <w:proofErr w:type="gramEnd"/>
                  <w:r w:rsidRPr="00AD115B">
                    <w:rPr>
                      <w:color w:val="auto"/>
                      <w:sz w:val="18"/>
                      <w:szCs w:val="18"/>
                      <w:lang w:eastAsia="fr-FR"/>
                    </w:rPr>
                    <w:t xml:space="preserve"> 10</w:t>
                  </w:r>
                </w:p>
              </w:tc>
              <w:tc>
                <w:tcPr>
                  <w:tcW w:w="1422" w:type="dxa"/>
                  <w:noWrap/>
                  <w:vAlign w:val="center"/>
                  <w:hideMark/>
                </w:tcPr>
                <w:p w14:paraId="05AD2F46" w14:textId="77777777" w:rsidR="008308C9" w:rsidRPr="00AD115B" w:rsidRDefault="008308C9" w:rsidP="008308C9">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lang w:eastAsia="fr-FR"/>
                    </w:rPr>
                  </w:pPr>
                  <w:r w:rsidRPr="00B87A13">
                    <w:rPr>
                      <w:color w:val="auto"/>
                      <w:sz w:val="18"/>
                      <w:szCs w:val="18"/>
                      <w:lang w:eastAsia="fr-FR"/>
                    </w:rPr>
                    <w:t>0</w:t>
                  </w:r>
                  <w:r>
                    <w:rPr>
                      <w:color w:val="auto"/>
                      <w:sz w:val="18"/>
                      <w:szCs w:val="18"/>
                      <w:lang w:eastAsia="fr-FR"/>
                    </w:rPr>
                    <w:t>.</w:t>
                  </w:r>
                  <w:r w:rsidRPr="00B87A13">
                    <w:rPr>
                      <w:color w:val="auto"/>
                      <w:sz w:val="18"/>
                      <w:szCs w:val="18"/>
                      <w:lang w:eastAsia="fr-FR"/>
                    </w:rPr>
                    <w:t>00011</w:t>
                  </w:r>
                </w:p>
              </w:tc>
              <w:tc>
                <w:tcPr>
                  <w:tcW w:w="995" w:type="dxa"/>
                  <w:vAlign w:val="center"/>
                </w:tcPr>
                <w:p w14:paraId="5FFB3584" w14:textId="77777777" w:rsidR="008308C9" w:rsidRPr="009C1858" w:rsidRDefault="008308C9" w:rsidP="008308C9">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lang w:eastAsia="fr-FR"/>
                    </w:rPr>
                  </w:pPr>
                  <w:r w:rsidRPr="009C1858">
                    <w:rPr>
                      <w:color w:val="auto"/>
                      <w:sz w:val="18"/>
                      <w:szCs w:val="18"/>
                      <w:lang w:eastAsia="fr-FR"/>
                    </w:rPr>
                    <w:t>0</w:t>
                  </w:r>
                  <w:r>
                    <w:rPr>
                      <w:color w:val="auto"/>
                      <w:sz w:val="18"/>
                      <w:szCs w:val="18"/>
                      <w:lang w:eastAsia="fr-FR"/>
                    </w:rPr>
                    <w:t>.</w:t>
                  </w:r>
                  <w:r w:rsidRPr="009C1858">
                    <w:rPr>
                      <w:color w:val="auto"/>
                      <w:sz w:val="18"/>
                      <w:szCs w:val="18"/>
                      <w:lang w:eastAsia="fr-FR"/>
                    </w:rPr>
                    <w:t>36</w:t>
                  </w:r>
                </w:p>
              </w:tc>
              <w:tc>
                <w:tcPr>
                  <w:tcW w:w="1334" w:type="dxa"/>
                  <w:noWrap/>
                  <w:vAlign w:val="center"/>
                  <w:hideMark/>
                </w:tcPr>
                <w:p w14:paraId="434105C9" w14:textId="77777777" w:rsidR="008308C9" w:rsidRPr="00AD115B" w:rsidRDefault="008308C9" w:rsidP="008308C9">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lang w:eastAsia="fr-FR"/>
                    </w:rPr>
                  </w:pPr>
                  <w:r w:rsidRPr="00B87A13">
                    <w:rPr>
                      <w:color w:val="auto"/>
                      <w:sz w:val="18"/>
                      <w:szCs w:val="18"/>
                      <w:lang w:eastAsia="fr-FR"/>
                    </w:rPr>
                    <w:t>99</w:t>
                  </w:r>
                  <w:r>
                    <w:rPr>
                      <w:color w:val="auto"/>
                      <w:sz w:val="18"/>
                      <w:szCs w:val="18"/>
                      <w:lang w:eastAsia="fr-FR"/>
                    </w:rPr>
                    <w:t>.</w:t>
                  </w:r>
                  <w:r w:rsidRPr="00B87A13">
                    <w:rPr>
                      <w:color w:val="auto"/>
                      <w:sz w:val="18"/>
                      <w:szCs w:val="18"/>
                      <w:lang w:eastAsia="fr-FR"/>
                    </w:rPr>
                    <w:t>95</w:t>
                  </w:r>
                </w:p>
              </w:tc>
            </w:tr>
            <w:tr w:rsidR="008308C9" w:rsidRPr="00AD115B" w14:paraId="13BFA635" w14:textId="77777777" w:rsidTr="008308C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5" w:type="dxa"/>
                  <w:noWrap/>
                  <w:hideMark/>
                </w:tcPr>
                <w:p w14:paraId="621EA833" w14:textId="77777777" w:rsidR="008308C9" w:rsidRPr="00AD115B" w:rsidRDefault="008308C9" w:rsidP="008308C9">
                  <w:pPr>
                    <w:spacing w:after="0"/>
                    <w:rPr>
                      <w:color w:val="auto"/>
                      <w:sz w:val="18"/>
                      <w:szCs w:val="18"/>
                      <w:lang w:eastAsia="fr-FR"/>
                    </w:rPr>
                  </w:pPr>
                  <w:proofErr w:type="spellStart"/>
                  <w:proofErr w:type="gramStart"/>
                  <w:r w:rsidRPr="00AD115B">
                    <w:rPr>
                      <w:color w:val="auto"/>
                      <w:sz w:val="18"/>
                      <w:szCs w:val="18"/>
                      <w:lang w:eastAsia="fr-FR"/>
                    </w:rPr>
                    <w:t>dim</w:t>
                  </w:r>
                  <w:proofErr w:type="spellEnd"/>
                  <w:proofErr w:type="gramEnd"/>
                  <w:r w:rsidRPr="00AD115B">
                    <w:rPr>
                      <w:color w:val="auto"/>
                      <w:sz w:val="18"/>
                      <w:szCs w:val="18"/>
                      <w:lang w:eastAsia="fr-FR"/>
                    </w:rPr>
                    <w:t xml:space="preserve"> 11</w:t>
                  </w:r>
                </w:p>
              </w:tc>
              <w:tc>
                <w:tcPr>
                  <w:tcW w:w="1422" w:type="dxa"/>
                  <w:noWrap/>
                  <w:vAlign w:val="center"/>
                  <w:hideMark/>
                </w:tcPr>
                <w:p w14:paraId="4D279042" w14:textId="77777777" w:rsidR="008308C9" w:rsidRPr="00AD115B" w:rsidRDefault="008308C9" w:rsidP="008308C9">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lang w:eastAsia="fr-FR"/>
                    </w:rPr>
                  </w:pPr>
                  <w:r w:rsidRPr="00B87A13">
                    <w:rPr>
                      <w:color w:val="auto"/>
                      <w:sz w:val="18"/>
                      <w:szCs w:val="18"/>
                      <w:lang w:eastAsia="fr-FR"/>
                    </w:rPr>
                    <w:t>0</w:t>
                  </w:r>
                  <w:r>
                    <w:rPr>
                      <w:color w:val="auto"/>
                      <w:sz w:val="18"/>
                      <w:szCs w:val="18"/>
                      <w:lang w:eastAsia="fr-FR"/>
                    </w:rPr>
                    <w:t>.</w:t>
                  </w:r>
                  <w:r w:rsidRPr="00B87A13">
                    <w:rPr>
                      <w:color w:val="auto"/>
                      <w:sz w:val="18"/>
                      <w:szCs w:val="18"/>
                      <w:lang w:eastAsia="fr-FR"/>
                    </w:rPr>
                    <w:t>00001</w:t>
                  </w:r>
                </w:p>
              </w:tc>
              <w:tc>
                <w:tcPr>
                  <w:tcW w:w="995" w:type="dxa"/>
                  <w:vAlign w:val="center"/>
                </w:tcPr>
                <w:p w14:paraId="01D604C1" w14:textId="77777777" w:rsidR="008308C9" w:rsidRPr="009C1858" w:rsidRDefault="008308C9" w:rsidP="008308C9">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lang w:eastAsia="fr-FR"/>
                    </w:rPr>
                  </w:pPr>
                  <w:r w:rsidRPr="009C1858">
                    <w:rPr>
                      <w:color w:val="auto"/>
                      <w:sz w:val="18"/>
                      <w:szCs w:val="18"/>
                      <w:lang w:eastAsia="fr-FR"/>
                    </w:rPr>
                    <w:t>0</w:t>
                  </w:r>
                  <w:r>
                    <w:rPr>
                      <w:color w:val="auto"/>
                      <w:sz w:val="18"/>
                      <w:szCs w:val="18"/>
                      <w:lang w:eastAsia="fr-FR"/>
                    </w:rPr>
                    <w:t>.</w:t>
                  </w:r>
                  <w:r w:rsidRPr="009C1858">
                    <w:rPr>
                      <w:color w:val="auto"/>
                      <w:sz w:val="18"/>
                      <w:szCs w:val="18"/>
                      <w:lang w:eastAsia="fr-FR"/>
                    </w:rPr>
                    <w:t>05</w:t>
                  </w:r>
                </w:p>
              </w:tc>
              <w:tc>
                <w:tcPr>
                  <w:tcW w:w="1334" w:type="dxa"/>
                  <w:noWrap/>
                  <w:vAlign w:val="center"/>
                  <w:hideMark/>
                </w:tcPr>
                <w:p w14:paraId="0A810C40" w14:textId="77777777" w:rsidR="008308C9" w:rsidRPr="00AD115B" w:rsidRDefault="008308C9" w:rsidP="008308C9">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lang w:eastAsia="fr-FR"/>
                    </w:rPr>
                  </w:pPr>
                  <w:r w:rsidRPr="00B87A13">
                    <w:rPr>
                      <w:color w:val="auto"/>
                      <w:sz w:val="18"/>
                      <w:szCs w:val="18"/>
                      <w:lang w:eastAsia="fr-FR"/>
                    </w:rPr>
                    <w:t>100</w:t>
                  </w:r>
                  <w:r>
                    <w:rPr>
                      <w:color w:val="auto"/>
                      <w:sz w:val="18"/>
                      <w:szCs w:val="18"/>
                      <w:lang w:eastAsia="fr-FR"/>
                    </w:rPr>
                    <w:t>.</w:t>
                  </w:r>
                  <w:r w:rsidRPr="00B87A13">
                    <w:rPr>
                      <w:color w:val="auto"/>
                      <w:sz w:val="18"/>
                      <w:szCs w:val="18"/>
                      <w:lang w:eastAsia="fr-FR"/>
                    </w:rPr>
                    <w:t>00</w:t>
                  </w:r>
                </w:p>
              </w:tc>
            </w:tr>
          </w:tbl>
          <w:p w14:paraId="3A57F724" w14:textId="77777777" w:rsidR="008308C9" w:rsidRPr="00702C12" w:rsidRDefault="008308C9" w:rsidP="008308C9">
            <w:pPr>
              <w:rPr>
                <w:b/>
                <w:bCs/>
                <w:color w:val="7F7F7F" w:themeColor="text1" w:themeTint="80"/>
                <w:sz w:val="24"/>
                <w:szCs w:val="24"/>
              </w:rPr>
            </w:pPr>
          </w:p>
        </w:tc>
      </w:tr>
      <w:tr w:rsidR="008308C9" w14:paraId="212E934C" w14:textId="77777777" w:rsidTr="008308C9">
        <w:tc>
          <w:tcPr>
            <w:tcW w:w="5240" w:type="dxa"/>
          </w:tcPr>
          <w:p w14:paraId="689D70F5" w14:textId="77777777" w:rsidR="00E0254C" w:rsidRDefault="008308C9" w:rsidP="008308C9">
            <w:r w:rsidRPr="001F6407">
              <w:t>Le tableau</w:t>
            </w:r>
            <w:r>
              <w:t xml:space="preserve"> suivant</w:t>
            </w:r>
            <w:r w:rsidRPr="001F6407">
              <w:t xml:space="preserve"> exprime les valeurs propres de la matrice des coefficients de corrélation</w:t>
            </w:r>
            <w:r>
              <w:t xml:space="preserve">, </w:t>
            </w:r>
            <w:r w:rsidRPr="001F6407">
              <w:t>le pourcentage de variance expliquée ainsi que celui de la variance cumulée par chacun des axes</w:t>
            </w:r>
            <w:r>
              <w:t>. L’analyse des valeurs propres montre que l</w:t>
            </w:r>
            <w:r w:rsidRPr="001F6407">
              <w:t xml:space="preserve">a simplification des </w:t>
            </w:r>
            <w:r>
              <w:t>deux</w:t>
            </w:r>
            <w:r w:rsidRPr="001F6407">
              <w:t xml:space="preserve"> variables initiales</w:t>
            </w:r>
            <w:r>
              <w:t xml:space="preserve"> composées d’une trentaine de modalités</w:t>
            </w:r>
            <w:r w:rsidRPr="001F6407">
              <w:t xml:space="preserve"> en deux nouvelles variables</w:t>
            </w:r>
            <w:r>
              <w:t xml:space="preserve"> </w:t>
            </w:r>
            <w:r w:rsidRPr="001F6407">
              <w:t xml:space="preserve">n’aboutit qu’à une perte de </w:t>
            </w:r>
            <w:r>
              <w:t>21</w:t>
            </w:r>
            <w:r w:rsidRPr="001F6407">
              <w:t>.</w:t>
            </w:r>
            <w:r>
              <w:t>21</w:t>
            </w:r>
            <w:r w:rsidRPr="001F6407">
              <w:t xml:space="preserve">% de l’information contenue dans la totalité des données. </w:t>
            </w:r>
            <w:r>
              <w:t>Les vecteurs propres associés à ces</w:t>
            </w:r>
            <w:r w:rsidRPr="001F6407">
              <w:t xml:space="preserve"> valeurs propres permet</w:t>
            </w:r>
            <w:r>
              <w:t>tent</w:t>
            </w:r>
            <w:r w:rsidRPr="001F6407">
              <w:t xml:space="preserve"> de déterminer </w:t>
            </w:r>
            <w:r>
              <w:t>les</w:t>
            </w:r>
            <w:r w:rsidR="009221D5">
              <w:t xml:space="preserve"> axes</w:t>
            </w:r>
            <w:r w:rsidRPr="001F6407">
              <w:t xml:space="preserve"> à utiliser pour notre analyse.</w:t>
            </w:r>
          </w:p>
          <w:p w14:paraId="300D26F5" w14:textId="70834EF8" w:rsidR="00E0254C" w:rsidRPr="00702C12" w:rsidRDefault="00E0254C" w:rsidP="008308C9"/>
        </w:tc>
        <w:tc>
          <w:tcPr>
            <w:tcW w:w="5216" w:type="dxa"/>
            <w:vMerge/>
          </w:tcPr>
          <w:p w14:paraId="039C607F" w14:textId="77777777" w:rsidR="008308C9" w:rsidRDefault="008308C9" w:rsidP="008308C9">
            <w:pPr>
              <w:rPr>
                <w:b/>
                <w:bCs/>
                <w:color w:val="7F7F7F" w:themeColor="text1" w:themeTint="80"/>
                <w:sz w:val="24"/>
                <w:szCs w:val="24"/>
              </w:rPr>
            </w:pPr>
          </w:p>
        </w:tc>
      </w:tr>
      <w:tr w:rsidR="008308C9" w14:paraId="15F9272A" w14:textId="77777777" w:rsidTr="008308C9">
        <w:tc>
          <w:tcPr>
            <w:tcW w:w="5240" w:type="dxa"/>
          </w:tcPr>
          <w:p w14:paraId="12D59611" w14:textId="33427507" w:rsidR="008308C9" w:rsidRPr="00B02ED5" w:rsidRDefault="008308C9" w:rsidP="008308C9">
            <w:pPr>
              <w:rPr>
                <w:u w:val="thick"/>
              </w:rPr>
            </w:pPr>
            <w:r w:rsidRPr="00B02ED5">
              <w:rPr>
                <w:b/>
                <w:bCs/>
                <w:color w:val="7F7F7F" w:themeColor="text1" w:themeTint="80"/>
                <w:sz w:val="24"/>
                <w:szCs w:val="24"/>
                <w:u w:val="thick"/>
              </w:rPr>
              <w:t xml:space="preserve">Choix </w:t>
            </w:r>
            <w:r w:rsidR="00DB0A67">
              <w:rPr>
                <w:b/>
                <w:bCs/>
                <w:color w:val="7F7F7F" w:themeColor="text1" w:themeTint="80"/>
                <w:sz w:val="24"/>
                <w:szCs w:val="24"/>
                <w:u w:val="thick"/>
              </w:rPr>
              <w:t>des axes</w:t>
            </w:r>
            <w:r w:rsidRPr="00B02ED5">
              <w:rPr>
                <w:b/>
                <w:bCs/>
                <w:color w:val="7F7F7F" w:themeColor="text1" w:themeTint="80"/>
                <w:sz w:val="24"/>
                <w:szCs w:val="24"/>
                <w:u w:val="thick"/>
              </w:rPr>
              <w:t xml:space="preserve"> factoriels</w:t>
            </w:r>
          </w:p>
        </w:tc>
        <w:tc>
          <w:tcPr>
            <w:tcW w:w="5216" w:type="dxa"/>
            <w:vMerge w:val="restart"/>
          </w:tcPr>
          <w:p w14:paraId="26EABA48" w14:textId="27F230AB" w:rsidR="008308C9" w:rsidRPr="0092496F" w:rsidRDefault="008308C9" w:rsidP="002F1101">
            <w:pPr>
              <w:rPr>
                <w:sz w:val="18"/>
                <w:szCs w:val="18"/>
                <w:lang w:eastAsia="fr-FR"/>
              </w:rPr>
            </w:pPr>
            <w:r>
              <w:rPr>
                <w:noProof/>
                <w:szCs w:val="20"/>
              </w:rPr>
              <w:drawing>
                <wp:anchor distT="0" distB="0" distL="114300" distR="114300" simplePos="0" relativeHeight="251665408" behindDoc="0" locked="0" layoutInCell="1" allowOverlap="1" wp14:anchorId="5C76DF90" wp14:editId="5B1743A1">
                  <wp:simplePos x="0" y="0"/>
                  <wp:positionH relativeFrom="column">
                    <wp:posOffset>-52705</wp:posOffset>
                  </wp:positionH>
                  <wp:positionV relativeFrom="paragraph">
                    <wp:posOffset>54186</wp:posOffset>
                  </wp:positionV>
                  <wp:extent cx="3244850" cy="209550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4850" cy="2095500"/>
                          </a:xfrm>
                          <a:prstGeom prst="rect">
                            <a:avLst/>
                          </a:prstGeom>
                          <a:noFill/>
                        </pic:spPr>
                      </pic:pic>
                    </a:graphicData>
                  </a:graphic>
                  <wp14:sizeRelH relativeFrom="margin">
                    <wp14:pctWidth>0</wp14:pctWidth>
                  </wp14:sizeRelH>
                  <wp14:sizeRelV relativeFrom="margin">
                    <wp14:pctHeight>0</wp14:pctHeight>
                  </wp14:sizeRelV>
                </wp:anchor>
              </w:drawing>
            </w:r>
            <w:r>
              <w:t>De ces analyses</w:t>
            </w:r>
            <w:r w:rsidR="00902345">
              <w:t>,</w:t>
            </w:r>
            <w:r>
              <w:t xml:space="preserve"> on peut décider de ne retenir que les deux premiers axes (le premier plan factoriel) car il semble plus compréhensible par l’œil et ne déforme pas trop le nuage.</w:t>
            </w:r>
          </w:p>
        </w:tc>
      </w:tr>
      <w:tr w:rsidR="008308C9" w14:paraId="2BF4769B" w14:textId="77777777" w:rsidTr="008308C9">
        <w:trPr>
          <w:trHeight w:val="4149"/>
        </w:trPr>
        <w:tc>
          <w:tcPr>
            <w:tcW w:w="5240" w:type="dxa"/>
          </w:tcPr>
          <w:p w14:paraId="126022EB" w14:textId="42523846" w:rsidR="008308C9" w:rsidRDefault="008308C9" w:rsidP="008308C9">
            <w:r>
              <w:t>Il existe différentes approches qui nous permettent de choisir le nombre d’axes</w:t>
            </w:r>
            <w:r w:rsidR="00DB0A67">
              <w:t> parmi lesquelles le critère du taux d’inertie et le coude de CATTEL</w:t>
            </w:r>
            <w:r w:rsidR="009815E9">
              <w:t>.</w:t>
            </w:r>
          </w:p>
          <w:p w14:paraId="0D284EBE" w14:textId="764EF559" w:rsidR="008308C9" w:rsidRDefault="008308C9" w:rsidP="008308C9">
            <w:r>
              <w:t>D’une part</w:t>
            </w:r>
            <w:r w:rsidR="009815E9">
              <w:t>,</w:t>
            </w:r>
            <w:r>
              <w:t xml:space="preserve"> </w:t>
            </w:r>
            <w:r w:rsidR="009815E9">
              <w:t>n</w:t>
            </w:r>
            <w:r>
              <w:t xml:space="preserve">ous constatons </w:t>
            </w:r>
            <w:r w:rsidR="009815E9">
              <w:t xml:space="preserve">que </w:t>
            </w:r>
            <w:r>
              <w:t>les deux premiers axes expliquent 7</w:t>
            </w:r>
            <w:r w:rsidR="00DB0A67">
              <w:t>8</w:t>
            </w:r>
            <w:r>
              <w:t>.</w:t>
            </w:r>
            <w:r w:rsidR="00DB0A67">
              <w:t>7</w:t>
            </w:r>
            <w:r>
              <w:t xml:space="preserve">9% de la </w:t>
            </w:r>
            <w:r w:rsidR="009815E9">
              <w:t>variabilité</w:t>
            </w:r>
            <w:r>
              <w:t>. Ce pourcentage est compris entre 60% et 80%. Le critère du taux d’inertie nous suggère dans ce cas de limiter l’analyse aux deux premiers axes.</w:t>
            </w:r>
          </w:p>
          <w:p w14:paraId="5E61796E" w14:textId="5085D5C9" w:rsidR="008308C9" w:rsidRPr="001F6407" w:rsidRDefault="008308C9" w:rsidP="008308C9">
            <w:r>
              <w:t>D’autre part</w:t>
            </w:r>
            <w:r w:rsidR="009815E9">
              <w:t xml:space="preserve">, </w:t>
            </w:r>
            <w:r>
              <w:t xml:space="preserve">nous </w:t>
            </w:r>
            <w:r w:rsidR="009815E9">
              <w:t>remarquons</w:t>
            </w:r>
            <w:r>
              <w:t xml:space="preserve"> également un décrochement au deuxième axe passant de </w:t>
            </w:r>
            <w:r w:rsidR="009815E9">
              <w:t>59</w:t>
            </w:r>
            <w:r>
              <w:t>.</w:t>
            </w:r>
            <w:r w:rsidR="009815E9">
              <w:t>00</w:t>
            </w:r>
            <w:r>
              <w:t>% (premier axe) à 1</w:t>
            </w:r>
            <w:r w:rsidR="009815E9">
              <w:t>9</w:t>
            </w:r>
            <w:r>
              <w:t>.</w:t>
            </w:r>
            <w:r w:rsidR="009815E9">
              <w:t>79</w:t>
            </w:r>
            <w:r>
              <w:t>%</w:t>
            </w:r>
            <w:r w:rsidR="009815E9">
              <w:t>,</w:t>
            </w:r>
            <w:r>
              <w:t xml:space="preserve"> puis une décroissance régulière à partir du deuxième axe : seuls les deux premiers axes présentent un éventuel intérêt d’après le critère du coude de CATTEL.</w:t>
            </w:r>
          </w:p>
        </w:tc>
        <w:tc>
          <w:tcPr>
            <w:tcW w:w="5216" w:type="dxa"/>
            <w:vMerge/>
          </w:tcPr>
          <w:p w14:paraId="5C7C69D2" w14:textId="77777777" w:rsidR="008308C9" w:rsidRPr="0092496F" w:rsidRDefault="008308C9" w:rsidP="008308C9">
            <w:pPr>
              <w:spacing w:after="0"/>
              <w:jc w:val="left"/>
              <w:rPr>
                <w:sz w:val="18"/>
                <w:szCs w:val="18"/>
                <w:lang w:eastAsia="fr-FR"/>
              </w:rPr>
            </w:pPr>
          </w:p>
        </w:tc>
      </w:tr>
    </w:tbl>
    <w:p w14:paraId="61BD3C9C" w14:textId="4E6C1DCF" w:rsidR="000C6540" w:rsidRDefault="000C6540" w:rsidP="00D02A41"/>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5209"/>
        <w:gridCol w:w="5210"/>
      </w:tblGrid>
      <w:tr w:rsidR="001D4792" w14:paraId="2E46F1B8" w14:textId="77777777" w:rsidTr="00E17737">
        <w:trPr>
          <w:trHeight w:val="418"/>
        </w:trPr>
        <w:tc>
          <w:tcPr>
            <w:tcW w:w="10419" w:type="dxa"/>
            <w:gridSpan w:val="2"/>
            <w:shd w:val="clear" w:color="auto" w:fill="F8F8F8"/>
          </w:tcPr>
          <w:p w14:paraId="7E982817" w14:textId="0967CC34" w:rsidR="001D4792" w:rsidRDefault="001D4792" w:rsidP="00D02A41">
            <w:r>
              <w:rPr>
                <w:b/>
                <w:bCs/>
                <w:color w:val="7F7F7F" w:themeColor="text1" w:themeTint="80"/>
                <w:sz w:val="24"/>
                <w:szCs w:val="24"/>
                <w:u w:val="thick"/>
              </w:rPr>
              <w:t>Analyse des nuages des modalités (lignes et colonnes</w:t>
            </w:r>
          </w:p>
        </w:tc>
      </w:tr>
      <w:tr w:rsidR="00902345" w14:paraId="52464A5B" w14:textId="77777777" w:rsidTr="00E17737">
        <w:trPr>
          <w:trHeight w:val="4163"/>
        </w:trPr>
        <w:tc>
          <w:tcPr>
            <w:tcW w:w="5209" w:type="dxa"/>
            <w:shd w:val="clear" w:color="auto" w:fill="F8F8F8"/>
          </w:tcPr>
          <w:p w14:paraId="1BAC1ADA" w14:textId="77777777" w:rsidR="00902345" w:rsidRPr="00E94BE2" w:rsidRDefault="001D4792" w:rsidP="00E94BE2">
            <w:pPr>
              <w:pStyle w:val="Paragraphedeliste"/>
              <w:numPr>
                <w:ilvl w:val="0"/>
                <w:numId w:val="2"/>
              </w:numPr>
              <w:rPr>
                <w:b/>
                <w:bCs/>
                <w:u w:val="single"/>
              </w:rPr>
            </w:pPr>
            <w:r w:rsidRPr="00E94BE2">
              <w:rPr>
                <w:b/>
                <w:bCs/>
                <w:u w:val="single"/>
              </w:rPr>
              <w:t>Nuage des modalités lignes</w:t>
            </w:r>
          </w:p>
          <w:p w14:paraId="0A72A90C" w14:textId="16E93503" w:rsidR="00F62FE1" w:rsidRDefault="00B97F06" w:rsidP="00F62FE1">
            <w:r>
              <w:t xml:space="preserve">Pour la variable type de maladie, les modalités ayant une forte contribution sont </w:t>
            </w:r>
            <w:r w:rsidR="006A6404" w:rsidRPr="00E86948">
              <w:rPr>
                <w:b/>
                <w:bCs/>
              </w:rPr>
              <w:t>problèmes d'estoma</w:t>
            </w:r>
            <w:r w:rsidR="006A6404">
              <w:rPr>
                <w:b/>
                <w:bCs/>
              </w:rPr>
              <w:t>c</w:t>
            </w:r>
            <w:r w:rsidR="00F62FE1">
              <w:rPr>
                <w:b/>
                <w:bCs/>
              </w:rPr>
              <w:t xml:space="preserve"> </w:t>
            </w:r>
            <w:r w:rsidR="00F62FE1">
              <w:t>(</w:t>
            </w:r>
            <w:r w:rsidR="00F62FE1">
              <w:t>41</w:t>
            </w:r>
            <w:r w:rsidR="00F62FE1">
              <w:t>.</w:t>
            </w:r>
            <w:r w:rsidR="00F62FE1">
              <w:t>67%</w:t>
            </w:r>
            <w:r w:rsidR="00F62FE1">
              <w:t>)</w:t>
            </w:r>
            <w:r w:rsidR="006A6404" w:rsidRPr="006A6404">
              <w:t>,</w:t>
            </w:r>
            <w:r w:rsidR="006A6404">
              <w:rPr>
                <w:b/>
                <w:bCs/>
              </w:rPr>
              <w:t xml:space="preserve"> </w:t>
            </w:r>
            <w:r w:rsidR="006A6404" w:rsidRPr="00E86948">
              <w:rPr>
                <w:b/>
                <w:bCs/>
              </w:rPr>
              <w:t>douleurs/fatigue</w:t>
            </w:r>
            <w:r w:rsidR="00F62FE1">
              <w:rPr>
                <w:b/>
                <w:bCs/>
              </w:rPr>
              <w:t xml:space="preserve"> </w:t>
            </w:r>
            <w:r w:rsidR="00F62FE1">
              <w:t>(13.50%)</w:t>
            </w:r>
            <w:r w:rsidR="006A6404" w:rsidRPr="006A6404">
              <w:t>,</w:t>
            </w:r>
            <w:r w:rsidR="006A6404">
              <w:rPr>
                <w:b/>
                <w:bCs/>
              </w:rPr>
              <w:t xml:space="preserve"> </w:t>
            </w:r>
            <w:r w:rsidR="006A6404" w:rsidRPr="006A6404">
              <w:rPr>
                <w:b/>
                <w:bCs/>
              </w:rPr>
              <w:t>problèmes de tension</w:t>
            </w:r>
            <w:r w:rsidR="00F62FE1">
              <w:rPr>
                <w:b/>
                <w:bCs/>
              </w:rPr>
              <w:t xml:space="preserve"> </w:t>
            </w:r>
            <w:r w:rsidR="00F62FE1">
              <w:t>(7.93%)</w:t>
            </w:r>
            <w:r w:rsidR="006A6404">
              <w:t xml:space="preserve"> et </w:t>
            </w:r>
            <w:r w:rsidR="006A6404" w:rsidRPr="006A6404">
              <w:rPr>
                <w:b/>
                <w:bCs/>
              </w:rPr>
              <w:t>problèmes dentaires</w:t>
            </w:r>
            <w:r w:rsidR="00F62FE1">
              <w:rPr>
                <w:b/>
                <w:bCs/>
              </w:rPr>
              <w:t xml:space="preserve"> </w:t>
            </w:r>
            <w:r w:rsidR="00F62FE1">
              <w:t>(6.17%)</w:t>
            </w:r>
            <w:r w:rsidR="006A6404">
              <w:t>.</w:t>
            </w:r>
            <w:r w:rsidR="00764C84">
              <w:t xml:space="preserve"> </w:t>
            </w:r>
            <w:r w:rsidR="00F62FE1">
              <w:t>Le deuxième axe met en</w:t>
            </w:r>
            <w:r w:rsidR="00F62FE1">
              <w:t xml:space="preserve"> </w:t>
            </w:r>
            <w:r w:rsidR="00F62FE1">
              <w:t xml:space="preserve">avant </w:t>
            </w:r>
            <w:r w:rsidR="00F62FE1">
              <w:t>la</w:t>
            </w:r>
            <w:r w:rsidR="00F62FE1">
              <w:t xml:space="preserve"> </w:t>
            </w:r>
            <w:r w:rsidR="00F62FE1" w:rsidRPr="00CE021B">
              <w:rPr>
                <w:b/>
                <w:bCs/>
              </w:rPr>
              <w:t>diarrhée</w:t>
            </w:r>
            <w:r w:rsidR="00F62FE1">
              <w:t xml:space="preserve">, </w:t>
            </w:r>
            <w:r w:rsidR="00F62FE1" w:rsidRPr="00CE021B">
              <w:t>les</w:t>
            </w:r>
            <w:r w:rsidR="00F62FE1" w:rsidRPr="00D605D6">
              <w:rPr>
                <w:b/>
                <w:bCs/>
              </w:rPr>
              <w:t xml:space="preserve"> </w:t>
            </w:r>
            <w:r w:rsidR="00CE021B">
              <w:rPr>
                <w:b/>
                <w:bCs/>
              </w:rPr>
              <w:t>t</w:t>
            </w:r>
            <w:r w:rsidR="00F62FE1" w:rsidRPr="00D605D6">
              <w:rPr>
                <w:b/>
                <w:bCs/>
              </w:rPr>
              <w:t>oux</w:t>
            </w:r>
            <w:r w:rsidR="00CE021B">
              <w:rPr>
                <w:b/>
                <w:bCs/>
              </w:rPr>
              <w:t>,</w:t>
            </w:r>
            <w:r w:rsidR="00F62FE1" w:rsidRPr="00D605D6">
              <w:rPr>
                <w:b/>
                <w:bCs/>
              </w:rPr>
              <w:t xml:space="preserve"> rhume</w:t>
            </w:r>
            <w:r w:rsidR="00F62FE1">
              <w:t xml:space="preserve"> et</w:t>
            </w:r>
            <w:r w:rsidR="00F62FE1">
              <w:t xml:space="preserve"> </w:t>
            </w:r>
            <w:r w:rsidR="00F62FE1">
              <w:t xml:space="preserve">les </w:t>
            </w:r>
            <w:r w:rsidR="00F62FE1" w:rsidRPr="00D605D6">
              <w:rPr>
                <w:b/>
                <w:bCs/>
              </w:rPr>
              <w:t>non malades</w:t>
            </w:r>
            <w:r w:rsidR="00F62FE1">
              <w:t xml:space="preserve">. La modalité </w:t>
            </w:r>
            <w:r w:rsidR="00F62FE1" w:rsidRPr="00F62FE1">
              <w:rPr>
                <w:b/>
                <w:bCs/>
              </w:rPr>
              <w:t>Problème d'estomac</w:t>
            </w:r>
            <w:r w:rsidR="00F62FE1" w:rsidRPr="0098529F">
              <w:t xml:space="preserve"> </w:t>
            </w:r>
            <w:r w:rsidR="00F62FE1">
              <w:t xml:space="preserve">(9.06%) montre également des contributions significatives. </w:t>
            </w:r>
          </w:p>
          <w:p w14:paraId="104D987D" w14:textId="1E42971C" w:rsidR="009B395D" w:rsidRDefault="009B395D" w:rsidP="00F62FE1">
            <w:r>
              <w:t xml:space="preserve">L’ensemble des ces modalités ont </w:t>
            </w:r>
            <w:r w:rsidR="00F40E22">
              <w:t>également une bonne qualité de représentation</w:t>
            </w:r>
            <w:r>
              <w:t>.</w:t>
            </w:r>
          </w:p>
          <w:p w14:paraId="7E9571E9" w14:textId="730B34BF" w:rsidR="009B395D" w:rsidRPr="00F40E22" w:rsidRDefault="009B395D" w:rsidP="00F62FE1">
            <w:pPr>
              <w:rPr>
                <w:i/>
                <w:iCs/>
              </w:rPr>
            </w:pPr>
            <w:r w:rsidRPr="00F40E22">
              <w:rPr>
                <w:i/>
                <w:iCs/>
              </w:rPr>
              <w:t>Nous pouvons donc déduire qu’elles sont bien représentées sur les deux axes.</w:t>
            </w:r>
          </w:p>
          <w:p w14:paraId="72B3E0F4" w14:textId="6BCBEB5A" w:rsidR="00274E20" w:rsidRPr="00274E20" w:rsidRDefault="00274E20" w:rsidP="00E94AAC"/>
        </w:tc>
        <w:tc>
          <w:tcPr>
            <w:tcW w:w="5210" w:type="dxa"/>
            <w:shd w:val="clear" w:color="auto" w:fill="F8F8F8"/>
          </w:tcPr>
          <w:p w14:paraId="3201BA6A" w14:textId="77777777" w:rsidR="00902345" w:rsidRPr="00E94BE2" w:rsidRDefault="001D4792" w:rsidP="00E94BE2">
            <w:pPr>
              <w:pStyle w:val="Paragraphedeliste"/>
              <w:numPr>
                <w:ilvl w:val="0"/>
                <w:numId w:val="2"/>
              </w:numPr>
              <w:rPr>
                <w:b/>
                <w:bCs/>
                <w:u w:val="single"/>
              </w:rPr>
            </w:pPr>
            <w:r w:rsidRPr="00E94BE2">
              <w:rPr>
                <w:b/>
                <w:bCs/>
                <w:u w:val="single"/>
              </w:rPr>
              <w:t xml:space="preserve">Nuage des modalités </w:t>
            </w:r>
            <w:r w:rsidR="002973E9" w:rsidRPr="00E94BE2">
              <w:rPr>
                <w:b/>
                <w:bCs/>
                <w:u w:val="single"/>
              </w:rPr>
              <w:t>colonnes</w:t>
            </w:r>
          </w:p>
          <w:p w14:paraId="0759400A" w14:textId="776AB1A0" w:rsidR="00274E20" w:rsidRDefault="00274E20" w:rsidP="00274E20">
            <w:r>
              <w:t xml:space="preserve">Sur le premier axe factoriel, </w:t>
            </w:r>
            <w:r w:rsidRPr="00E94AAC">
              <w:t xml:space="preserve">les modalités </w:t>
            </w:r>
            <w:proofErr w:type="spellStart"/>
            <w:r w:rsidR="00CE021B" w:rsidRPr="00CE021B">
              <w:rPr>
                <w:b/>
                <w:bCs/>
              </w:rPr>
              <w:t>e</w:t>
            </w:r>
            <w:r w:rsidR="00450788" w:rsidRPr="007F1891">
              <w:rPr>
                <w:b/>
                <w:bCs/>
              </w:rPr>
              <w:t>levage</w:t>
            </w:r>
            <w:proofErr w:type="spellEnd"/>
            <w:r w:rsidR="00450788" w:rsidRPr="007F1891">
              <w:rPr>
                <w:b/>
                <w:bCs/>
              </w:rPr>
              <w:t>/</w:t>
            </w:r>
            <w:r w:rsidR="00450788">
              <w:rPr>
                <w:b/>
                <w:bCs/>
              </w:rPr>
              <w:t xml:space="preserve"> </w:t>
            </w:r>
            <w:proofErr w:type="spellStart"/>
            <w:proofErr w:type="gramStart"/>
            <w:r w:rsidR="00450788">
              <w:rPr>
                <w:b/>
                <w:bCs/>
              </w:rPr>
              <w:t>sylv</w:t>
            </w:r>
            <w:proofErr w:type="spellEnd"/>
            <w:r w:rsidR="00450788">
              <w:rPr>
                <w:b/>
                <w:bCs/>
              </w:rPr>
              <w:t>./</w:t>
            </w:r>
            <w:proofErr w:type="spellStart"/>
            <w:proofErr w:type="gramEnd"/>
            <w:r w:rsidR="00450788" w:rsidRPr="007F1891">
              <w:rPr>
                <w:b/>
                <w:bCs/>
              </w:rPr>
              <w:t>peche</w:t>
            </w:r>
            <w:proofErr w:type="spellEnd"/>
            <w:r>
              <w:t>,</w:t>
            </w:r>
            <w:r w:rsidRPr="00E94AAC">
              <w:t xml:space="preserve"> </w:t>
            </w:r>
            <w:r w:rsidRPr="00B97F06">
              <w:rPr>
                <w:b/>
                <w:bCs/>
              </w:rPr>
              <w:t>Inactif/non occup</w:t>
            </w:r>
            <w:r w:rsidR="00CE021B">
              <w:rPr>
                <w:b/>
                <w:bCs/>
              </w:rPr>
              <w:t>e</w:t>
            </w:r>
            <w:r w:rsidR="003B131C">
              <w:rPr>
                <w:b/>
                <w:bCs/>
              </w:rPr>
              <w:t xml:space="preserve"> </w:t>
            </w:r>
            <w:r w:rsidR="003B131C">
              <w:t>(14.</w:t>
            </w:r>
            <w:r w:rsidR="003B131C">
              <w:t>13</w:t>
            </w:r>
            <w:r w:rsidR="003B131C">
              <w:t>%)</w:t>
            </w:r>
            <w:r w:rsidRPr="00E94AAC">
              <w:t>,</w:t>
            </w:r>
            <w:r>
              <w:t xml:space="preserve"> </w:t>
            </w:r>
            <w:r w:rsidRPr="00B97F06">
              <w:rPr>
                <w:b/>
                <w:bCs/>
              </w:rPr>
              <w:t>commerce</w:t>
            </w:r>
            <w:r w:rsidR="003B131C">
              <w:rPr>
                <w:b/>
                <w:bCs/>
              </w:rPr>
              <w:t xml:space="preserve"> </w:t>
            </w:r>
            <w:r w:rsidR="003B131C">
              <w:t>(9.50%)</w:t>
            </w:r>
            <w:r>
              <w:t xml:space="preserve"> et</w:t>
            </w:r>
            <w:r w:rsidRPr="00E94AAC">
              <w:t xml:space="preserve"> </w:t>
            </w:r>
            <w:r w:rsidR="00CE021B">
              <w:rPr>
                <w:b/>
                <w:bCs/>
              </w:rPr>
              <w:t>a</w:t>
            </w:r>
            <w:r w:rsidRPr="00B97F06">
              <w:rPr>
                <w:b/>
                <w:bCs/>
              </w:rPr>
              <w:t>utres industries</w:t>
            </w:r>
            <w:r w:rsidR="003B131C">
              <w:rPr>
                <w:b/>
                <w:bCs/>
              </w:rPr>
              <w:t xml:space="preserve"> </w:t>
            </w:r>
            <w:r w:rsidR="003B131C">
              <w:t>(14.30%)</w:t>
            </w:r>
            <w:r w:rsidRPr="00E94AAC">
              <w:t xml:space="preserve"> </w:t>
            </w:r>
            <w:r>
              <w:t xml:space="preserve">ont les plus grandes contributions. Tandis que sur le second axe, à part les trois dernières modalités, seule la branche </w:t>
            </w:r>
            <w:r w:rsidRPr="00B97F06">
              <w:rPr>
                <w:b/>
                <w:bCs/>
              </w:rPr>
              <w:t>agricole</w:t>
            </w:r>
            <w:r w:rsidR="003B131C">
              <w:rPr>
                <w:b/>
                <w:bCs/>
              </w:rPr>
              <w:t xml:space="preserve"> </w:t>
            </w:r>
            <w:r w:rsidR="003B131C">
              <w:t>(56.30%)</w:t>
            </w:r>
            <w:r>
              <w:t xml:space="preserve"> présente une forte contribution.</w:t>
            </w:r>
          </w:p>
          <w:p w14:paraId="098C749D" w14:textId="77777777" w:rsidR="00274E20" w:rsidRDefault="00274E20" w:rsidP="00274E20">
            <w:r>
              <w:t>Toutes ces variables présentent également une bonne qualité de représentation sur les deux axes avec des cos</w:t>
            </w:r>
            <w:r>
              <w:rPr>
                <w:vertAlign w:val="superscript"/>
              </w:rPr>
              <w:t>2</w:t>
            </w:r>
            <w:r>
              <w:t>&gt;0.55.</w:t>
            </w:r>
          </w:p>
          <w:p w14:paraId="79C9EAEC" w14:textId="7746789D" w:rsidR="00274E20" w:rsidRPr="00B97F06" w:rsidRDefault="00274E20" w:rsidP="00274E20">
            <w:pPr>
              <w:rPr>
                <w:i/>
                <w:iCs/>
              </w:rPr>
            </w:pPr>
            <w:r w:rsidRPr="00B97F06">
              <w:rPr>
                <w:i/>
                <w:iCs/>
              </w:rPr>
              <w:t>Nous pouvons donc dire ces modalités sont bien représentées sur le plan factoriel</w:t>
            </w:r>
            <w:r w:rsidR="00B97F06" w:rsidRPr="00B97F06">
              <w:rPr>
                <w:i/>
                <w:iCs/>
              </w:rPr>
              <w:t>.</w:t>
            </w:r>
          </w:p>
        </w:tc>
      </w:tr>
    </w:tbl>
    <w:tbl>
      <w:tblPr>
        <w:tblStyle w:val="Grilledutableau"/>
        <w:tblpPr w:leftFromText="141" w:rightFromText="141" w:vertAnchor="text" w:horzAnchor="margin" w:tblpY="-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EED"/>
        <w:tblLook w:val="04A0" w:firstRow="1" w:lastRow="0" w:firstColumn="1" w:lastColumn="0" w:noHBand="0" w:noVBand="1"/>
      </w:tblPr>
      <w:tblGrid>
        <w:gridCol w:w="5136"/>
        <w:gridCol w:w="5138"/>
      </w:tblGrid>
      <w:tr w:rsidR="00E17737" w14:paraId="739E75B2" w14:textId="77777777" w:rsidTr="00E17737">
        <w:trPr>
          <w:trHeight w:val="460"/>
        </w:trPr>
        <w:tc>
          <w:tcPr>
            <w:tcW w:w="5136" w:type="dxa"/>
            <w:shd w:val="clear" w:color="auto" w:fill="DEEEED"/>
          </w:tcPr>
          <w:p w14:paraId="129BE00E" w14:textId="77777777" w:rsidR="00E17737" w:rsidRDefault="00E17737" w:rsidP="00E17737">
            <w:pPr>
              <w:pStyle w:val="Titre1"/>
            </w:pPr>
            <w:r>
              <w:rPr>
                <w:color w:val="7F7F7F" w:themeColor="text1" w:themeTint="80"/>
              </w:rPr>
              <w:lastRenderedPageBreak/>
              <w:t>Analyse du nuage global</w:t>
            </w:r>
          </w:p>
        </w:tc>
        <w:tc>
          <w:tcPr>
            <w:tcW w:w="5138" w:type="dxa"/>
            <w:shd w:val="clear" w:color="auto" w:fill="DEEEED"/>
          </w:tcPr>
          <w:p w14:paraId="00EF33AF" w14:textId="77777777" w:rsidR="00E17737" w:rsidRDefault="00E17737" w:rsidP="00E17737">
            <w:pPr>
              <w:pStyle w:val="Titre1"/>
            </w:pPr>
          </w:p>
        </w:tc>
      </w:tr>
      <w:tr w:rsidR="00E17737" w14:paraId="6DB07D97" w14:textId="77777777" w:rsidTr="00E17737">
        <w:trPr>
          <w:trHeight w:val="9007"/>
        </w:trPr>
        <w:tc>
          <w:tcPr>
            <w:tcW w:w="10274" w:type="dxa"/>
            <w:gridSpan w:val="2"/>
            <w:shd w:val="clear" w:color="auto" w:fill="DEEEED"/>
          </w:tcPr>
          <w:p w14:paraId="2116258D" w14:textId="77777777" w:rsidR="00E17737" w:rsidRDefault="00E17737" w:rsidP="00E17737">
            <w:r>
              <w:t xml:space="preserve">L’analyse du nuage global montre que le premier axe (axe horizontal) capte plus de la moitié de la dispersion globale. Il met en évidence une opposition entre </w:t>
            </w:r>
            <w:r w:rsidRPr="00BA37C9">
              <w:rPr>
                <w:b/>
                <w:bCs/>
              </w:rPr>
              <w:t>inactif/non occup</w:t>
            </w:r>
            <w:r>
              <w:rPr>
                <w:b/>
                <w:bCs/>
              </w:rPr>
              <w:t>e</w:t>
            </w:r>
            <w:r>
              <w:t xml:space="preserve"> et </w:t>
            </w:r>
            <w:r w:rsidRPr="00BA37C9">
              <w:rPr>
                <w:b/>
                <w:bCs/>
              </w:rPr>
              <w:t>toutes les autres branches d’activité</w:t>
            </w:r>
            <w:r>
              <w:t xml:space="preserve"> d’une part, et d’autre part, entre </w:t>
            </w:r>
            <w:r w:rsidRPr="00BA37C9">
              <w:rPr>
                <w:b/>
                <w:bCs/>
              </w:rPr>
              <w:t>Diarrhée, Toux, rhume</w:t>
            </w:r>
            <w:r>
              <w:t xml:space="preserve"> et </w:t>
            </w:r>
            <w:r w:rsidRPr="00BA37C9">
              <w:rPr>
                <w:b/>
                <w:bCs/>
              </w:rPr>
              <w:t>Problème d’estomac, Douleurs/fatigue</w:t>
            </w:r>
            <w:r>
              <w:t xml:space="preserve">.  Le deuxième axe (axe vertical) quant à lui concentre un peu moins de 20% de l’inertie totale. Il met en relief une opposition entre la </w:t>
            </w:r>
            <w:r w:rsidRPr="007F1891">
              <w:rPr>
                <w:b/>
                <w:bCs/>
              </w:rPr>
              <w:t>branche Agriculture</w:t>
            </w:r>
            <w:r>
              <w:t xml:space="preserve"> et les branches </w:t>
            </w:r>
            <w:r w:rsidRPr="007F1891">
              <w:rPr>
                <w:b/>
                <w:bCs/>
              </w:rPr>
              <w:t>Elevage/</w:t>
            </w:r>
            <w:proofErr w:type="spellStart"/>
            <w:proofErr w:type="gramStart"/>
            <w:r>
              <w:rPr>
                <w:b/>
                <w:bCs/>
              </w:rPr>
              <w:t>sylv</w:t>
            </w:r>
            <w:proofErr w:type="spellEnd"/>
            <w:r>
              <w:rPr>
                <w:b/>
                <w:bCs/>
              </w:rPr>
              <w:t>./</w:t>
            </w:r>
            <w:proofErr w:type="spellStart"/>
            <w:proofErr w:type="gramEnd"/>
            <w:r w:rsidRPr="007F1891">
              <w:rPr>
                <w:b/>
                <w:bCs/>
              </w:rPr>
              <w:t>peche</w:t>
            </w:r>
            <w:proofErr w:type="spellEnd"/>
            <w:r w:rsidRPr="007F1891">
              <w:rPr>
                <w:b/>
                <w:bCs/>
              </w:rPr>
              <w:t>, commerce, Autr</w:t>
            </w:r>
            <w:r>
              <w:rPr>
                <w:b/>
                <w:bCs/>
              </w:rPr>
              <w:t xml:space="preserve">es </w:t>
            </w:r>
            <w:r w:rsidRPr="007F1891">
              <w:rPr>
                <w:b/>
                <w:bCs/>
              </w:rPr>
              <w:t>indust</w:t>
            </w:r>
            <w:r>
              <w:rPr>
                <w:b/>
                <w:bCs/>
              </w:rPr>
              <w:t>ries</w:t>
            </w:r>
            <w:r>
              <w:t xml:space="preserve"> auxquelles s’ajoutent </w:t>
            </w:r>
            <w:r w:rsidRPr="00D605D6">
              <w:rPr>
                <w:b/>
                <w:bCs/>
              </w:rPr>
              <w:t>Inactif/non occupe</w:t>
            </w:r>
            <w:r>
              <w:t xml:space="preserve"> d’une part, et d’autre part, entre la modalité </w:t>
            </w:r>
            <w:r>
              <w:rPr>
                <w:b/>
              </w:rPr>
              <w:t>p</w:t>
            </w:r>
            <w:r w:rsidRPr="00D605D6">
              <w:rPr>
                <w:b/>
                <w:bCs/>
              </w:rPr>
              <w:t xml:space="preserve">as </w:t>
            </w:r>
            <w:r>
              <w:rPr>
                <w:b/>
                <w:bCs/>
              </w:rPr>
              <w:t>t</w:t>
            </w:r>
            <w:r w:rsidRPr="00D605D6">
              <w:rPr>
                <w:b/>
                <w:bCs/>
              </w:rPr>
              <w:t xml:space="preserve">ombé </w:t>
            </w:r>
            <w:r>
              <w:rPr>
                <w:b/>
                <w:bCs/>
              </w:rPr>
              <w:t>m</w:t>
            </w:r>
            <w:r w:rsidRPr="00D605D6">
              <w:rPr>
                <w:b/>
                <w:bCs/>
              </w:rPr>
              <w:t>alade  (PTM)</w:t>
            </w:r>
            <w:r>
              <w:t xml:space="preserve"> et les modalités </w:t>
            </w:r>
            <w:r>
              <w:rPr>
                <w:b/>
              </w:rPr>
              <w:t>d</w:t>
            </w:r>
            <w:r w:rsidRPr="00D605D6">
              <w:rPr>
                <w:b/>
                <w:bCs/>
              </w:rPr>
              <w:t xml:space="preserve">iarrhée, </w:t>
            </w:r>
            <w:r>
              <w:rPr>
                <w:b/>
                <w:bCs/>
              </w:rPr>
              <w:t>t</w:t>
            </w:r>
            <w:r w:rsidRPr="00D605D6">
              <w:rPr>
                <w:b/>
                <w:bCs/>
              </w:rPr>
              <w:t>oux, rhume</w:t>
            </w:r>
            <w:r>
              <w:t xml:space="preserve">. </w:t>
            </w:r>
          </w:p>
          <w:p w14:paraId="69AB6936" w14:textId="77777777" w:rsidR="00E17737" w:rsidRDefault="00E17737" w:rsidP="00E17737">
            <w:r>
              <w:t>L’analyse du nuage des modalités met en exergue une proximité entre les modalités Toux, rhume, inactif/non occupe et Agriculture. De plus, elle met en évidence une faible proximité entre les modalités Elevage/</w:t>
            </w:r>
            <w:proofErr w:type="spellStart"/>
            <w:proofErr w:type="gramStart"/>
            <w:r>
              <w:t>sylv</w:t>
            </w:r>
            <w:proofErr w:type="spellEnd"/>
            <w:r>
              <w:t>./</w:t>
            </w:r>
            <w:proofErr w:type="spellStart"/>
            <w:proofErr w:type="gramEnd"/>
            <w:r>
              <w:t>peche</w:t>
            </w:r>
            <w:proofErr w:type="spellEnd"/>
            <w:r>
              <w:t xml:space="preserve">, Problème d’estomac et Douleur/fatigue. </w:t>
            </w:r>
          </w:p>
          <w:p w14:paraId="6FF03865" w14:textId="77777777" w:rsidR="00E17737" w:rsidRDefault="00E17737" w:rsidP="00E17737">
            <w:r>
              <w:rPr>
                <w:noProof/>
              </w:rPr>
              <w:drawing>
                <wp:anchor distT="0" distB="0" distL="114300" distR="114300" simplePos="0" relativeHeight="251667456" behindDoc="0" locked="0" layoutInCell="1" allowOverlap="1" wp14:anchorId="26CEF049" wp14:editId="6BE4DFAF">
                  <wp:simplePos x="0" y="0"/>
                  <wp:positionH relativeFrom="margin">
                    <wp:posOffset>1044698</wp:posOffset>
                  </wp:positionH>
                  <wp:positionV relativeFrom="paragraph">
                    <wp:posOffset>1359105</wp:posOffset>
                  </wp:positionV>
                  <wp:extent cx="4490720" cy="2318385"/>
                  <wp:effectExtent l="0" t="0" r="5080" b="5715"/>
                  <wp:wrapSquare wrapText="bothSides"/>
                  <wp:docPr id="129386617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0720" cy="2318385"/>
                          </a:xfrm>
                          <a:prstGeom prst="rect">
                            <a:avLst/>
                          </a:prstGeom>
                          <a:noFill/>
                        </pic:spPr>
                      </pic:pic>
                    </a:graphicData>
                  </a:graphic>
                  <wp14:sizeRelH relativeFrom="margin">
                    <wp14:pctWidth>0</wp14:pctWidth>
                  </wp14:sizeRelH>
                  <wp14:sizeRelV relativeFrom="margin">
                    <wp14:pctHeight>0</wp14:pctHeight>
                  </wp14:sizeRelV>
                </wp:anchor>
              </w:drawing>
            </w:r>
            <w:r>
              <w:t xml:space="preserve">Par suite, l’analyse décèle une association modérée entre d’une part les branches Autres industries et commerce et la maladie problème d’estomac, et d’autre part, entre Inactif/ non occupe et les maladies Toux, rhum et problème de tension. Autrement dit, les personnes qui évoluent dans le commerce et les autres industries ont plus tendance à avoir des maux d’estomac, et ceux qui ne travaillent pas contracteraient plus facilement la toux et le rhume. Aussi, l’analyse laisserait entendre que les éleveurs, les sylviculteurs, les pêcheurs et ceux qui sont dans les autres services sont plus vulnérables à la fatigue, aux douleurs et problème d’estomac. </w:t>
            </w:r>
          </w:p>
        </w:tc>
      </w:tr>
    </w:tbl>
    <w:p w14:paraId="562BCA2E" w14:textId="77777777" w:rsidR="00E17737" w:rsidRDefault="00E17737" w:rsidP="00D02A41"/>
    <w:tbl>
      <w:tblPr>
        <w:tblStyle w:val="Grilledutableau"/>
        <w:tblW w:w="104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1C7E64" w14:paraId="0EC6D658" w14:textId="77777777" w:rsidTr="00002001">
        <w:trPr>
          <w:trHeight w:val="548"/>
        </w:trPr>
        <w:tc>
          <w:tcPr>
            <w:tcW w:w="10456" w:type="dxa"/>
            <w:shd w:val="clear" w:color="auto" w:fill="595959" w:themeFill="text1" w:themeFillTint="A6"/>
            <w:vAlign w:val="center"/>
          </w:tcPr>
          <w:p w14:paraId="60A0AAD7" w14:textId="75065B46" w:rsidR="001C7E64" w:rsidRDefault="001C7E64" w:rsidP="008840D5">
            <w:pPr>
              <w:pStyle w:val="Titre1"/>
              <w:jc w:val="left"/>
              <w:rPr>
                <w:lang w:val="en-GB"/>
              </w:rPr>
            </w:pPr>
            <w:r>
              <w:rPr>
                <w:lang w:val="en-GB"/>
              </w:rPr>
              <w:t>Conclusion</w:t>
            </w:r>
          </w:p>
        </w:tc>
      </w:tr>
      <w:tr w:rsidR="001C7E64" w14:paraId="2198C668" w14:textId="77777777" w:rsidTr="006C5AFD">
        <w:tc>
          <w:tcPr>
            <w:tcW w:w="10456" w:type="dxa"/>
            <w:shd w:val="clear" w:color="auto" w:fill="F8F8F8"/>
          </w:tcPr>
          <w:p w14:paraId="63B7E8DD" w14:textId="77777777" w:rsidR="001C7E64" w:rsidRDefault="00CC72AD" w:rsidP="00E17737">
            <w:r w:rsidRPr="00CC72AD">
              <w:t>L'étude menée a permis d'analyser la liaison entre la branche d'activité des individus et les problèmes de santé qu'ils rencontrent au Niger. Les résultats de l'analyse factorielle des correspondances (AFC) ont révélé plusieurs associations significatives entre les deux variables. Certaines branches d’activité telles que le commerce et les autres industries sont associées à un plus haut risque de problèmes d’estomac tandis que les éleveurs, pêcheurs sont plus exposés aux douleurs, à la fatigue. Ces résultats ont des implications importantes pour la santé publique au Niger. L’action des pouvoirs publiques nigériens est donc nécessaire pour améliorer l’état de santé générale de la population par – par exemple – la régulation des conditions de travail, l’amélioration des conditions d’exercice du travail p</w:t>
            </w:r>
            <w:r w:rsidR="00E93D0D">
              <w:t>ou</w:t>
            </w:r>
            <w:r w:rsidRPr="00CC72AD">
              <w:t>r tous.</w:t>
            </w:r>
            <w:r w:rsidR="003F67B0">
              <w:t xml:space="preserve"> </w:t>
            </w:r>
          </w:p>
          <w:p w14:paraId="3489B2AF" w14:textId="55208D99" w:rsidR="003F67B0" w:rsidRDefault="009336C7" w:rsidP="003F67B0">
            <w:pPr>
              <w:spacing w:before="120"/>
            </w:pPr>
            <w:r>
              <w:t xml:space="preserve">Néanmoins, l’approche par AFC se révèle subjective et peu recommandable en termes de prédictions. De plus, cette analyse ne permet pas tirer des facteurs pouvant influencer la santé. L’étude pourrait être améliorée par une approche </w:t>
            </w:r>
            <w:r w:rsidR="00D90217">
              <w:t>AFD (Analyse factorielle Discrim</w:t>
            </w:r>
            <w:r w:rsidR="004E190A">
              <w:t>in</w:t>
            </w:r>
            <w:r w:rsidR="00D90217">
              <w:t>ante) ou Machine Learning</w:t>
            </w:r>
            <w:r w:rsidR="00393C88">
              <w:t xml:space="preserve"> combinée à une modélisation afin de prendre en compte d’autres facteurs pouvant impacter la santé des travailleurs.</w:t>
            </w:r>
          </w:p>
        </w:tc>
      </w:tr>
    </w:tbl>
    <w:p w14:paraId="206753D7" w14:textId="77777777" w:rsidR="00CA7F86" w:rsidRPr="00CA7F86" w:rsidRDefault="00CA7F86" w:rsidP="00CA7F86"/>
    <w:p w14:paraId="4C338A7F" w14:textId="70551A60" w:rsidR="00CA7F86" w:rsidRPr="00CA7F86" w:rsidRDefault="00CA7F86" w:rsidP="00CA7F86">
      <w:pPr>
        <w:tabs>
          <w:tab w:val="left" w:pos="4445"/>
        </w:tabs>
      </w:pPr>
      <w:r>
        <w:tab/>
      </w:r>
    </w:p>
    <w:sectPr w:rsidR="00CA7F86" w:rsidRPr="00CA7F86" w:rsidSect="009871E4">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2819E" w14:textId="77777777" w:rsidR="00CD5332" w:rsidRDefault="00CD5332" w:rsidP="00654885">
      <w:pPr>
        <w:spacing w:after="0"/>
      </w:pPr>
      <w:r>
        <w:separator/>
      </w:r>
    </w:p>
  </w:endnote>
  <w:endnote w:type="continuationSeparator" w:id="0">
    <w:p w14:paraId="3A5162AA" w14:textId="77777777" w:rsidR="00CD5332" w:rsidRDefault="00CD5332" w:rsidP="006548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4B304" w14:textId="069C4E1B" w:rsidR="00E17737" w:rsidRDefault="00CA7F86" w:rsidP="00CA7F86">
    <w:pPr>
      <w:pStyle w:val="Pieddepage"/>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71BC6" w14:textId="77777777" w:rsidR="00CD5332" w:rsidRDefault="00CD5332" w:rsidP="00654885">
      <w:pPr>
        <w:spacing w:after="0"/>
      </w:pPr>
      <w:r>
        <w:separator/>
      </w:r>
    </w:p>
  </w:footnote>
  <w:footnote w:type="continuationSeparator" w:id="0">
    <w:p w14:paraId="24BCD641" w14:textId="77777777" w:rsidR="00CD5332" w:rsidRDefault="00CD5332" w:rsidP="00654885">
      <w:pPr>
        <w:spacing w:after="0"/>
      </w:pPr>
      <w:r>
        <w:continuationSeparator/>
      </w:r>
    </w:p>
  </w:footnote>
  <w:footnote w:id="1">
    <w:p w14:paraId="01AFB672" w14:textId="110880F1" w:rsidR="006C1C69" w:rsidRPr="006C1C69" w:rsidRDefault="006C1C69">
      <w:pPr>
        <w:pStyle w:val="Notedebasdepage"/>
      </w:pPr>
      <w:r w:rsidRPr="006C1C69">
        <w:rPr>
          <w:sz w:val="16"/>
          <w:szCs w:val="16"/>
          <w:lang w:val="en-US"/>
        </w:rPr>
        <w:footnoteRef/>
      </w:r>
      <w:r w:rsidRPr="00654508">
        <w:rPr>
          <w:sz w:val="16"/>
          <w:szCs w:val="16"/>
        </w:rPr>
        <w:t xml:space="preserve"> Enquête harmonisée des </w:t>
      </w:r>
      <w:r w:rsidR="00A95AC0" w:rsidRPr="00654508">
        <w:rPr>
          <w:sz w:val="16"/>
          <w:szCs w:val="16"/>
        </w:rPr>
        <w:t>C</w:t>
      </w:r>
      <w:r w:rsidRPr="00654508">
        <w:rPr>
          <w:sz w:val="16"/>
          <w:szCs w:val="16"/>
        </w:rPr>
        <w:t xml:space="preserve">onditions de </w:t>
      </w:r>
      <w:r w:rsidR="00A95AC0" w:rsidRPr="00654508">
        <w:rPr>
          <w:sz w:val="16"/>
          <w:szCs w:val="16"/>
        </w:rPr>
        <w:t>V</w:t>
      </w:r>
      <w:r w:rsidRPr="00654508">
        <w:rPr>
          <w:sz w:val="16"/>
          <w:szCs w:val="16"/>
        </w:rPr>
        <w:t xml:space="preserve">ie des </w:t>
      </w:r>
      <w:r w:rsidR="00A95AC0" w:rsidRPr="00654508">
        <w:rPr>
          <w:sz w:val="16"/>
          <w:szCs w:val="16"/>
        </w:rPr>
        <w:t>M</w:t>
      </w:r>
      <w:r w:rsidRPr="00654508">
        <w:rPr>
          <w:sz w:val="16"/>
          <w:szCs w:val="16"/>
        </w:rPr>
        <w:t>énages</w:t>
      </w:r>
    </w:p>
  </w:footnote>
  <w:footnote w:id="2">
    <w:p w14:paraId="2AC31889" w14:textId="7E152465" w:rsidR="003B1802" w:rsidRPr="00F26015" w:rsidRDefault="003B1802">
      <w:pPr>
        <w:pStyle w:val="Notedebasdepage"/>
        <w:rPr>
          <w:sz w:val="16"/>
          <w:szCs w:val="16"/>
          <w:lang w:val="en-US"/>
        </w:rPr>
      </w:pPr>
      <w:r w:rsidRPr="00F556D1">
        <w:rPr>
          <w:rStyle w:val="Appelnotedebasdep"/>
          <w:sz w:val="16"/>
          <w:szCs w:val="16"/>
        </w:rPr>
        <w:footnoteRef/>
      </w:r>
      <w:r w:rsidRPr="00F556D1">
        <w:rPr>
          <w:sz w:val="16"/>
          <w:szCs w:val="16"/>
          <w:lang w:val="en-GB"/>
        </w:rPr>
        <w:t xml:space="preserve"> </w:t>
      </w:r>
      <w:r w:rsidRPr="00F556D1">
        <w:rPr>
          <w:sz w:val="16"/>
          <w:szCs w:val="16"/>
          <w:lang w:val="en-US"/>
        </w:rPr>
        <w:t xml:space="preserve">A review of the health problems of the internally displaced persons in Africa, Eme T </w:t>
      </w:r>
      <w:proofErr w:type="spellStart"/>
      <w:r w:rsidRPr="00F556D1">
        <w:rPr>
          <w:sz w:val="16"/>
          <w:szCs w:val="16"/>
          <w:lang w:val="en-US"/>
        </w:rPr>
        <w:t>Owoaje</w:t>
      </w:r>
      <w:proofErr w:type="spellEnd"/>
      <w:r w:rsidRPr="00F556D1">
        <w:rPr>
          <w:sz w:val="16"/>
          <w:szCs w:val="16"/>
          <w:lang w:val="en-US"/>
        </w:rPr>
        <w:t xml:space="preserve">, Obioma C Uchendu, </w:t>
      </w:r>
      <w:proofErr w:type="spellStart"/>
      <w:r w:rsidRPr="00F556D1">
        <w:rPr>
          <w:sz w:val="16"/>
          <w:szCs w:val="16"/>
          <w:lang w:val="en-US"/>
        </w:rPr>
        <w:t>Tumininu</w:t>
      </w:r>
      <w:proofErr w:type="spellEnd"/>
      <w:r w:rsidRPr="00F556D1">
        <w:rPr>
          <w:sz w:val="16"/>
          <w:szCs w:val="16"/>
          <w:lang w:val="en-US"/>
        </w:rPr>
        <w:t xml:space="preserve"> O Ajayi, Eniola O Cadmus</w:t>
      </w:r>
    </w:p>
  </w:footnote>
  <w:footnote w:id="3">
    <w:p w14:paraId="5AD3FB48" w14:textId="77777777" w:rsidR="00F26015" w:rsidRPr="00F26015" w:rsidRDefault="00F26015" w:rsidP="00F26015">
      <w:pPr>
        <w:pStyle w:val="Notedebasdepage"/>
        <w:rPr>
          <w:sz w:val="16"/>
          <w:szCs w:val="16"/>
        </w:rPr>
      </w:pPr>
      <w:r w:rsidRPr="00F26015">
        <w:rPr>
          <w:rStyle w:val="Appelnotedebasdep"/>
          <w:sz w:val="16"/>
          <w:szCs w:val="16"/>
        </w:rPr>
        <w:footnoteRef/>
      </w:r>
      <w:r w:rsidRPr="00F26015">
        <w:rPr>
          <w:sz w:val="16"/>
          <w:szCs w:val="16"/>
        </w:rPr>
        <w:t xml:space="preserve"> </w:t>
      </w:r>
      <w:r w:rsidRPr="00F26015">
        <w:rPr>
          <w:sz w:val="16"/>
          <w:szCs w:val="16"/>
        </w:rPr>
        <w:t>Annuaire des Statistiques, Niger 2022 - Direction des Statistiques /Ministère de la Santé Publique, de la Population et des Affaires Sociales</w:t>
      </w:r>
    </w:p>
    <w:p w14:paraId="3A6C263D" w14:textId="115BE415" w:rsidR="00F26015" w:rsidRDefault="00F26015">
      <w:pPr>
        <w:pStyle w:val="Notedebasdepage"/>
      </w:pPr>
    </w:p>
  </w:footnote>
  <w:footnote w:id="4">
    <w:p w14:paraId="6AA4F69B" w14:textId="064E33E8" w:rsidR="00F519E2" w:rsidRPr="00F519E2" w:rsidRDefault="00F519E2">
      <w:pPr>
        <w:pStyle w:val="Notedebasdepage"/>
        <w:rPr>
          <w:sz w:val="16"/>
          <w:szCs w:val="16"/>
        </w:rPr>
      </w:pPr>
      <w:r w:rsidRPr="00F519E2">
        <w:rPr>
          <w:rStyle w:val="Appelnotedebasdep"/>
          <w:sz w:val="16"/>
          <w:szCs w:val="16"/>
        </w:rPr>
        <w:footnoteRef/>
      </w:r>
      <w:r w:rsidRPr="00F519E2">
        <w:rPr>
          <w:sz w:val="16"/>
          <w:szCs w:val="16"/>
        </w:rPr>
        <w:t xml:space="preserve"> </w:t>
      </w:r>
      <w:r w:rsidRPr="00F519E2">
        <w:rPr>
          <w:noProof/>
          <w:sz w:val="16"/>
          <w:szCs w:val="16"/>
        </w:rPr>
        <w:t>L</w:t>
      </w:r>
      <w:r w:rsidRPr="00F519E2">
        <w:rPr>
          <w:noProof/>
          <w:sz w:val="16"/>
          <w:szCs w:val="16"/>
        </w:rPr>
        <w:t>a notation &lt; 2.2e-16 indique qu’il est plus petit que la plus petite valeur proche de zéro calculable par R</w:t>
      </w:r>
      <w:r w:rsidR="0066769D">
        <w:rPr>
          <w:noProof/>
          <w:sz w:val="16"/>
          <w:szCs w:val="16"/>
        </w:rPr>
        <w:t xml:space="preserve"> (</w:t>
      </w:r>
      <w:r w:rsidR="0066769D" w:rsidRPr="0066769D">
        <w:rPr>
          <w:noProof/>
          <w:sz w:val="16"/>
          <w:szCs w:val="16"/>
        </w:rPr>
        <w:t>Introduction au Tidyverse, Julien Barnier</w:t>
      </w:r>
      <w:r w:rsidR="0066769D">
        <w:rPr>
          <w:noProof/>
          <w:sz w:val="16"/>
          <w:szCs w:val="16"/>
        </w:rPr>
        <w:t>)</w:t>
      </w:r>
      <w:r w:rsidR="0066769D" w:rsidRPr="0066769D">
        <w:rPr>
          <w:noProof/>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E5245"/>
    <w:multiLevelType w:val="hybridMultilevel"/>
    <w:tmpl w:val="FC48E170"/>
    <w:lvl w:ilvl="0" w:tplc="1D7A2F40">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F62A76"/>
    <w:multiLevelType w:val="hybridMultilevel"/>
    <w:tmpl w:val="14787D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57439459">
    <w:abstractNumId w:val="0"/>
  </w:num>
  <w:num w:numId="2" w16cid:durableId="826164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14"/>
    <w:rsid w:val="00002001"/>
    <w:rsid w:val="0000354E"/>
    <w:rsid w:val="00005BAA"/>
    <w:rsid w:val="0002437F"/>
    <w:rsid w:val="000503D4"/>
    <w:rsid w:val="00072CB1"/>
    <w:rsid w:val="00075D7C"/>
    <w:rsid w:val="000C6540"/>
    <w:rsid w:val="000D59A6"/>
    <w:rsid w:val="000E59AD"/>
    <w:rsid w:val="001127D7"/>
    <w:rsid w:val="00115227"/>
    <w:rsid w:val="00132F9C"/>
    <w:rsid w:val="00163F4F"/>
    <w:rsid w:val="00170B69"/>
    <w:rsid w:val="001B61F2"/>
    <w:rsid w:val="001C7E64"/>
    <w:rsid w:val="001D4792"/>
    <w:rsid w:val="001D7D5E"/>
    <w:rsid w:val="00234BB7"/>
    <w:rsid w:val="00250075"/>
    <w:rsid w:val="0025133B"/>
    <w:rsid w:val="0026583C"/>
    <w:rsid w:val="00266F06"/>
    <w:rsid w:val="00274DC8"/>
    <w:rsid w:val="00274E20"/>
    <w:rsid w:val="00287B3D"/>
    <w:rsid w:val="00290F2F"/>
    <w:rsid w:val="002973E9"/>
    <w:rsid w:val="002A5B0C"/>
    <w:rsid w:val="002A71DC"/>
    <w:rsid w:val="002C1E04"/>
    <w:rsid w:val="002C6951"/>
    <w:rsid w:val="002F1101"/>
    <w:rsid w:val="00304329"/>
    <w:rsid w:val="00312AA4"/>
    <w:rsid w:val="00352733"/>
    <w:rsid w:val="00361918"/>
    <w:rsid w:val="00393C88"/>
    <w:rsid w:val="003A5B9E"/>
    <w:rsid w:val="003B0F2D"/>
    <w:rsid w:val="003B131C"/>
    <w:rsid w:val="003B1802"/>
    <w:rsid w:val="003C3E53"/>
    <w:rsid w:val="003F67B0"/>
    <w:rsid w:val="004075C3"/>
    <w:rsid w:val="00422B00"/>
    <w:rsid w:val="004332DA"/>
    <w:rsid w:val="00450788"/>
    <w:rsid w:val="00482682"/>
    <w:rsid w:val="004E190A"/>
    <w:rsid w:val="004E7FA9"/>
    <w:rsid w:val="005C1060"/>
    <w:rsid w:val="005E7735"/>
    <w:rsid w:val="00610C62"/>
    <w:rsid w:val="00654508"/>
    <w:rsid w:val="00654885"/>
    <w:rsid w:val="0066769D"/>
    <w:rsid w:val="006704E0"/>
    <w:rsid w:val="00680446"/>
    <w:rsid w:val="006A6404"/>
    <w:rsid w:val="006B1E1B"/>
    <w:rsid w:val="006C06A1"/>
    <w:rsid w:val="006C1C69"/>
    <w:rsid w:val="006C5AFD"/>
    <w:rsid w:val="006D4C41"/>
    <w:rsid w:val="006F1133"/>
    <w:rsid w:val="00702C12"/>
    <w:rsid w:val="00707FA0"/>
    <w:rsid w:val="00714968"/>
    <w:rsid w:val="00723305"/>
    <w:rsid w:val="00734183"/>
    <w:rsid w:val="007366B9"/>
    <w:rsid w:val="00764C84"/>
    <w:rsid w:val="00790EEF"/>
    <w:rsid w:val="007B6462"/>
    <w:rsid w:val="007E4AB4"/>
    <w:rsid w:val="007F1891"/>
    <w:rsid w:val="00813B95"/>
    <w:rsid w:val="00823FAB"/>
    <w:rsid w:val="008308C9"/>
    <w:rsid w:val="00853FD2"/>
    <w:rsid w:val="0089273D"/>
    <w:rsid w:val="008977C1"/>
    <w:rsid w:val="00902345"/>
    <w:rsid w:val="009221D5"/>
    <w:rsid w:val="0092496F"/>
    <w:rsid w:val="009336C7"/>
    <w:rsid w:val="00933AEE"/>
    <w:rsid w:val="009815E9"/>
    <w:rsid w:val="009871E4"/>
    <w:rsid w:val="009B395D"/>
    <w:rsid w:val="009C1858"/>
    <w:rsid w:val="009C4777"/>
    <w:rsid w:val="009E1807"/>
    <w:rsid w:val="009F3BD2"/>
    <w:rsid w:val="00A95AC0"/>
    <w:rsid w:val="00AA4E5A"/>
    <w:rsid w:val="00AA60F9"/>
    <w:rsid w:val="00AD115B"/>
    <w:rsid w:val="00AF7726"/>
    <w:rsid w:val="00B02ED5"/>
    <w:rsid w:val="00B71A29"/>
    <w:rsid w:val="00B813D5"/>
    <w:rsid w:val="00B822C2"/>
    <w:rsid w:val="00B87A13"/>
    <w:rsid w:val="00B97F06"/>
    <w:rsid w:val="00BA37C9"/>
    <w:rsid w:val="00BC039A"/>
    <w:rsid w:val="00BC6E50"/>
    <w:rsid w:val="00BD1A4F"/>
    <w:rsid w:val="00BE3F32"/>
    <w:rsid w:val="00BE6B7E"/>
    <w:rsid w:val="00CA7F86"/>
    <w:rsid w:val="00CC101D"/>
    <w:rsid w:val="00CC6141"/>
    <w:rsid w:val="00CC72AD"/>
    <w:rsid w:val="00CD0527"/>
    <w:rsid w:val="00CD5332"/>
    <w:rsid w:val="00CE021B"/>
    <w:rsid w:val="00CE602B"/>
    <w:rsid w:val="00D02A41"/>
    <w:rsid w:val="00D2121B"/>
    <w:rsid w:val="00D24E80"/>
    <w:rsid w:val="00D36849"/>
    <w:rsid w:val="00D50EE3"/>
    <w:rsid w:val="00D605D6"/>
    <w:rsid w:val="00D85BA1"/>
    <w:rsid w:val="00D90217"/>
    <w:rsid w:val="00DA3D12"/>
    <w:rsid w:val="00DB014A"/>
    <w:rsid w:val="00DB0609"/>
    <w:rsid w:val="00DB0A67"/>
    <w:rsid w:val="00E0254C"/>
    <w:rsid w:val="00E027A7"/>
    <w:rsid w:val="00E10A54"/>
    <w:rsid w:val="00E10F70"/>
    <w:rsid w:val="00E11474"/>
    <w:rsid w:val="00E17737"/>
    <w:rsid w:val="00E2631F"/>
    <w:rsid w:val="00E35364"/>
    <w:rsid w:val="00E93D0D"/>
    <w:rsid w:val="00E94AAC"/>
    <w:rsid w:val="00E94BE2"/>
    <w:rsid w:val="00EB5514"/>
    <w:rsid w:val="00EC49BA"/>
    <w:rsid w:val="00ED490B"/>
    <w:rsid w:val="00EE2BE0"/>
    <w:rsid w:val="00EF2976"/>
    <w:rsid w:val="00F21470"/>
    <w:rsid w:val="00F26015"/>
    <w:rsid w:val="00F40E22"/>
    <w:rsid w:val="00F50FDF"/>
    <w:rsid w:val="00F519E2"/>
    <w:rsid w:val="00F556D1"/>
    <w:rsid w:val="00F62FE1"/>
    <w:rsid w:val="00F76B77"/>
    <w:rsid w:val="00FD271D"/>
    <w:rsid w:val="00FE1C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FFF6"/>
  <w15:chartTrackingRefBased/>
  <w15:docId w15:val="{FE727422-0D24-46CE-8B19-6F7E1334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D12"/>
    <w:pPr>
      <w:spacing w:after="120" w:line="240" w:lineRule="auto"/>
      <w:jc w:val="both"/>
    </w:pPr>
    <w:rPr>
      <w:rFonts w:ascii="Segoe UI" w:hAnsi="Segoe UI"/>
    </w:rPr>
  </w:style>
  <w:style w:type="paragraph" w:styleId="Titre1">
    <w:name w:val="heading 1"/>
    <w:basedOn w:val="Normal"/>
    <w:next w:val="Normal"/>
    <w:link w:val="Titre1Car"/>
    <w:uiPriority w:val="9"/>
    <w:qFormat/>
    <w:rsid w:val="00E11474"/>
    <w:pPr>
      <w:keepNext/>
      <w:keepLines/>
      <w:outlineLvl w:val="0"/>
    </w:pPr>
    <w:rPr>
      <w:rFonts w:eastAsiaTheme="majorEastAsia" w:cstheme="majorBidi"/>
      <w:b/>
      <w:color w:val="FFFFFF" w:themeColor="background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87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11474"/>
    <w:rPr>
      <w:rFonts w:ascii="Tahoma" w:eastAsiaTheme="majorEastAsia" w:hAnsi="Tahoma" w:cstheme="majorBidi"/>
      <w:b/>
      <w:color w:val="FFFFFF" w:themeColor="background1"/>
      <w:sz w:val="32"/>
      <w:szCs w:val="32"/>
    </w:rPr>
  </w:style>
  <w:style w:type="paragraph" w:styleId="Notedebasdepage">
    <w:name w:val="footnote text"/>
    <w:basedOn w:val="Normal"/>
    <w:link w:val="NotedebasdepageCar"/>
    <w:uiPriority w:val="99"/>
    <w:semiHidden/>
    <w:unhideWhenUsed/>
    <w:rsid w:val="003B1802"/>
    <w:pPr>
      <w:spacing w:after="0"/>
    </w:pPr>
    <w:rPr>
      <w:sz w:val="20"/>
      <w:szCs w:val="20"/>
    </w:rPr>
  </w:style>
  <w:style w:type="character" w:customStyle="1" w:styleId="NotedebasdepageCar">
    <w:name w:val="Note de bas de page Car"/>
    <w:basedOn w:val="Policepardfaut"/>
    <w:link w:val="Notedebasdepage"/>
    <w:uiPriority w:val="99"/>
    <w:semiHidden/>
    <w:rsid w:val="003B1802"/>
    <w:rPr>
      <w:rFonts w:ascii="Tahoma" w:hAnsi="Tahoma"/>
      <w:sz w:val="20"/>
      <w:szCs w:val="20"/>
    </w:rPr>
  </w:style>
  <w:style w:type="character" w:styleId="Appelnotedebasdep">
    <w:name w:val="footnote reference"/>
    <w:basedOn w:val="Policepardfaut"/>
    <w:uiPriority w:val="99"/>
    <w:semiHidden/>
    <w:unhideWhenUsed/>
    <w:rsid w:val="003B1802"/>
    <w:rPr>
      <w:vertAlign w:val="superscript"/>
    </w:rPr>
  </w:style>
  <w:style w:type="table" w:styleId="Tableausimple1">
    <w:name w:val="Plain Table 1"/>
    <w:basedOn w:val="TableauNormal"/>
    <w:uiPriority w:val="41"/>
    <w:rsid w:val="0092496F"/>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9249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Accentuation3">
    <w:name w:val="Grid Table 4 Accent 3"/>
    <w:basedOn w:val="TableauNormal"/>
    <w:uiPriority w:val="49"/>
    <w:rsid w:val="0092496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
    <w:name w:val="Grid Table 6 Colorful"/>
    <w:basedOn w:val="TableauNormal"/>
    <w:uiPriority w:val="51"/>
    <w:rsid w:val="00AD115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3">
    <w:name w:val="Grid Table 6 Colorful Accent 3"/>
    <w:basedOn w:val="TableauNormal"/>
    <w:uiPriority w:val="51"/>
    <w:rsid w:val="00AD115B"/>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phedeliste">
    <w:name w:val="List Paragraph"/>
    <w:basedOn w:val="Normal"/>
    <w:uiPriority w:val="34"/>
    <w:qFormat/>
    <w:rsid w:val="00422B00"/>
    <w:pPr>
      <w:ind w:left="720"/>
      <w:contextualSpacing/>
    </w:pPr>
  </w:style>
  <w:style w:type="paragraph" w:styleId="En-tte">
    <w:name w:val="header"/>
    <w:basedOn w:val="Normal"/>
    <w:link w:val="En-tteCar"/>
    <w:uiPriority w:val="99"/>
    <w:unhideWhenUsed/>
    <w:rsid w:val="00E17737"/>
    <w:pPr>
      <w:tabs>
        <w:tab w:val="center" w:pos="4536"/>
        <w:tab w:val="right" w:pos="9072"/>
      </w:tabs>
      <w:spacing w:after="0"/>
    </w:pPr>
  </w:style>
  <w:style w:type="character" w:customStyle="1" w:styleId="En-tteCar">
    <w:name w:val="En-tête Car"/>
    <w:basedOn w:val="Policepardfaut"/>
    <w:link w:val="En-tte"/>
    <w:uiPriority w:val="99"/>
    <w:rsid w:val="00E17737"/>
    <w:rPr>
      <w:rFonts w:ascii="Segoe UI" w:hAnsi="Segoe UI"/>
    </w:rPr>
  </w:style>
  <w:style w:type="paragraph" w:styleId="Pieddepage">
    <w:name w:val="footer"/>
    <w:basedOn w:val="Normal"/>
    <w:link w:val="PieddepageCar"/>
    <w:uiPriority w:val="99"/>
    <w:unhideWhenUsed/>
    <w:rsid w:val="00E17737"/>
    <w:pPr>
      <w:tabs>
        <w:tab w:val="center" w:pos="4536"/>
        <w:tab w:val="right" w:pos="9072"/>
      </w:tabs>
      <w:spacing w:after="0"/>
    </w:pPr>
  </w:style>
  <w:style w:type="character" w:customStyle="1" w:styleId="PieddepageCar">
    <w:name w:val="Pied de page Car"/>
    <w:basedOn w:val="Policepardfaut"/>
    <w:link w:val="Pieddepage"/>
    <w:uiPriority w:val="99"/>
    <w:rsid w:val="00E17737"/>
    <w:rPr>
      <w:rFonts w:ascii="Segoe UI"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265573">
      <w:bodyDiv w:val="1"/>
      <w:marLeft w:val="0"/>
      <w:marRight w:val="0"/>
      <w:marTop w:val="0"/>
      <w:marBottom w:val="0"/>
      <w:divBdr>
        <w:top w:val="none" w:sz="0" w:space="0" w:color="auto"/>
        <w:left w:val="none" w:sz="0" w:space="0" w:color="auto"/>
        <w:bottom w:val="none" w:sz="0" w:space="0" w:color="auto"/>
        <w:right w:val="none" w:sz="0" w:space="0" w:color="auto"/>
      </w:divBdr>
    </w:div>
    <w:div w:id="903875723">
      <w:bodyDiv w:val="1"/>
      <w:marLeft w:val="0"/>
      <w:marRight w:val="0"/>
      <w:marTop w:val="0"/>
      <w:marBottom w:val="0"/>
      <w:divBdr>
        <w:top w:val="none" w:sz="0" w:space="0" w:color="auto"/>
        <w:left w:val="none" w:sz="0" w:space="0" w:color="auto"/>
        <w:bottom w:val="none" w:sz="0" w:space="0" w:color="auto"/>
        <w:right w:val="none" w:sz="0" w:space="0" w:color="auto"/>
      </w:divBdr>
    </w:div>
    <w:div w:id="205707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baseline="0">
                <a:solidFill>
                  <a:schemeClr val="dk1">
                    <a:lumMod val="75000"/>
                    <a:lumOff val="25000"/>
                  </a:schemeClr>
                </a:solidFill>
                <a:latin typeface="Segoe UI" panose="020B0502040204020203" pitchFamily="34" charset="0"/>
                <a:ea typeface="+mn-ea"/>
                <a:cs typeface="Segoe UI" panose="020B0502040204020203" pitchFamily="34" charset="0"/>
              </a:defRPr>
            </a:pPr>
            <a:r>
              <a:rPr lang="fr-FR" sz="1050">
                <a:latin typeface="Segoe UI" panose="020B0502040204020203" pitchFamily="34" charset="0"/>
                <a:cs typeface="Segoe UI" panose="020B0502040204020203" pitchFamily="34" charset="0"/>
              </a:rPr>
              <a:t>Répartition</a:t>
            </a:r>
            <a:r>
              <a:rPr lang="fr-FR" sz="1050" baseline="0">
                <a:latin typeface="Segoe UI" panose="020B0502040204020203" pitchFamily="34" charset="0"/>
                <a:cs typeface="Segoe UI" panose="020B0502040204020203" pitchFamily="34" charset="0"/>
              </a:rPr>
              <a:t> selon la branche d'activité</a:t>
            </a:r>
            <a:endParaRPr lang="fr-FR" sz="1050">
              <a:latin typeface="Segoe UI" panose="020B0502040204020203" pitchFamily="34" charset="0"/>
              <a:cs typeface="Segoe UI" panose="020B0502040204020203" pitchFamily="34" charset="0"/>
            </a:endParaRPr>
          </a:p>
        </c:rich>
      </c:tx>
      <c:layout>
        <c:manualLayout>
          <c:xMode val="edge"/>
          <c:yMode val="edge"/>
          <c:x val="0.14826443986887611"/>
          <c:y val="0"/>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dk1">
                  <a:lumMod val="75000"/>
                  <a:lumOff val="25000"/>
                </a:schemeClr>
              </a:solidFill>
              <a:latin typeface="Segoe UI" panose="020B0502040204020203" pitchFamily="34" charset="0"/>
              <a:ea typeface="+mn-ea"/>
              <a:cs typeface="Segoe UI" panose="020B0502040204020203" pitchFamily="34" charset="0"/>
            </a:defRPr>
          </a:pPr>
          <a:endParaRPr lang="fr-FR"/>
        </a:p>
      </c:txPr>
    </c:title>
    <c:autoTitleDeleted val="0"/>
    <c:plotArea>
      <c:layout>
        <c:manualLayout>
          <c:layoutTarget val="inner"/>
          <c:xMode val="edge"/>
          <c:yMode val="edge"/>
          <c:x val="1.1611418825236343E-2"/>
          <c:y val="4.5306448495180344E-3"/>
          <c:w val="0.75903652668416444"/>
          <c:h val="0.95238197764341959"/>
        </c:manualLayout>
      </c:layout>
      <c:ofPieChart>
        <c:ofPieType val="bar"/>
        <c:varyColors val="1"/>
        <c:ser>
          <c:idx val="0"/>
          <c:order val="0"/>
          <c:dPt>
            <c:idx val="0"/>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B2D-4E0E-AC07-E1C320E8F69F}"/>
              </c:ext>
            </c:extLst>
          </c:dPt>
          <c:dPt>
            <c:idx val="1"/>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B2D-4E0E-AC07-E1C320E8F69F}"/>
              </c:ext>
            </c:extLst>
          </c:dPt>
          <c:dPt>
            <c:idx val="2"/>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B2D-4E0E-AC07-E1C320E8F69F}"/>
              </c:ext>
            </c:extLst>
          </c:dPt>
          <c:dPt>
            <c:idx val="3"/>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B2D-4E0E-AC07-E1C320E8F69F}"/>
              </c:ext>
            </c:extLst>
          </c:dPt>
          <c:dPt>
            <c:idx val="4"/>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9B2D-4E0E-AC07-E1C320E8F69F}"/>
              </c:ext>
            </c:extLst>
          </c:dPt>
          <c:dPt>
            <c:idx val="5"/>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9B2D-4E0E-AC07-E1C320E8F69F}"/>
              </c:ext>
            </c:extLst>
          </c:dPt>
          <c:dPt>
            <c:idx val="6"/>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9B2D-4E0E-AC07-E1C320E8F69F}"/>
              </c:ext>
            </c:extLst>
          </c:dPt>
          <c:dPt>
            <c:idx val="7"/>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9B2D-4E0E-AC07-E1C320E8F69F}"/>
              </c:ext>
            </c:extLst>
          </c:dPt>
          <c:dPt>
            <c:idx val="8"/>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9B2D-4E0E-AC07-E1C320E8F69F}"/>
              </c:ext>
            </c:extLst>
          </c:dPt>
          <c:dPt>
            <c:idx val="9"/>
            <c:bubble3D val="0"/>
            <c:spPr>
              <a:solidFill>
                <a:schemeClr val="accent6">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9B2D-4E0E-AC07-E1C320E8F69F}"/>
              </c:ext>
            </c:extLst>
          </c:dPt>
          <c:dPt>
            <c:idx val="10"/>
            <c:bubble3D val="0"/>
            <c:spPr>
              <a:solidFill>
                <a:schemeClr val="accent5">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9B2D-4E0E-AC07-E1C320E8F69F}"/>
              </c:ext>
            </c:extLst>
          </c:dPt>
          <c:dPt>
            <c:idx val="1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9B2D-4E0E-AC07-E1C320E8F69F}"/>
              </c:ext>
            </c:extLst>
          </c:dPt>
          <c:dPt>
            <c:idx val="12"/>
            <c:bubble3D val="0"/>
            <c:spPr>
              <a:solidFill>
                <a:schemeClr val="accent6">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9B2D-4E0E-AC07-E1C320E8F69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7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Feuil1!$A$4:$A$15</c:f>
              <c:strCache>
                <c:ptCount val="12"/>
                <c:pt idx="0">
                  <c:v>Inactif/non occupe</c:v>
                </c:pt>
                <c:pt idx="1">
                  <c:v>Agriculture</c:v>
                </c:pt>
                <c:pt idx="2">
                  <c:v>Elevage/syl./peche</c:v>
                </c:pt>
                <c:pt idx="3">
                  <c:v>Indust. extr.</c:v>
                </c:pt>
                <c:pt idx="4">
                  <c:v>Autr. indust.</c:v>
                </c:pt>
                <c:pt idx="5">
                  <c:v>BTP</c:v>
                </c:pt>
                <c:pt idx="6">
                  <c:v>Commerce</c:v>
                </c:pt>
                <c:pt idx="7">
                  <c:v>Restaurant/Hotel</c:v>
                </c:pt>
                <c:pt idx="8">
                  <c:v>Trans./Comm.</c:v>
                </c:pt>
                <c:pt idx="9">
                  <c:v>Education/Sante</c:v>
                </c:pt>
                <c:pt idx="10">
                  <c:v>Services perso.</c:v>
                </c:pt>
                <c:pt idx="11">
                  <c:v>Aut. services</c:v>
                </c:pt>
              </c:strCache>
            </c:strRef>
          </c:cat>
          <c:val>
            <c:numRef>
              <c:f>Feuil1!$B$4:$B$15</c:f>
              <c:numCache>
                <c:formatCode>General</c:formatCode>
                <c:ptCount val="12"/>
                <c:pt idx="0">
                  <c:v>19916</c:v>
                </c:pt>
                <c:pt idx="1">
                  <c:v>8459</c:v>
                </c:pt>
                <c:pt idx="2">
                  <c:v>4527</c:v>
                </c:pt>
                <c:pt idx="3">
                  <c:v>64</c:v>
                </c:pt>
                <c:pt idx="4">
                  <c:v>1711</c:v>
                </c:pt>
                <c:pt idx="5">
                  <c:v>258</c:v>
                </c:pt>
                <c:pt idx="6">
                  <c:v>1609</c:v>
                </c:pt>
                <c:pt idx="7">
                  <c:v>203</c:v>
                </c:pt>
                <c:pt idx="8">
                  <c:v>472</c:v>
                </c:pt>
                <c:pt idx="9">
                  <c:v>407</c:v>
                </c:pt>
                <c:pt idx="10">
                  <c:v>556</c:v>
                </c:pt>
                <c:pt idx="11">
                  <c:v>571</c:v>
                </c:pt>
              </c:numCache>
            </c:numRef>
          </c:val>
          <c:extLst>
            <c:ext xmlns:c16="http://schemas.microsoft.com/office/drawing/2014/chart" uri="{C3380CC4-5D6E-409C-BE32-E72D297353CC}">
              <c16:uniqueId val="{0000001A-9B2D-4E0E-AC07-E1C320E8F69F}"/>
            </c:ext>
          </c:extLst>
        </c:ser>
        <c:dLbls>
          <c:dLblPos val="ctr"/>
          <c:showLegendKey val="0"/>
          <c:showVal val="0"/>
          <c:showCatName val="0"/>
          <c:showSerName val="0"/>
          <c:showPercent val="1"/>
          <c:showBubbleSize val="0"/>
          <c:showLeaderLines val="1"/>
        </c:dLbls>
        <c:gapWidth val="100"/>
        <c:splitType val="pos"/>
        <c:splitPos val="8"/>
        <c:secondPieSize val="75"/>
        <c:serLines>
          <c:spPr>
            <a:ln w="9525">
              <a:solidFill>
                <a:schemeClr val="dk1">
                  <a:lumMod val="50000"/>
                  <a:lumOff val="50000"/>
                </a:schemeClr>
              </a:solidFill>
              <a:round/>
            </a:ln>
            <a:effectLst/>
          </c:spPr>
        </c:serLines>
      </c:of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500" b="1" i="0" u="none" strike="noStrike" kern="1200" baseline="0">
              <a:solidFill>
                <a:schemeClr val="dk1">
                  <a:lumMod val="75000"/>
                  <a:lumOff val="25000"/>
                </a:schemeClr>
              </a:solidFill>
              <a:latin typeface="Segoe UI" panose="020B0502040204020203" pitchFamily="34" charset="0"/>
              <a:ea typeface="+mn-ea"/>
              <a:cs typeface="Segoe UI" panose="020B0502040204020203" pitchFamily="34" charset="0"/>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lumMod val="75000"/>
                    <a:lumOff val="25000"/>
                  </a:sysClr>
                </a:solidFill>
                <a:latin typeface="+mn-lt"/>
                <a:ea typeface="+mn-ea"/>
                <a:cs typeface="+mn-cs"/>
              </a:defRPr>
            </a:pPr>
            <a:r>
              <a:rPr lang="fr-FR" sz="1100" b="1" i="0" u="none" strike="noStrike" kern="1200" baseline="0">
                <a:solidFill>
                  <a:sysClr val="windowText" lastClr="000000">
                    <a:lumMod val="75000"/>
                    <a:lumOff val="25000"/>
                  </a:sysClr>
                </a:solidFill>
                <a:latin typeface="Segoe UI" panose="020B0502040204020203" pitchFamily="34" charset="0"/>
                <a:cs typeface="Segoe UI" panose="020B0502040204020203" pitchFamily="34" charset="0"/>
              </a:rPr>
              <a:t>Répartition selon le type de maladie</a:t>
            </a:r>
          </a:p>
        </c:rich>
      </c:tx>
      <c:layout>
        <c:manualLayout>
          <c:xMode val="edge"/>
          <c:yMode val="edge"/>
          <c:x val="0.14592288612511847"/>
          <c:y val="0"/>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lumMod val="75000"/>
                  <a:lumOff val="25000"/>
                </a:sysClr>
              </a:solidFill>
              <a:latin typeface="+mn-lt"/>
              <a:ea typeface="+mn-ea"/>
              <a:cs typeface="+mn-cs"/>
            </a:defRPr>
          </a:pPr>
          <a:endParaRPr lang="fr-FR"/>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30265031414163868"/>
          <c:y val="0.15289163391353172"/>
          <c:w val="0.72015829930619757"/>
          <c:h val="0.79697569537553936"/>
        </c:manualLayout>
      </c:layout>
      <c:bar3DChart>
        <c:barDir val="bar"/>
        <c:grouping val="clustered"/>
        <c:varyColors val="0"/>
        <c:ser>
          <c:idx val="0"/>
          <c:order val="0"/>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Feuil2!$A$4:$A$23</c:f>
              <c:strCache>
                <c:ptCount val="20"/>
                <c:pt idx="0">
                  <c:v>Meningite</c:v>
                </c:pt>
                <c:pt idx="1">
                  <c:v>Asthme / Problèmes respiratoires</c:v>
                </c:pt>
                <c:pt idx="2">
                  <c:v>Problèmes mystiques/ Mentaux</c:v>
                </c:pt>
                <c:pt idx="3">
                  <c:v>Fièvre typhoïde</c:v>
                </c:pt>
                <c:pt idx="4">
                  <c:v>Diabète</c:v>
                </c:pt>
                <c:pt idx="5">
                  <c:v>Accouchement/complications liées à gros</c:v>
                </c:pt>
                <c:pt idx="6">
                  <c:v>Anémie/drépanocytose</c:v>
                </c:pt>
                <c:pt idx="7">
                  <c:v>Mal de gorge</c:v>
                </c:pt>
                <c:pt idx="8">
                  <c:v>Problème dentaire</c:v>
                </c:pt>
                <c:pt idx="9">
                  <c:v>Maladie des yeux</c:v>
                </c:pt>
                <c:pt idx="10">
                  <c:v>Problème de peau</c:v>
                </c:pt>
                <c:pt idx="11">
                  <c:v>Problème de tension</c:v>
                </c:pt>
                <c:pt idx="12">
                  <c:v>Accident/Blessure</c:v>
                </c:pt>
                <c:pt idx="13">
                  <c:v>Autre</c:v>
                </c:pt>
                <c:pt idx="14">
                  <c:v>Diarrhée</c:v>
                </c:pt>
                <c:pt idx="15">
                  <c:v>Douleurs/fatigue</c:v>
                </c:pt>
                <c:pt idx="16">
                  <c:v>Problème d'estomac</c:v>
                </c:pt>
                <c:pt idx="17">
                  <c:v>Toux, rhume</c:v>
                </c:pt>
                <c:pt idx="18">
                  <c:v>Fièvre/Paludisme</c:v>
                </c:pt>
                <c:pt idx="19">
                  <c:v>Pas de maladie</c:v>
                </c:pt>
              </c:strCache>
            </c:strRef>
          </c:cat>
          <c:val>
            <c:numRef>
              <c:f>Feuil2!$B$4:$B$23</c:f>
              <c:numCache>
                <c:formatCode>General</c:formatCode>
                <c:ptCount val="20"/>
                <c:pt idx="0">
                  <c:v>2</c:v>
                </c:pt>
                <c:pt idx="1">
                  <c:v>27</c:v>
                </c:pt>
                <c:pt idx="2">
                  <c:v>29</c:v>
                </c:pt>
                <c:pt idx="3">
                  <c:v>41</c:v>
                </c:pt>
                <c:pt idx="4">
                  <c:v>54</c:v>
                </c:pt>
                <c:pt idx="5">
                  <c:v>60</c:v>
                </c:pt>
                <c:pt idx="6">
                  <c:v>91</c:v>
                </c:pt>
                <c:pt idx="7">
                  <c:v>113</c:v>
                </c:pt>
                <c:pt idx="8">
                  <c:v>155</c:v>
                </c:pt>
                <c:pt idx="9">
                  <c:v>164</c:v>
                </c:pt>
                <c:pt idx="10">
                  <c:v>197</c:v>
                </c:pt>
                <c:pt idx="11">
                  <c:v>210</c:v>
                </c:pt>
                <c:pt idx="12">
                  <c:v>239</c:v>
                </c:pt>
                <c:pt idx="13">
                  <c:v>288</c:v>
                </c:pt>
                <c:pt idx="14">
                  <c:v>493</c:v>
                </c:pt>
                <c:pt idx="15">
                  <c:v>654</c:v>
                </c:pt>
                <c:pt idx="16">
                  <c:v>859</c:v>
                </c:pt>
                <c:pt idx="17">
                  <c:v>2677</c:v>
                </c:pt>
                <c:pt idx="18">
                  <c:v>6269</c:v>
                </c:pt>
                <c:pt idx="19">
                  <c:v>26131</c:v>
                </c:pt>
              </c:numCache>
            </c:numRef>
          </c:val>
          <c:extLst>
            <c:ext xmlns:c16="http://schemas.microsoft.com/office/drawing/2014/chart" uri="{C3380CC4-5D6E-409C-BE32-E72D297353CC}">
              <c16:uniqueId val="{00000000-D522-448F-BF96-C3EFC832309C}"/>
            </c:ext>
          </c:extLst>
        </c:ser>
        <c:dLbls>
          <c:showLegendKey val="0"/>
          <c:showVal val="0"/>
          <c:showCatName val="0"/>
          <c:showSerName val="0"/>
          <c:showPercent val="0"/>
          <c:showBubbleSize val="0"/>
        </c:dLbls>
        <c:gapWidth val="65"/>
        <c:shape val="box"/>
        <c:axId val="945242671"/>
        <c:axId val="945253231"/>
        <c:axId val="0"/>
      </c:bar3DChart>
      <c:catAx>
        <c:axId val="945242671"/>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500" b="0" i="0" u="none" strike="noStrike" kern="1200" cap="none" baseline="0">
                <a:solidFill>
                  <a:schemeClr val="dk1">
                    <a:lumMod val="75000"/>
                    <a:lumOff val="25000"/>
                  </a:schemeClr>
                </a:solidFill>
                <a:latin typeface="Segoe UI" panose="020B0502040204020203" pitchFamily="34" charset="0"/>
                <a:ea typeface="+mn-ea"/>
                <a:cs typeface="Segoe UI" panose="020B0502040204020203" pitchFamily="34" charset="0"/>
              </a:defRPr>
            </a:pPr>
            <a:endParaRPr lang="fr-FR"/>
          </a:p>
        </c:txPr>
        <c:crossAx val="945253231"/>
        <c:crosses val="autoZero"/>
        <c:auto val="1"/>
        <c:lblAlgn val="ctr"/>
        <c:lblOffset val="100"/>
        <c:noMultiLvlLbl val="0"/>
      </c:catAx>
      <c:valAx>
        <c:axId val="945253231"/>
        <c:scaling>
          <c:orientation val="minMax"/>
        </c:scaling>
        <c:delete val="1"/>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crossAx val="9452426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500EA-40F0-4ECD-8D48-3AB4E2539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5</Pages>
  <Words>2368</Words>
  <Characters>13027</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Maty NDIONE</dc:creator>
  <cp:keywords/>
  <dc:description/>
  <cp:lastModifiedBy>Maty NDIONE</cp:lastModifiedBy>
  <cp:revision>155</cp:revision>
  <cp:lastPrinted>2024-06-16T14:01:00Z</cp:lastPrinted>
  <dcterms:created xsi:type="dcterms:W3CDTF">2024-06-16T12:09:00Z</dcterms:created>
  <dcterms:modified xsi:type="dcterms:W3CDTF">2024-06-16T23:12:00Z</dcterms:modified>
</cp:coreProperties>
</file>