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FB9D" w14:textId="77777777" w:rsidR="002921B9" w:rsidRDefault="002921B9" w:rsidP="002921B9">
      <w:pPr>
        <w:jc w:val="both"/>
      </w:pPr>
      <w:r>
        <w:t>Les Bouches-du-Rhône font partie des rares départements connaissant une hausse continue de sa population. En effet, entre 2009</w:t>
      </w:r>
      <w:r>
        <w:rPr>
          <w:vertAlign w:val="superscript"/>
        </w:rPr>
        <w:t xml:space="preserve"> </w:t>
      </w:r>
      <w:r>
        <w:t>et 2020, le département a vu sa population augmenter de + 4 % passant de ce fait de 1,9 millions à 2 millions d’habitants. Cette hausse peut s’expliquer par un maintien de la fécondité à un niveau supérieur à la moyenne nationale (1,95 contre 1,78) bien que les premières naissances soient en moyenne plus tardive (31,1 ans contre 30,4 ans). Aussi, il pourrait être supposé que cette augmentation ait été rendu possible par la position géographique du département, sur une façade littorale, induisant de ce fait une possible attractivité de celui-ci d’un point de vue migratoire. Il semble intéressant de noter que la ville de Marseille est le premier port de croisière de France avec une fréquentation touristique d’environ 5 à 7 millions d’individus en moyenne. Le département constitue aussi un point d’arrivée pour les populations en provenance d’Afrique du Nord.</w:t>
      </w:r>
    </w:p>
    <w:p w14:paraId="1DD07431" w14:textId="77777777" w:rsidR="002921B9" w:rsidRDefault="002921B9" w:rsidP="002921B9">
      <w:pPr>
        <w:jc w:val="both"/>
      </w:pPr>
      <w:r>
        <w:t xml:space="preserve">Néanmoins, ce constat n’est pas entièrement positif puisqu’il peut être remarqué que sa population n’est pas épargnée par le phénomène du vieillissement démographique. En effet, en s’intéressant à la structure par âge de la population, la pyramide des âges réalisée rend visible la diminution progressive des naissances donnant l’effet d’un rétrécissement à la base de cette dernière et, par extension, un agrandissement de la part des effectifs à des âges plus élevés. De la même manière, il peut être constaté que la part de la population âgée de 65 ans et plus représente 28 % de la population bucco-rhodanienne donnant un ratio de dépendance de 0,64 signifiant qu’il y’a un peu moins de deux actifs pour un inactif dans la région. </w:t>
      </w:r>
    </w:p>
    <w:p w14:paraId="465201EE" w14:textId="7AC87618" w:rsidR="009448A7" w:rsidRDefault="009448A7" w:rsidP="009448A7">
      <w:pPr>
        <w:jc w:val="both"/>
      </w:pPr>
    </w:p>
    <w:p w14:paraId="366163ED" w14:textId="612E72E6" w:rsidR="005B71B0" w:rsidRDefault="005B71B0" w:rsidP="009448A7">
      <w:pPr>
        <w:jc w:val="both"/>
      </w:pPr>
      <w:r w:rsidRPr="005B71B0">
        <w:t xml:space="preserve">Les Bouches-du-Rhône font partie des rares départements qui connaissent une hausse continue de sa population. Entre 2009 et 2020, le département a vu sa population augmenter de + 4 % passant de 1,9 millions à 2 millions d’habitants. Cette hausse peut s’expliquer par un maintien de la fécondité à un niveau supérieur à la moyenne nationale (1,95 contre 1,78) et se caractérise par des premières naissances en moyenne plus tardive (31,1 ans contre 30,4 </w:t>
      </w:r>
      <w:proofErr w:type="gramStart"/>
      <w:r w:rsidRPr="005B71B0">
        <w:t>ans)  (</w:t>
      </w:r>
      <w:proofErr w:type="gramEnd"/>
      <w:r w:rsidRPr="005B71B0">
        <w:t xml:space="preserve">figure 1). Cette dynamique est possiblement due à la position géographique du département avec une façade littorale induisant une attractivité de celui-ci d’un point de vue migratoire et transitoire. Il semble intéressant, par exemple, de noter que la ville de Marseille est le premier port de croisière de France avec une fréquentation touristique d’environ 5 à 7 millions d’individus en moyenne, et un </w:t>
      </w:r>
      <w:proofErr w:type="gramStart"/>
      <w:r w:rsidRPr="005B71B0">
        <w:t>des principaux port</w:t>
      </w:r>
      <w:proofErr w:type="gramEnd"/>
      <w:r w:rsidRPr="005B71B0">
        <w:t xml:space="preserve"> de marchandises du pays mais aussi de la Méditerranée. Le département constitue un point d'arrivée et de passage pour les populations en provenance de tou</w:t>
      </w:r>
      <w:r w:rsidR="008F0B97">
        <w:t>t</w:t>
      </w:r>
      <w:r w:rsidRPr="005B71B0">
        <w:t xml:space="preserve"> le pourtour méditerranéen et d’Afrique du Nord notamment.</w:t>
      </w:r>
    </w:p>
    <w:p w14:paraId="248DA84F" w14:textId="417737A5" w:rsidR="005B71B0" w:rsidRDefault="005B71B0" w:rsidP="009448A7">
      <w:pPr>
        <w:jc w:val="both"/>
      </w:pPr>
      <w:r w:rsidRPr="005B71B0">
        <w:t>A revers de ce constat, il peut être remarqué que la dynamique de la population subi</w:t>
      </w:r>
      <w:r>
        <w:t>t</w:t>
      </w:r>
      <w:r w:rsidRPr="005B71B0">
        <w:t xml:space="preserve"> le phénomène du vieillissement démographique. La pyramide des âges (figure 2) rend visible la diminution progressive des naissances, donnant l’effet d’un rétrécissement à la base de cette dernière et d'un agrandissement de la part des effectifs à des âges plus élevés. La population âgée de 65 ans et plus représente 28 % de la population bucco-rhodanienne, avec un ratio de dépendance de 0,64 signifiant qu’il y’a un peu moins de deux actifs pour un inactif dans la région.</w:t>
      </w:r>
    </w:p>
    <w:p w14:paraId="3172A17F" w14:textId="42A8DE66" w:rsidR="009448A7" w:rsidRDefault="009448A7" w:rsidP="009448A7">
      <w:pPr>
        <w:jc w:val="both"/>
      </w:pPr>
      <w:r>
        <w:rPr>
          <w:noProof/>
        </w:rPr>
        <w:lastRenderedPageBreak/>
        <w:drawing>
          <wp:inline distT="0" distB="0" distL="0" distR="0" wp14:anchorId="6368D09C" wp14:editId="489F54F5">
            <wp:extent cx="5760720" cy="5760720"/>
            <wp:effectExtent l="0" t="0" r="0" b="0"/>
            <wp:docPr id="1392386628" name="Image 4"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86628" name="Image 4" descr="Une image contenant texte, capture d’écran, diagramme, lign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7F8A03A" w14:textId="6A83CBE0" w:rsidR="009448A7" w:rsidRDefault="009448A7" w:rsidP="009448A7">
      <w:pPr>
        <w:jc w:val="both"/>
      </w:pPr>
      <w:r>
        <w:rPr>
          <w:noProof/>
        </w:rPr>
        <w:lastRenderedPageBreak/>
        <w:drawing>
          <wp:inline distT="0" distB="0" distL="0" distR="0" wp14:anchorId="3B245B69" wp14:editId="2D69B020">
            <wp:extent cx="5760720" cy="4073525"/>
            <wp:effectExtent l="0" t="0" r="0" b="3175"/>
            <wp:docPr id="481164840" name="Image 1" descr="Une image contenant texte, carte, atlas,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64840" name="Image 1" descr="Une image contenant texte, carte, atlas, diagramm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r>
        <w:rPr>
          <w:noProof/>
        </w:rPr>
        <w:lastRenderedPageBreak/>
        <w:drawing>
          <wp:inline distT="0" distB="0" distL="0" distR="0" wp14:anchorId="26D41227" wp14:editId="090045D6">
            <wp:extent cx="5760720" cy="5090160"/>
            <wp:effectExtent l="0" t="0" r="0" b="0"/>
            <wp:docPr id="13659963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090160"/>
                    </a:xfrm>
                    <a:prstGeom prst="rect">
                      <a:avLst/>
                    </a:prstGeom>
                    <a:noFill/>
                    <a:ln>
                      <a:noFill/>
                    </a:ln>
                  </pic:spPr>
                </pic:pic>
              </a:graphicData>
            </a:graphic>
          </wp:inline>
        </w:drawing>
      </w:r>
    </w:p>
    <w:p w14:paraId="42AFDDC1" w14:textId="77777777" w:rsidR="00A606AE" w:rsidRDefault="00A606AE" w:rsidP="009448A7">
      <w:pPr>
        <w:jc w:val="both"/>
      </w:pPr>
    </w:p>
    <w:p w14:paraId="3FB19125" w14:textId="77777777" w:rsidR="00A606AE" w:rsidRDefault="00A606AE" w:rsidP="009448A7">
      <w:pPr>
        <w:jc w:val="both"/>
      </w:pPr>
    </w:p>
    <w:p w14:paraId="7308BF2C" w14:textId="77777777" w:rsidR="00A606AE" w:rsidRDefault="00A606AE" w:rsidP="009448A7">
      <w:pPr>
        <w:jc w:val="both"/>
      </w:pPr>
    </w:p>
    <w:p w14:paraId="21E26F57" w14:textId="77777777" w:rsidR="00A606AE" w:rsidRDefault="00A606AE" w:rsidP="009448A7">
      <w:pPr>
        <w:jc w:val="both"/>
      </w:pPr>
    </w:p>
    <w:p w14:paraId="61D6F1E3" w14:textId="5DFF9B41" w:rsidR="00A606AE" w:rsidRDefault="00A606AE" w:rsidP="00A606AE">
      <w:pPr>
        <w:pStyle w:val="Paragraphedeliste"/>
        <w:numPr>
          <w:ilvl w:val="0"/>
          <w:numId w:val="1"/>
        </w:numPr>
        <w:jc w:val="both"/>
      </w:pPr>
      <w:r>
        <w:t xml:space="preserve">Fécondité </w:t>
      </w:r>
    </w:p>
    <w:p w14:paraId="78FE9238" w14:textId="254512CF" w:rsidR="00A606AE" w:rsidRDefault="00A606AE" w:rsidP="00A606AE">
      <w:pPr>
        <w:jc w:val="both"/>
      </w:pPr>
      <w:r>
        <w:rPr>
          <w:noProof/>
        </w:rPr>
        <w:lastRenderedPageBreak/>
        <w:drawing>
          <wp:inline distT="0" distB="0" distL="0" distR="0" wp14:anchorId="65EF4957" wp14:editId="6BA8F0EC">
            <wp:extent cx="5509260" cy="3547110"/>
            <wp:effectExtent l="0" t="0" r="15240" b="15240"/>
            <wp:docPr id="2019699221" name="Graphique 1">
              <a:extLst xmlns:a="http://schemas.openxmlformats.org/drawingml/2006/main">
                <a:ext uri="{FF2B5EF4-FFF2-40B4-BE49-F238E27FC236}">
                  <a16:creationId xmlns:a16="http://schemas.microsoft.com/office/drawing/2014/main" id="{372C437C-2ACD-31B6-2CD3-DB8DA2B91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A606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5B7C"/>
    <w:multiLevelType w:val="hybridMultilevel"/>
    <w:tmpl w:val="EB98AE78"/>
    <w:lvl w:ilvl="0" w:tplc="8B06C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749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3A"/>
    <w:rsid w:val="002921B9"/>
    <w:rsid w:val="005B71B0"/>
    <w:rsid w:val="00773843"/>
    <w:rsid w:val="0078453A"/>
    <w:rsid w:val="007C4324"/>
    <w:rsid w:val="008F0B97"/>
    <w:rsid w:val="009448A7"/>
    <w:rsid w:val="009942F0"/>
    <w:rsid w:val="00A60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6B1"/>
  <w15:chartTrackingRefBased/>
  <w15:docId w15:val="{F8CBB2E2-D6BC-464E-ACF7-0A30185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48A7"/>
    <w:rPr>
      <w:color w:val="0563C1" w:themeColor="hyperlink"/>
      <w:u w:val="single"/>
    </w:rPr>
  </w:style>
  <w:style w:type="character" w:styleId="Mentionnonrsolue">
    <w:name w:val="Unresolved Mention"/>
    <w:basedOn w:val="Policepardfaut"/>
    <w:uiPriority w:val="99"/>
    <w:semiHidden/>
    <w:unhideWhenUsed/>
    <w:rsid w:val="009448A7"/>
    <w:rPr>
      <w:color w:val="605E5C"/>
      <w:shd w:val="clear" w:color="auto" w:fill="E1DFDD"/>
    </w:rPr>
  </w:style>
  <w:style w:type="paragraph" w:styleId="Paragraphedeliste">
    <w:name w:val="List Paragraph"/>
    <w:basedOn w:val="Normal"/>
    <w:uiPriority w:val="34"/>
    <w:qFormat/>
    <w:rsid w:val="00A60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268">
      <w:bodyDiv w:val="1"/>
      <w:marLeft w:val="0"/>
      <w:marRight w:val="0"/>
      <w:marTop w:val="0"/>
      <w:marBottom w:val="0"/>
      <w:divBdr>
        <w:top w:val="none" w:sz="0" w:space="0" w:color="auto"/>
        <w:left w:val="none" w:sz="0" w:space="0" w:color="auto"/>
        <w:bottom w:val="none" w:sz="0" w:space="0" w:color="auto"/>
        <w:right w:val="none" w:sz="0" w:space="0" w:color="auto"/>
      </w:divBdr>
      <w:divsChild>
        <w:div w:id="579290994">
          <w:marLeft w:val="0"/>
          <w:marRight w:val="0"/>
          <w:marTop w:val="0"/>
          <w:marBottom w:val="0"/>
          <w:divBdr>
            <w:top w:val="none" w:sz="0" w:space="0" w:color="auto"/>
            <w:left w:val="none" w:sz="0" w:space="0" w:color="auto"/>
            <w:bottom w:val="none" w:sz="0" w:space="0" w:color="auto"/>
            <w:right w:val="none" w:sz="0" w:space="0" w:color="auto"/>
          </w:divBdr>
          <w:divsChild>
            <w:div w:id="533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20">
      <w:bodyDiv w:val="1"/>
      <w:marLeft w:val="0"/>
      <w:marRight w:val="0"/>
      <w:marTop w:val="0"/>
      <w:marBottom w:val="0"/>
      <w:divBdr>
        <w:top w:val="none" w:sz="0" w:space="0" w:color="auto"/>
        <w:left w:val="none" w:sz="0" w:space="0" w:color="auto"/>
        <w:bottom w:val="none" w:sz="0" w:space="0" w:color="auto"/>
        <w:right w:val="none" w:sz="0" w:space="0" w:color="auto"/>
      </w:divBdr>
      <w:divsChild>
        <w:div w:id="819809596">
          <w:marLeft w:val="0"/>
          <w:marRight w:val="0"/>
          <w:marTop w:val="0"/>
          <w:marBottom w:val="0"/>
          <w:divBdr>
            <w:top w:val="none" w:sz="0" w:space="0" w:color="auto"/>
            <w:left w:val="none" w:sz="0" w:space="0" w:color="auto"/>
            <w:bottom w:val="none" w:sz="0" w:space="0" w:color="auto"/>
            <w:right w:val="none" w:sz="0" w:space="0" w:color="auto"/>
          </w:divBdr>
          <w:divsChild>
            <w:div w:id="131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l\Desktop\Cours%20Master\Git_dossier\ADA-Rapport-Dept-13\data\taux3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CSP 3/4</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8"/>
              <c:layout>
                <c:manualLayout>
                  <c:x val="3.1298940329554242E-2"/>
                  <c:y val="-5.1888720676832707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r>
                      <a:rPr lang="en-US">
                        <a:ln>
                          <a:solidFill>
                            <a:schemeClr val="tx1">
                              <a:alpha val="50000"/>
                            </a:schemeClr>
                          </a:solidFill>
                        </a:ln>
                      </a:rPr>
                      <a:t>Cadres,</a:t>
                    </a:r>
                    <a:r>
                      <a:rPr lang="en-US" baseline="0">
                        <a:ln>
                          <a:solidFill>
                            <a:schemeClr val="tx1">
                              <a:alpha val="50000"/>
                            </a:schemeClr>
                          </a:solidFill>
                        </a:ln>
                      </a:rPr>
                      <a:t> Prof. int. sup. et Professions intermédiaires</a:t>
                    </a:r>
                    <a:endParaRPr lang="en-US">
                      <a:ln>
                        <a:solidFill>
                          <a:schemeClr val="tx1">
                            <a:alpha val="50000"/>
                          </a:schemeClr>
                        </a:solidFill>
                      </a:ln>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0EBB-4DE6-94D2-202D60F993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Sheet1!$A$4:$A$38</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Sheet1!$C$4:$C$38</c:f>
              <c:numCache>
                <c:formatCode>General</c:formatCode>
                <c:ptCount val="35"/>
                <c:pt idx="0">
                  <c:v>0</c:v>
                </c:pt>
                <c:pt idx="1">
                  <c:v>0</c:v>
                </c:pt>
                <c:pt idx="2">
                  <c:v>0</c:v>
                </c:pt>
                <c:pt idx="3">
                  <c:v>0</c:v>
                </c:pt>
                <c:pt idx="4">
                  <c:v>0</c:v>
                </c:pt>
                <c:pt idx="5">
                  <c:v>6.6248381915289567</c:v>
                </c:pt>
                <c:pt idx="6">
                  <c:v>6.5594346604411768</c:v>
                </c:pt>
                <c:pt idx="7">
                  <c:v>10.32794808968683</c:v>
                </c:pt>
                <c:pt idx="8">
                  <c:v>17.807103569962656</c:v>
                </c:pt>
                <c:pt idx="9">
                  <c:v>31.236275976528614</c:v>
                </c:pt>
                <c:pt idx="10">
                  <c:v>47.210720831072067</c:v>
                </c:pt>
                <c:pt idx="11">
                  <c:v>60.447202534030204</c:v>
                </c:pt>
                <c:pt idx="12">
                  <c:v>71.727334580922403</c:v>
                </c:pt>
                <c:pt idx="13">
                  <c:v>92.626468689065533</c:v>
                </c:pt>
                <c:pt idx="14">
                  <c:v>117.4733188732981</c:v>
                </c:pt>
                <c:pt idx="15">
                  <c:v>129.40741096184664</c:v>
                </c:pt>
                <c:pt idx="16">
                  <c:v>136.65265265656936</c:v>
                </c:pt>
                <c:pt idx="17">
                  <c:v>134.71376743658146</c:v>
                </c:pt>
                <c:pt idx="18">
                  <c:v>124.05291847584505</c:v>
                </c:pt>
                <c:pt idx="19">
                  <c:v>105.39556929235617</c:v>
                </c:pt>
                <c:pt idx="20">
                  <c:v>90.877908348910552</c:v>
                </c:pt>
                <c:pt idx="21">
                  <c:v>75.288072431006142</c:v>
                </c:pt>
                <c:pt idx="22">
                  <c:v>58.336749733094493</c:v>
                </c:pt>
                <c:pt idx="23">
                  <c:v>48.193893252417276</c:v>
                </c:pt>
                <c:pt idx="24">
                  <c:v>34.376398959671732</c:v>
                </c:pt>
                <c:pt idx="25">
                  <c:v>22.941836369536603</c:v>
                </c:pt>
                <c:pt idx="26">
                  <c:v>15.617354455205914</c:v>
                </c:pt>
                <c:pt idx="27">
                  <c:v>9.762567582472073</c:v>
                </c:pt>
                <c:pt idx="28">
                  <c:v>6.6914237211444103</c:v>
                </c:pt>
                <c:pt idx="29">
                  <c:v>5.2258794840013181</c:v>
                </c:pt>
                <c:pt idx="30">
                  <c:v>2.1553775294650066</c:v>
                </c:pt>
                <c:pt idx="31">
                  <c:v>1.3056542883504427</c:v>
                </c:pt>
                <c:pt idx="32">
                  <c:v>0</c:v>
                </c:pt>
                <c:pt idx="33">
                  <c:v>0</c:v>
                </c:pt>
                <c:pt idx="34">
                  <c:v>0</c:v>
                </c:pt>
              </c:numCache>
            </c:numRef>
          </c:val>
          <c:smooth val="0"/>
          <c:extLst>
            <c:ext xmlns:c16="http://schemas.microsoft.com/office/drawing/2014/chart" uri="{C3380CC4-5D6E-409C-BE32-E72D297353CC}">
              <c16:uniqueId val="{00000001-0EBB-4DE6-94D2-202D60F99312}"/>
            </c:ext>
          </c:extLst>
        </c:ser>
        <c:ser>
          <c:idx val="1"/>
          <c:order val="1"/>
          <c:tx>
            <c:v>CSP 5/6</c:v>
          </c:tx>
          <c:spPr>
            <a:ln w="28575" cap="rnd" cmpd="sng">
              <a:solidFill>
                <a:srgbClr val="C00000"/>
              </a:solidFill>
              <a:prstDash val="solid"/>
              <a:round/>
            </a:ln>
            <a:effectLst/>
          </c:spPr>
          <c:marker>
            <c:symbol val="diamond"/>
            <c:size val="4"/>
            <c:spPr>
              <a:solidFill>
                <a:srgbClr val="C00000"/>
              </a:solidFill>
              <a:ln w="9525">
                <a:solidFill>
                  <a:srgbClr val="C00000"/>
                </a:solidFill>
              </a:ln>
              <a:effectLst/>
            </c:spPr>
          </c:marker>
          <c:dLbls>
            <c:dLbl>
              <c:idx val="9"/>
              <c:layout>
                <c:manualLayout>
                  <c:x val="-0.16694910024213783"/>
                  <c:y val="-0.10201403396004077"/>
                </c:manualLayout>
              </c:layout>
              <c:tx>
                <c:rich>
                  <a:bodyPr/>
                  <a:lstStyle/>
                  <a:p>
                    <a:r>
                      <a:rPr lang="en-US"/>
                      <a:t>Employées</a:t>
                    </a:r>
                    <a:r>
                      <a:rPr lang="en-US" baseline="0"/>
                      <a:t> et Ouvrières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0EBB-4DE6-94D2-202D60F993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Sheet1!$A$4:$A$38</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Sheet1!$F$4:$F$38</c:f>
              <c:numCache>
                <c:formatCode>General</c:formatCode>
                <c:ptCount val="35"/>
                <c:pt idx="0">
                  <c:v>0</c:v>
                </c:pt>
                <c:pt idx="1">
                  <c:v>0</c:v>
                </c:pt>
                <c:pt idx="2">
                  <c:v>0</c:v>
                </c:pt>
                <c:pt idx="3">
                  <c:v>2.7322207680800483</c:v>
                </c:pt>
                <c:pt idx="4">
                  <c:v>7.9581721595986501</c:v>
                </c:pt>
                <c:pt idx="5">
                  <c:v>15.392302901225126</c:v>
                </c:pt>
                <c:pt idx="6">
                  <c:v>21.516724165964856</c:v>
                </c:pt>
                <c:pt idx="7">
                  <c:v>36.88376296188089</c:v>
                </c:pt>
                <c:pt idx="8">
                  <c:v>51.755261625333873</c:v>
                </c:pt>
                <c:pt idx="9">
                  <c:v>62.327966410569687</c:v>
                </c:pt>
                <c:pt idx="10">
                  <c:v>72.528549874998816</c:v>
                </c:pt>
                <c:pt idx="11">
                  <c:v>82.665476561925587</c:v>
                </c:pt>
                <c:pt idx="12">
                  <c:v>97.21717714523281</c:v>
                </c:pt>
                <c:pt idx="13">
                  <c:v>96.348411983224338</c:v>
                </c:pt>
                <c:pt idx="14">
                  <c:v>99.331278252782184</c:v>
                </c:pt>
                <c:pt idx="15">
                  <c:v>98.360554620436915</c:v>
                </c:pt>
                <c:pt idx="16">
                  <c:v>83.337171070365542</c:v>
                </c:pt>
                <c:pt idx="17">
                  <c:v>82.677623887783113</c:v>
                </c:pt>
                <c:pt idx="18">
                  <c:v>79.693927622140507</c:v>
                </c:pt>
                <c:pt idx="19">
                  <c:v>72.961630479889862</c:v>
                </c:pt>
                <c:pt idx="20">
                  <c:v>69.282037564435996</c:v>
                </c:pt>
                <c:pt idx="21">
                  <c:v>59.206884753134432</c:v>
                </c:pt>
                <c:pt idx="22">
                  <c:v>47.628470225168805</c:v>
                </c:pt>
                <c:pt idx="23">
                  <c:v>37.880161527219791</c:v>
                </c:pt>
                <c:pt idx="24">
                  <c:v>26.605488938869737</c:v>
                </c:pt>
                <c:pt idx="25">
                  <c:v>23.007718285169368</c:v>
                </c:pt>
                <c:pt idx="26">
                  <c:v>15.441262969109887</c:v>
                </c:pt>
                <c:pt idx="27">
                  <c:v>7.021437081716523</c:v>
                </c:pt>
                <c:pt idx="28">
                  <c:v>7.071131925967344</c:v>
                </c:pt>
                <c:pt idx="29">
                  <c:v>4.1457657364263447</c:v>
                </c:pt>
                <c:pt idx="30">
                  <c:v>0.97456204425656723</c:v>
                </c:pt>
                <c:pt idx="31">
                  <c:v>0.69190728990718542</c:v>
                </c:pt>
                <c:pt idx="32">
                  <c:v>0.94877985660632269</c:v>
                </c:pt>
                <c:pt idx="33">
                  <c:v>0</c:v>
                </c:pt>
                <c:pt idx="34">
                  <c:v>0</c:v>
                </c:pt>
              </c:numCache>
            </c:numRef>
          </c:val>
          <c:smooth val="0"/>
          <c:extLst>
            <c:ext xmlns:c16="http://schemas.microsoft.com/office/drawing/2014/chart" uri="{C3380CC4-5D6E-409C-BE32-E72D297353CC}">
              <c16:uniqueId val="{00000003-0EBB-4DE6-94D2-202D60F99312}"/>
            </c:ext>
          </c:extLst>
        </c:ser>
        <c:dLbls>
          <c:showLegendKey val="0"/>
          <c:showVal val="0"/>
          <c:showCatName val="0"/>
          <c:showSerName val="0"/>
          <c:showPercent val="0"/>
          <c:showBubbleSize val="0"/>
        </c:dLbls>
        <c:marker val="1"/>
        <c:smooth val="0"/>
        <c:axId val="1151724959"/>
        <c:axId val="1110357023"/>
      </c:lineChart>
      <c:catAx>
        <c:axId val="1151724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des</a:t>
                </a:r>
                <a:r>
                  <a:rPr lang="fr-FR" baseline="0"/>
                  <a:t> femmes (en années révolues)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10357023"/>
        <c:crosses val="autoZero"/>
        <c:auto val="1"/>
        <c:lblAlgn val="ctr"/>
        <c:lblOffset val="100"/>
        <c:tickLblSkip val="5"/>
        <c:tickMarkSkip val="5"/>
        <c:noMultiLvlLbl val="0"/>
      </c:catAx>
      <c:valAx>
        <c:axId val="111035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fécondité (pour 1000 femmes de 15 à 49 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5172495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Younès Abdelaziz</dc:creator>
  <cp:keywords/>
  <dc:description/>
  <cp:lastModifiedBy>Younès Abdelaziz</cp:lastModifiedBy>
  <cp:revision>6</cp:revision>
  <dcterms:created xsi:type="dcterms:W3CDTF">2023-09-28T15:11:00Z</dcterms:created>
  <dcterms:modified xsi:type="dcterms:W3CDTF">2023-10-13T12:28:00Z</dcterms:modified>
</cp:coreProperties>
</file>