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BE5" w14:textId="3703A22C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 xml:space="preserve">Les Bouches-du-Rhône </w:t>
      </w:r>
    </w:p>
    <w:p w14:paraId="14C8C852" w14:textId="7F522F3A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>Contexte</w:t>
      </w:r>
    </w:p>
    <w:p w14:paraId="3447BDA3" w14:textId="77777777" w:rsidR="003302B0" w:rsidRDefault="005B71B0" w:rsidP="009448A7">
      <w:pPr>
        <w:jc w:val="both"/>
      </w:pPr>
      <w:r w:rsidRPr="005B71B0">
        <w:t>Les Bouches-du-Rhône font partie des rares départements</w:t>
      </w:r>
      <w:r w:rsidR="00C42B99">
        <w:t xml:space="preserve"> français</w:t>
      </w:r>
      <w:r w:rsidRPr="005B71B0">
        <w:t xml:space="preserve"> qui connaissent une hausse continu</w:t>
      </w:r>
      <w:r w:rsidR="00F15F7E">
        <w:t xml:space="preserve">e de leur </w:t>
      </w:r>
      <w:r w:rsidRPr="005B71B0">
        <w:t xml:space="preserve">population. </w:t>
      </w:r>
      <w:r w:rsidR="00F15F7E">
        <w:t>En effet, e</w:t>
      </w:r>
      <w:r w:rsidRPr="005B71B0">
        <w:t>ntre 2009 et 2020, le département a vu sa population augmenter de + 4 % passant de 1,9 millions à 2</w:t>
      </w:r>
      <w:r w:rsidR="00C42B99">
        <w:t>,04</w:t>
      </w:r>
      <w:r w:rsidRPr="005B71B0">
        <w:t xml:space="preserve"> millions </w:t>
      </w:r>
      <w:r w:rsidRPr="00B42250">
        <w:t>d’habitants</w:t>
      </w:r>
      <w:r w:rsidR="00B42250">
        <w:t xml:space="preserve">. </w:t>
      </w:r>
      <w:r w:rsidRPr="00B42250">
        <w:t>Cette</w:t>
      </w:r>
      <w:r w:rsidRPr="005B71B0">
        <w:t xml:space="preserve"> dynamique est possiblement due à la position géographique du département avec une façade littorale induisant une attractivité de celui-ci d’un point de vue migratoire</w:t>
      </w:r>
      <w:r w:rsidR="00C42B99">
        <w:t> : l</w:t>
      </w:r>
      <w:r w:rsidR="00C42B99" w:rsidRPr="005B71B0">
        <w:t xml:space="preserve">e département constitue un point d'arrivée </w:t>
      </w:r>
      <w:r w:rsidR="00C42B99">
        <w:t>ou</w:t>
      </w:r>
      <w:r w:rsidR="00C42B99" w:rsidRPr="005B71B0">
        <w:t xml:space="preserve"> de passage pour les populations en provenance d</w:t>
      </w:r>
      <w:r w:rsidR="00C42B99">
        <w:t>u</w:t>
      </w:r>
      <w:r w:rsidR="00C42B99" w:rsidRPr="005B71B0">
        <w:t xml:space="preserve"> pourtour méditerranéen et d’Afrique du Nord notamment</w:t>
      </w:r>
      <w:r w:rsidRPr="005B71B0">
        <w:t xml:space="preserve">. </w:t>
      </w:r>
    </w:p>
    <w:p w14:paraId="366163ED" w14:textId="09B85951" w:rsidR="005B71B0" w:rsidRDefault="005B71B0" w:rsidP="009448A7">
      <w:pPr>
        <w:jc w:val="both"/>
      </w:pPr>
      <w:r w:rsidRPr="005B71B0">
        <w:t>Il semble intéressant, par exemple, de noter que</w:t>
      </w:r>
      <w:r w:rsidR="003302B0">
        <w:t xml:space="preserve"> les communes voisines, Aix-en-Provence et Marseille, concentrent à elles-deux près de la moitié de la population du département (49,7 % soit 1 017 443 habitants) ; </w:t>
      </w:r>
      <w:r w:rsidR="003302B0" w:rsidRPr="005B71B0">
        <w:t>cette</w:t>
      </w:r>
      <w:r w:rsidR="003302B0">
        <w:t xml:space="preserve"> dernière étant classée </w:t>
      </w:r>
      <w:r w:rsidRPr="005B71B0">
        <w:t xml:space="preserve">premier port de croisière de France avec une fréquentation touristique d’environ 5 à 7 millions d’individus en moyenne, et un </w:t>
      </w:r>
      <w:r w:rsidR="00C42B99" w:rsidRPr="005B71B0">
        <w:t>des principaux ports</w:t>
      </w:r>
      <w:r w:rsidRPr="005B71B0">
        <w:t xml:space="preserve"> de marchandises du pays </w:t>
      </w:r>
      <w:r w:rsidR="003302B0">
        <w:t>ainsi que d</w:t>
      </w:r>
      <w:r w:rsidRPr="005B71B0">
        <w:t xml:space="preserve">e la </w:t>
      </w:r>
      <w:r w:rsidR="003302B0">
        <w:t>zone m</w:t>
      </w:r>
      <w:r w:rsidRPr="005B71B0">
        <w:t>éditerranée</w:t>
      </w:r>
      <w:r w:rsidR="003302B0">
        <w:t>nne</w:t>
      </w:r>
      <w:r w:rsidRPr="005B71B0">
        <w:t xml:space="preserve">. </w:t>
      </w:r>
    </w:p>
    <w:p w14:paraId="35D77CB5" w14:textId="107BED13" w:rsidR="00847063" w:rsidRDefault="006C5CFC" w:rsidP="009448A7">
      <w:pPr>
        <w:jc w:val="both"/>
      </w:pPr>
      <w:r>
        <w:t>Lorsque l’on s’intéresse à la structure de la population, il peut être constaté d’une surreprésentation des effectifs féminins (53 %)</w:t>
      </w:r>
      <w:r w:rsidR="003302B0">
        <w:t>.</w:t>
      </w:r>
      <w:r w:rsidR="00133719">
        <w:t xml:space="preserve"> </w:t>
      </w:r>
      <w:r w:rsidR="003302B0">
        <w:t>L</w:t>
      </w:r>
      <w:r w:rsidR="00133719">
        <w:t>es</w:t>
      </w:r>
      <w:r w:rsidR="003302B0">
        <w:t xml:space="preserve"> 18-25 ans</w:t>
      </w:r>
      <w:r w:rsidR="00133719">
        <w:t xml:space="preserve"> représentent un peu moins de 10 % de l’ensemble de la population du département (9,53 %) ce qui peut être expliqué par la présence du réseau académique Aix-Marseille dans les communes </w:t>
      </w:r>
      <w:r w:rsidR="00DA51AA">
        <w:t>telles que Aix-en-Provence, Marseille, Arles et Avignon</w:t>
      </w:r>
      <w:r w:rsidR="003302B0">
        <w:t>, facteur d’attraction des populations étudiantes. De manière plus générale, la population âgée de moins de 26 ans représente 30 % de l’ensemble des habitants des Bouches-du-Rhône.</w:t>
      </w:r>
    </w:p>
    <w:p w14:paraId="1D634123" w14:textId="1BE7E7C7" w:rsidR="00C138CB" w:rsidRDefault="00C138CB" w:rsidP="00C138CB">
      <w:pPr>
        <w:pStyle w:val="Paragraphedeliste"/>
        <w:numPr>
          <w:ilvl w:val="0"/>
          <w:numId w:val="4"/>
        </w:numPr>
        <w:jc w:val="both"/>
      </w:pPr>
      <w:r>
        <w:t>Emploi/</w:t>
      </w:r>
      <w:proofErr w:type="gramStart"/>
      <w:r>
        <w:t>chômage ,</w:t>
      </w:r>
      <w:proofErr w:type="gramEnd"/>
      <w:r>
        <w:t xml:space="preserve"> Retraite</w:t>
      </w:r>
    </w:p>
    <w:p w14:paraId="248DA84F" w14:textId="417737A5" w:rsidR="005B71B0" w:rsidRDefault="005B71B0" w:rsidP="009448A7">
      <w:pPr>
        <w:jc w:val="both"/>
      </w:pPr>
      <w:r w:rsidRPr="005B71B0">
        <w:t>A revers de ce constat, il peut être remarqué que la dynamique de la population subi</w:t>
      </w:r>
      <w:r>
        <w:t>t</w:t>
      </w:r>
      <w:r w:rsidRPr="005B71B0">
        <w:t xml:space="preserve"> le phénomène du vieillissement démographique. La pyramide des âges (figure 2) rend visible la diminution progressive des naissances, donnant l’effet d’un rétrécissement à la base de cette dernière et d'un agrandissement de la part des effectifs à des âges plus élevés. La population âgée de 65 ans et plus représente 28 % de la population bucco-rhodanienne, avec un ratio de dépendance de 0,64 signifiant qu’il y’a un peu moins de deux actifs pour un inactif dans la région.</w:t>
      </w:r>
    </w:p>
    <w:p w14:paraId="7B72EC3E" w14:textId="47464EE1" w:rsidR="00B42250" w:rsidRDefault="00B42250" w:rsidP="009448A7">
      <w:pPr>
        <w:jc w:val="both"/>
      </w:pPr>
    </w:p>
    <w:p w14:paraId="7434AC3F" w14:textId="342462CC" w:rsidR="00B42250" w:rsidRDefault="00B42250" w:rsidP="00B42250">
      <w:pPr>
        <w:pStyle w:val="Paragraphedeliste"/>
        <w:numPr>
          <w:ilvl w:val="0"/>
          <w:numId w:val="3"/>
        </w:numPr>
        <w:jc w:val="both"/>
      </w:pPr>
      <w:r>
        <w:t>La fécondité bucco-rhodanienne</w:t>
      </w:r>
    </w:p>
    <w:p w14:paraId="1B7E1644" w14:textId="4F28FB22" w:rsidR="00B42250" w:rsidRDefault="00B42250" w:rsidP="009448A7">
      <w:pPr>
        <w:jc w:val="both"/>
      </w:pPr>
      <w:r w:rsidRPr="00F15F7E">
        <w:rPr>
          <w:color w:val="FF0000"/>
        </w:rPr>
        <w:t xml:space="preserve">Cette hausse peut s’expliquer par un maintien de la fécondité à un niveau supérieur à la moyenne nationale (1,95 contre 1,78) et se caractérise par des premières naissances en moyenne plus tardive (31,1 ans contre 30,4 </w:t>
      </w:r>
      <w:proofErr w:type="gramStart"/>
      <w:r w:rsidRPr="00F15F7E">
        <w:rPr>
          <w:color w:val="FF0000"/>
        </w:rPr>
        <w:t xml:space="preserve">ans)  </w:t>
      </w:r>
      <w:r w:rsidRPr="005B71B0">
        <w:t>(</w:t>
      </w:r>
      <w:proofErr w:type="gramEnd"/>
      <w:r w:rsidRPr="00F15F7E">
        <w:rPr>
          <w:color w:val="FF0000"/>
        </w:rPr>
        <w:t>figure 1</w:t>
      </w:r>
      <w:r w:rsidRPr="005B71B0">
        <w:t>)</w:t>
      </w:r>
    </w:p>
    <w:p w14:paraId="3172A17F" w14:textId="42A8DE66" w:rsidR="009448A7" w:rsidRDefault="009448A7" w:rsidP="009448A7">
      <w:pPr>
        <w:jc w:val="both"/>
      </w:pPr>
      <w:r>
        <w:rPr>
          <w:noProof/>
        </w:rPr>
        <w:lastRenderedPageBreak/>
        <w:drawing>
          <wp:inline distT="0" distB="0" distL="0" distR="0" wp14:anchorId="6368D09C" wp14:editId="489F54F5">
            <wp:extent cx="5760720" cy="5760720"/>
            <wp:effectExtent l="0" t="0" r="0" b="0"/>
            <wp:docPr id="1392386628" name="Image 4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6628" name="Image 4" descr="Une image contenant texte, capture d’écran, diagramm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03A" w14:textId="155F18F6" w:rsidR="009448A7" w:rsidRDefault="009448A7" w:rsidP="009448A7">
      <w:pPr>
        <w:jc w:val="both"/>
      </w:pPr>
      <w:r>
        <w:rPr>
          <w:noProof/>
        </w:rPr>
        <w:lastRenderedPageBreak/>
        <w:drawing>
          <wp:inline distT="0" distB="0" distL="0" distR="0" wp14:anchorId="3B245B69" wp14:editId="2D69B020">
            <wp:extent cx="5760720" cy="4073525"/>
            <wp:effectExtent l="0" t="0" r="0" b="3175"/>
            <wp:docPr id="481164840" name="Image 1" descr="Une image contenant texte, carte, atlas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4840" name="Image 1" descr="Une image contenant texte, carte, atlas,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CFC" w:rsidRPr="006C5CFC">
        <w:rPr>
          <w:noProof/>
        </w:rPr>
        <w:t xml:space="preserve"> </w:t>
      </w:r>
      <w:r w:rsidR="006C5CFC">
        <w:rPr>
          <w:noProof/>
        </w:rPr>
        <w:drawing>
          <wp:inline distT="0" distB="0" distL="0" distR="0" wp14:anchorId="1634E591" wp14:editId="568B2170">
            <wp:extent cx="5113020" cy="3684270"/>
            <wp:effectExtent l="0" t="0" r="11430" b="11430"/>
            <wp:docPr id="1402876073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7261A82-591A-F2D8-AE87-C3003FEC6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C5CFC">
        <w:rPr>
          <w:noProof/>
        </w:rPr>
        <w:t xml:space="preserve"> </w:t>
      </w:r>
    </w:p>
    <w:p w14:paraId="42AFDDC1" w14:textId="77777777" w:rsidR="00A606AE" w:rsidRDefault="00A606AE" w:rsidP="009448A7">
      <w:pPr>
        <w:jc w:val="both"/>
      </w:pPr>
    </w:p>
    <w:p w14:paraId="3FB19125" w14:textId="77777777" w:rsidR="00A606AE" w:rsidRDefault="00A606AE" w:rsidP="009448A7">
      <w:pPr>
        <w:jc w:val="both"/>
      </w:pPr>
    </w:p>
    <w:p w14:paraId="7308BF2C" w14:textId="77777777" w:rsidR="00A606AE" w:rsidRDefault="00A606AE" w:rsidP="009448A7">
      <w:pPr>
        <w:jc w:val="both"/>
      </w:pPr>
    </w:p>
    <w:p w14:paraId="21E26F57" w14:textId="77777777" w:rsidR="00A606AE" w:rsidRDefault="00A606AE" w:rsidP="009448A7">
      <w:pPr>
        <w:jc w:val="both"/>
      </w:pPr>
    </w:p>
    <w:p w14:paraId="61D6F1E3" w14:textId="5DFF9B41" w:rsidR="00A606AE" w:rsidRDefault="00A606AE" w:rsidP="00A606AE">
      <w:pPr>
        <w:pStyle w:val="Paragraphedeliste"/>
        <w:numPr>
          <w:ilvl w:val="0"/>
          <w:numId w:val="1"/>
        </w:numPr>
        <w:jc w:val="both"/>
      </w:pPr>
      <w:r>
        <w:t xml:space="preserve">Fécondité </w:t>
      </w:r>
    </w:p>
    <w:p w14:paraId="24E8C882" w14:textId="77777777" w:rsidR="00DD7A9D" w:rsidRDefault="00DD7A9D" w:rsidP="00DD7A9D">
      <w:pPr>
        <w:jc w:val="both"/>
      </w:pPr>
    </w:p>
    <w:p w14:paraId="6FBDBC6E" w14:textId="4EB3C037" w:rsidR="00DD7A9D" w:rsidRDefault="00DD7A9D" w:rsidP="00DD7A9D">
      <w:pPr>
        <w:jc w:val="both"/>
      </w:pPr>
      <w:r>
        <w:rPr>
          <w:noProof/>
        </w:rPr>
        <w:drawing>
          <wp:inline distT="0" distB="0" distL="0" distR="0" wp14:anchorId="60E1E0A9" wp14:editId="73F0469E">
            <wp:extent cx="4572000" cy="2743200"/>
            <wp:effectExtent l="0" t="0" r="0" b="0"/>
            <wp:docPr id="18670742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7531DEA-FB1B-4229-0CF4-27C40AE31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85D58E" w14:textId="433D3FF8" w:rsidR="00DD7A9D" w:rsidRDefault="002C4D18" w:rsidP="002C4D18">
      <w:pPr>
        <w:pStyle w:val="Paragraphedeliste"/>
        <w:numPr>
          <w:ilvl w:val="0"/>
          <w:numId w:val="5"/>
        </w:numPr>
        <w:jc w:val="both"/>
      </w:pPr>
      <w:r>
        <w:t xml:space="preserve">-16 % de décalage par rapport au taux classique : </w:t>
      </w:r>
      <w:proofErr w:type="spellStart"/>
      <w:r>
        <w:t>Pq</w:t>
      </w:r>
      <w:proofErr w:type="spellEnd"/>
      <w:r>
        <w:t xml:space="preserve"> ? </w:t>
      </w:r>
    </w:p>
    <w:p w14:paraId="6DA36245" w14:textId="683F239D" w:rsidR="002C4D18" w:rsidRDefault="002C4D18" w:rsidP="002C4D18">
      <w:pPr>
        <w:jc w:val="both"/>
      </w:pPr>
      <w:r>
        <w:t>% enfants 1 enfants dans un ménage Z </w:t>
      </w:r>
      <w:r>
        <w:sym w:font="Wingdings" w:char="F0E8"/>
      </w:r>
      <w:r>
        <w:t xml:space="preserve"> potentielle explication </w:t>
      </w:r>
      <w:r>
        <w:sym w:font="Wingdings" w:char="F0E8"/>
      </w:r>
      <w:r>
        <w:t xml:space="preserve"> pas du tout </w:t>
      </w:r>
    </w:p>
    <w:p w14:paraId="71B8566A" w14:textId="33565A57" w:rsidR="002C4D18" w:rsidRDefault="002C4D18" w:rsidP="002C4D18">
      <w:pPr>
        <w:pStyle w:val="Paragraphedeliste"/>
        <w:numPr>
          <w:ilvl w:val="0"/>
          <w:numId w:val="4"/>
        </w:numPr>
        <w:jc w:val="both"/>
      </w:pPr>
      <w:r>
        <w:t xml:space="preserve">Quand on fait l’algo, quand on merge enfants/potentiel et mères potentielles (on a des enfants qui n’ont pas de liens = 3) des enfants qui vivent dans le ménage et qui ont un LPRF = 1 ; 2 ; </w:t>
      </w:r>
      <w:proofErr w:type="gramStart"/>
      <w:r>
        <w:t xml:space="preserve">4  </w:t>
      </w:r>
      <w:proofErr w:type="spellStart"/>
      <w:r>
        <w:t>etc</w:t>
      </w:r>
      <w:proofErr w:type="spellEnd"/>
      <w:proofErr w:type="gramEnd"/>
      <w:r>
        <w:t xml:space="preserve"> … LPRF = 3 mais sans mère. </w:t>
      </w:r>
    </w:p>
    <w:p w14:paraId="6EAB6877" w14:textId="7ACCEABC" w:rsidR="002C4D18" w:rsidRDefault="002C4D18" w:rsidP="002C4D18">
      <w:pPr>
        <w:jc w:val="both"/>
      </w:pPr>
      <w:r>
        <w:t xml:space="preserve">Refaire le graph avec point 18 </w:t>
      </w:r>
      <w:r w:rsidR="00546DF0">
        <w:t>moyenne mobile en 3</w:t>
      </w:r>
    </w:p>
    <w:p w14:paraId="78FE9238" w14:textId="254512CF" w:rsidR="00A606AE" w:rsidRDefault="00A606AE" w:rsidP="00A606AE">
      <w:pPr>
        <w:jc w:val="both"/>
      </w:pPr>
      <w:r>
        <w:rPr>
          <w:noProof/>
        </w:rPr>
        <w:drawing>
          <wp:inline distT="0" distB="0" distL="0" distR="0" wp14:anchorId="65EF4957" wp14:editId="6BA8F0EC">
            <wp:extent cx="5509260" cy="3547110"/>
            <wp:effectExtent l="0" t="0" r="15240" b="15240"/>
            <wp:docPr id="201969922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72C437C-2ACD-31B6-2CD3-DB8DA2B91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CA5BAA" w14:textId="4AD3CD44" w:rsidR="00546DF0" w:rsidRDefault="00546DF0" w:rsidP="00A606AE">
      <w:pPr>
        <w:jc w:val="both"/>
      </w:pPr>
      <w:r>
        <w:lastRenderedPageBreak/>
        <w:t xml:space="preserve">Rappel </w:t>
      </w:r>
      <w:proofErr w:type="gramStart"/>
      <w:r>
        <w:t>des calendrier</w:t>
      </w:r>
      <w:proofErr w:type="gramEnd"/>
      <w:r>
        <w:t xml:space="preserve"> de fécondité, mettre </w:t>
      </w:r>
      <w:proofErr w:type="spellStart"/>
      <w:r>
        <w:t>csp</w:t>
      </w:r>
      <w:proofErr w:type="spellEnd"/>
      <w:r>
        <w:t xml:space="preserve"> 8 (sans activité). Croiser statut d’activité avec CS (TACT avec CS) </w:t>
      </w:r>
    </w:p>
    <w:p w14:paraId="6F25A2BA" w14:textId="4BB5DBA7" w:rsidR="00546DF0" w:rsidRDefault="00546DF0" w:rsidP="00A606AE">
      <w:pPr>
        <w:jc w:val="both"/>
      </w:pPr>
      <w:r>
        <w:t xml:space="preserve">Si on prend diplôme, si on le croise avec une </w:t>
      </w:r>
      <w:proofErr w:type="spellStart"/>
      <w:r>
        <w:t>csp</w:t>
      </w:r>
      <w:proofErr w:type="spellEnd"/>
      <w:r>
        <w:t xml:space="preserve"> </w:t>
      </w:r>
      <w:r>
        <w:sym w:font="Wingdings" w:char="F0E8"/>
      </w:r>
      <w:r>
        <w:t xml:space="preserve"> voir les effets du déclassement </w:t>
      </w:r>
    </w:p>
    <w:p w14:paraId="5E821ED6" w14:textId="77777777" w:rsidR="00546DF0" w:rsidRDefault="00546DF0" w:rsidP="00A606AE">
      <w:pPr>
        <w:jc w:val="both"/>
      </w:pPr>
    </w:p>
    <w:p w14:paraId="4CB72684" w14:textId="79A62B3B" w:rsidR="00546DF0" w:rsidRPr="00B26295" w:rsidRDefault="00546DF0" w:rsidP="00A606AE">
      <w:pPr>
        <w:jc w:val="both"/>
        <w:rPr>
          <w:color w:val="FF0000"/>
        </w:rPr>
      </w:pPr>
      <w:r w:rsidRPr="00B26295">
        <w:rPr>
          <w:color w:val="FF0000"/>
        </w:rPr>
        <w:t xml:space="preserve">Faire un nuage mettant </w:t>
      </w:r>
      <w:r w:rsidR="00B26295" w:rsidRPr="00B26295">
        <w:rPr>
          <w:color w:val="FF0000"/>
        </w:rPr>
        <w:t xml:space="preserve">ICF et AGEMOY avec chômage ou non comme moyen de distinction   </w:t>
      </w:r>
    </w:p>
    <w:sectPr w:rsidR="00546DF0" w:rsidRPr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3B"/>
    <w:multiLevelType w:val="hybridMultilevel"/>
    <w:tmpl w:val="F13C4BA0"/>
    <w:lvl w:ilvl="0" w:tplc="82AEEA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05B"/>
    <w:multiLevelType w:val="hybridMultilevel"/>
    <w:tmpl w:val="A2345514"/>
    <w:lvl w:ilvl="0" w:tplc="7A84B7D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5B7C"/>
    <w:multiLevelType w:val="hybridMultilevel"/>
    <w:tmpl w:val="EB98AE78"/>
    <w:lvl w:ilvl="0" w:tplc="8B06C8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B96"/>
    <w:multiLevelType w:val="hybridMultilevel"/>
    <w:tmpl w:val="2646A846"/>
    <w:lvl w:ilvl="0" w:tplc="12B058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E5E0D"/>
    <w:multiLevelType w:val="hybridMultilevel"/>
    <w:tmpl w:val="2354BA6A"/>
    <w:lvl w:ilvl="0" w:tplc="D534E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2134">
    <w:abstractNumId w:val="2"/>
  </w:num>
  <w:num w:numId="2" w16cid:durableId="841893712">
    <w:abstractNumId w:val="3"/>
  </w:num>
  <w:num w:numId="3" w16cid:durableId="1754425640">
    <w:abstractNumId w:val="4"/>
  </w:num>
  <w:num w:numId="4" w16cid:durableId="1124153806">
    <w:abstractNumId w:val="0"/>
  </w:num>
  <w:num w:numId="5" w16cid:durableId="119618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133719"/>
    <w:rsid w:val="002921B9"/>
    <w:rsid w:val="002C4D18"/>
    <w:rsid w:val="003302B0"/>
    <w:rsid w:val="00546DF0"/>
    <w:rsid w:val="005B71B0"/>
    <w:rsid w:val="006C5CFC"/>
    <w:rsid w:val="00773843"/>
    <w:rsid w:val="0078453A"/>
    <w:rsid w:val="007C4324"/>
    <w:rsid w:val="00847063"/>
    <w:rsid w:val="008F0B97"/>
    <w:rsid w:val="009448A7"/>
    <w:rsid w:val="009942F0"/>
    <w:rsid w:val="009F6BE2"/>
    <w:rsid w:val="00A606AE"/>
    <w:rsid w:val="00AA719F"/>
    <w:rsid w:val="00B26295"/>
    <w:rsid w:val="00B42250"/>
    <w:rsid w:val="00C138CB"/>
    <w:rsid w:val="00C42B99"/>
    <w:rsid w:val="00DA51AA"/>
    <w:rsid w:val="00DD7A9D"/>
    <w:rsid w:val="00F1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el\Desktop\Cours%20Master\Git_dossier\ADA-Rapport-Dept-13\data\taux3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Hommes</c:v>
          </c:tx>
          <c:spPr>
            <a:solidFill>
              <a:schemeClr val="accent1"/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'rp2020_td_pop1B (9)'!$A$2:$A$101</c:f>
              <c:strCache>
                <c:ptCount val="100"/>
                <c:pt idx="0">
                  <c:v>0 ans</c:v>
                </c:pt>
                <c:pt idx="1">
                  <c:v>1 an</c:v>
                </c:pt>
                <c:pt idx="2">
                  <c:v>2 ans</c:v>
                </c:pt>
                <c:pt idx="3">
                  <c:v>3 ans</c:v>
                </c:pt>
                <c:pt idx="4">
                  <c:v>4 ans</c:v>
                </c:pt>
                <c:pt idx="5">
                  <c:v>5 ans</c:v>
                </c:pt>
                <c:pt idx="6">
                  <c:v>6 ans</c:v>
                </c:pt>
                <c:pt idx="7">
                  <c:v>7 ans</c:v>
                </c:pt>
                <c:pt idx="8">
                  <c:v>8 ans</c:v>
                </c:pt>
                <c:pt idx="9">
                  <c:v>9 ans</c:v>
                </c:pt>
                <c:pt idx="10">
                  <c:v>10 ans</c:v>
                </c:pt>
                <c:pt idx="11">
                  <c:v>11 ans</c:v>
                </c:pt>
                <c:pt idx="12">
                  <c:v>12 ans</c:v>
                </c:pt>
                <c:pt idx="13">
                  <c:v>13 ans</c:v>
                </c:pt>
                <c:pt idx="14">
                  <c:v>14 ans</c:v>
                </c:pt>
                <c:pt idx="15">
                  <c:v>15 ans</c:v>
                </c:pt>
                <c:pt idx="16">
                  <c:v>16 ans</c:v>
                </c:pt>
                <c:pt idx="17">
                  <c:v>17 ans</c:v>
                </c:pt>
                <c:pt idx="18">
                  <c:v>18 ans</c:v>
                </c:pt>
                <c:pt idx="19">
                  <c:v>19 ans</c:v>
                </c:pt>
                <c:pt idx="20">
                  <c:v>20 ans</c:v>
                </c:pt>
                <c:pt idx="21">
                  <c:v>21 ans</c:v>
                </c:pt>
                <c:pt idx="22">
                  <c:v>22 ans</c:v>
                </c:pt>
                <c:pt idx="23">
                  <c:v>23 ans</c:v>
                </c:pt>
                <c:pt idx="24">
                  <c:v>24 ans</c:v>
                </c:pt>
                <c:pt idx="25">
                  <c:v>25 ans</c:v>
                </c:pt>
                <c:pt idx="26">
                  <c:v>26 ans</c:v>
                </c:pt>
                <c:pt idx="27">
                  <c:v>27 ans</c:v>
                </c:pt>
                <c:pt idx="28">
                  <c:v>28 ans</c:v>
                </c:pt>
                <c:pt idx="29">
                  <c:v>29 ans</c:v>
                </c:pt>
                <c:pt idx="30">
                  <c:v>30 ans</c:v>
                </c:pt>
                <c:pt idx="31">
                  <c:v>31 ans</c:v>
                </c:pt>
                <c:pt idx="32">
                  <c:v>32 ans</c:v>
                </c:pt>
                <c:pt idx="33">
                  <c:v>33 ans</c:v>
                </c:pt>
                <c:pt idx="34">
                  <c:v>34 ans</c:v>
                </c:pt>
                <c:pt idx="35">
                  <c:v>35 ans</c:v>
                </c:pt>
                <c:pt idx="36">
                  <c:v>36 ans</c:v>
                </c:pt>
                <c:pt idx="37">
                  <c:v>37 ans</c:v>
                </c:pt>
                <c:pt idx="38">
                  <c:v>38 ans</c:v>
                </c:pt>
                <c:pt idx="39">
                  <c:v>39 ans</c:v>
                </c:pt>
                <c:pt idx="40">
                  <c:v>40 ans</c:v>
                </c:pt>
                <c:pt idx="41">
                  <c:v>41 ans</c:v>
                </c:pt>
                <c:pt idx="42">
                  <c:v>42 ans</c:v>
                </c:pt>
                <c:pt idx="43">
                  <c:v>43 ans</c:v>
                </c:pt>
                <c:pt idx="44">
                  <c:v>44 ans</c:v>
                </c:pt>
                <c:pt idx="45">
                  <c:v>45 ans</c:v>
                </c:pt>
                <c:pt idx="46">
                  <c:v>46 ans</c:v>
                </c:pt>
                <c:pt idx="47">
                  <c:v>47 ans</c:v>
                </c:pt>
                <c:pt idx="48">
                  <c:v>48 ans</c:v>
                </c:pt>
                <c:pt idx="49">
                  <c:v>49 ans</c:v>
                </c:pt>
                <c:pt idx="50">
                  <c:v>50 ans</c:v>
                </c:pt>
                <c:pt idx="51">
                  <c:v>51 ans</c:v>
                </c:pt>
                <c:pt idx="52">
                  <c:v>52 ans</c:v>
                </c:pt>
                <c:pt idx="53">
                  <c:v>53 ans</c:v>
                </c:pt>
                <c:pt idx="54">
                  <c:v>54 ans</c:v>
                </c:pt>
                <c:pt idx="55">
                  <c:v>55 ans</c:v>
                </c:pt>
                <c:pt idx="56">
                  <c:v>56 ans</c:v>
                </c:pt>
                <c:pt idx="57">
                  <c:v>57 ans</c:v>
                </c:pt>
                <c:pt idx="58">
                  <c:v>58 ans</c:v>
                </c:pt>
                <c:pt idx="59">
                  <c:v>59 ans</c:v>
                </c:pt>
                <c:pt idx="60">
                  <c:v>60 ans</c:v>
                </c:pt>
                <c:pt idx="61">
                  <c:v>61 ans</c:v>
                </c:pt>
                <c:pt idx="62">
                  <c:v>62 ans</c:v>
                </c:pt>
                <c:pt idx="63">
                  <c:v>63 ans</c:v>
                </c:pt>
                <c:pt idx="64">
                  <c:v>64 ans</c:v>
                </c:pt>
                <c:pt idx="65">
                  <c:v>65 ans</c:v>
                </c:pt>
                <c:pt idx="66">
                  <c:v>66 ans</c:v>
                </c:pt>
                <c:pt idx="67">
                  <c:v>67 ans</c:v>
                </c:pt>
                <c:pt idx="68">
                  <c:v>68 ans</c:v>
                </c:pt>
                <c:pt idx="69">
                  <c:v>69 ans</c:v>
                </c:pt>
                <c:pt idx="70">
                  <c:v>70 ans</c:v>
                </c:pt>
                <c:pt idx="71">
                  <c:v>71 ans</c:v>
                </c:pt>
                <c:pt idx="72">
                  <c:v>72 ans</c:v>
                </c:pt>
                <c:pt idx="73">
                  <c:v>73 ans</c:v>
                </c:pt>
                <c:pt idx="74">
                  <c:v>74 ans</c:v>
                </c:pt>
                <c:pt idx="75">
                  <c:v>75 ans</c:v>
                </c:pt>
                <c:pt idx="76">
                  <c:v>76 ans</c:v>
                </c:pt>
                <c:pt idx="77">
                  <c:v>77 ans</c:v>
                </c:pt>
                <c:pt idx="78">
                  <c:v>78 ans</c:v>
                </c:pt>
                <c:pt idx="79">
                  <c:v>79 ans</c:v>
                </c:pt>
                <c:pt idx="80">
                  <c:v>80 ans</c:v>
                </c:pt>
                <c:pt idx="81">
                  <c:v>81 ans</c:v>
                </c:pt>
                <c:pt idx="82">
                  <c:v>82 ans</c:v>
                </c:pt>
                <c:pt idx="83">
                  <c:v>83 ans</c:v>
                </c:pt>
                <c:pt idx="84">
                  <c:v>84 ans</c:v>
                </c:pt>
                <c:pt idx="85">
                  <c:v>85 ans</c:v>
                </c:pt>
                <c:pt idx="86">
                  <c:v>86 ans</c:v>
                </c:pt>
                <c:pt idx="87">
                  <c:v>87 ans</c:v>
                </c:pt>
                <c:pt idx="88">
                  <c:v>88 ans</c:v>
                </c:pt>
                <c:pt idx="89">
                  <c:v>89 ans</c:v>
                </c:pt>
                <c:pt idx="90">
                  <c:v>90 ans</c:v>
                </c:pt>
                <c:pt idx="91">
                  <c:v>91 ans</c:v>
                </c:pt>
                <c:pt idx="92">
                  <c:v>92 ans</c:v>
                </c:pt>
                <c:pt idx="93">
                  <c:v>93 ans</c:v>
                </c:pt>
                <c:pt idx="94">
                  <c:v>94 ans</c:v>
                </c:pt>
                <c:pt idx="95">
                  <c:v>95 ans</c:v>
                </c:pt>
                <c:pt idx="96">
                  <c:v>96 ans</c:v>
                </c:pt>
                <c:pt idx="97">
                  <c:v>97 ans</c:v>
                </c:pt>
                <c:pt idx="98">
                  <c:v>98 ans</c:v>
                </c:pt>
                <c:pt idx="99">
                  <c:v>99 ans</c:v>
                </c:pt>
              </c:strCache>
            </c:strRef>
          </c:cat>
          <c:val>
            <c:numRef>
              <c:f>'rp2020_td_pop1B (9)'!$E$2:$E$101</c:f>
              <c:numCache>
                <c:formatCode>General</c:formatCode>
                <c:ptCount val="100"/>
                <c:pt idx="0">
                  <c:v>-11410</c:v>
                </c:pt>
                <c:pt idx="1">
                  <c:v>-11326</c:v>
                </c:pt>
                <c:pt idx="2">
                  <c:v>-11605</c:v>
                </c:pt>
                <c:pt idx="3">
                  <c:v>-12120</c:v>
                </c:pt>
                <c:pt idx="4">
                  <c:v>-12052</c:v>
                </c:pt>
                <c:pt idx="5">
                  <c:v>-12347</c:v>
                </c:pt>
                <c:pt idx="6">
                  <c:v>-12605</c:v>
                </c:pt>
                <c:pt idx="7">
                  <c:v>-12638</c:v>
                </c:pt>
                <c:pt idx="8">
                  <c:v>-12475</c:v>
                </c:pt>
                <c:pt idx="9">
                  <c:v>-12618</c:v>
                </c:pt>
                <c:pt idx="10">
                  <c:v>-12305</c:v>
                </c:pt>
                <c:pt idx="11">
                  <c:v>-12539</c:v>
                </c:pt>
                <c:pt idx="12">
                  <c:v>-12264</c:v>
                </c:pt>
                <c:pt idx="13">
                  <c:v>-12125</c:v>
                </c:pt>
                <c:pt idx="14">
                  <c:v>-12350</c:v>
                </c:pt>
                <c:pt idx="15">
                  <c:v>-12031</c:v>
                </c:pt>
                <c:pt idx="16">
                  <c:v>-12233</c:v>
                </c:pt>
                <c:pt idx="17">
                  <c:v>-12341</c:v>
                </c:pt>
                <c:pt idx="18">
                  <c:v>-12955</c:v>
                </c:pt>
                <c:pt idx="19">
                  <c:v>-12783</c:v>
                </c:pt>
                <c:pt idx="20">
                  <c:v>-12802</c:v>
                </c:pt>
                <c:pt idx="21">
                  <c:v>-12560</c:v>
                </c:pt>
                <c:pt idx="22">
                  <c:v>-11515</c:v>
                </c:pt>
                <c:pt idx="23">
                  <c:v>-11981</c:v>
                </c:pt>
                <c:pt idx="24">
                  <c:v>-11510</c:v>
                </c:pt>
                <c:pt idx="25">
                  <c:v>-11269</c:v>
                </c:pt>
                <c:pt idx="26">
                  <c:v>-11024</c:v>
                </c:pt>
                <c:pt idx="27">
                  <c:v>-11414</c:v>
                </c:pt>
                <c:pt idx="28">
                  <c:v>-11665</c:v>
                </c:pt>
                <c:pt idx="29">
                  <c:v>-12075</c:v>
                </c:pt>
                <c:pt idx="30">
                  <c:v>-12110</c:v>
                </c:pt>
                <c:pt idx="31">
                  <c:v>-12042</c:v>
                </c:pt>
                <c:pt idx="32">
                  <c:v>-11907</c:v>
                </c:pt>
                <c:pt idx="33">
                  <c:v>-12468</c:v>
                </c:pt>
                <c:pt idx="34">
                  <c:v>-12199</c:v>
                </c:pt>
                <c:pt idx="35">
                  <c:v>-12264</c:v>
                </c:pt>
                <c:pt idx="36">
                  <c:v>-12053</c:v>
                </c:pt>
                <c:pt idx="37">
                  <c:v>-12469</c:v>
                </c:pt>
                <c:pt idx="38">
                  <c:v>-12155</c:v>
                </c:pt>
                <c:pt idx="39">
                  <c:v>-12628</c:v>
                </c:pt>
                <c:pt idx="40">
                  <c:v>-12327</c:v>
                </c:pt>
                <c:pt idx="41">
                  <c:v>-11980</c:v>
                </c:pt>
                <c:pt idx="42">
                  <c:v>-12500</c:v>
                </c:pt>
                <c:pt idx="43">
                  <c:v>-12129</c:v>
                </c:pt>
                <c:pt idx="44">
                  <c:v>-12384</c:v>
                </c:pt>
                <c:pt idx="45">
                  <c:v>-12854</c:v>
                </c:pt>
                <c:pt idx="46">
                  <c:v>-13171</c:v>
                </c:pt>
                <c:pt idx="47">
                  <c:v>-12949</c:v>
                </c:pt>
                <c:pt idx="48">
                  <c:v>-12679</c:v>
                </c:pt>
                <c:pt idx="49">
                  <c:v>-13260</c:v>
                </c:pt>
                <c:pt idx="50">
                  <c:v>-13346</c:v>
                </c:pt>
                <c:pt idx="51">
                  <c:v>-13296</c:v>
                </c:pt>
                <c:pt idx="52">
                  <c:v>-13046</c:v>
                </c:pt>
                <c:pt idx="53">
                  <c:v>-12832</c:v>
                </c:pt>
                <c:pt idx="54">
                  <c:v>-12648</c:v>
                </c:pt>
                <c:pt idx="55">
                  <c:v>-12758</c:v>
                </c:pt>
                <c:pt idx="56">
                  <c:v>-12723</c:v>
                </c:pt>
                <c:pt idx="57">
                  <c:v>-12814</c:v>
                </c:pt>
                <c:pt idx="58">
                  <c:v>-12365</c:v>
                </c:pt>
                <c:pt idx="59">
                  <c:v>-12018</c:v>
                </c:pt>
                <c:pt idx="60">
                  <c:v>-11992</c:v>
                </c:pt>
                <c:pt idx="61">
                  <c:v>-11514</c:v>
                </c:pt>
                <c:pt idx="62">
                  <c:v>-11619</c:v>
                </c:pt>
                <c:pt idx="63">
                  <c:v>-11281</c:v>
                </c:pt>
                <c:pt idx="64">
                  <c:v>-11170</c:v>
                </c:pt>
                <c:pt idx="65">
                  <c:v>-10911</c:v>
                </c:pt>
                <c:pt idx="66">
                  <c:v>-10775</c:v>
                </c:pt>
                <c:pt idx="67">
                  <c:v>-10915</c:v>
                </c:pt>
                <c:pt idx="68">
                  <c:v>-10704</c:v>
                </c:pt>
                <c:pt idx="69">
                  <c:v>-10523</c:v>
                </c:pt>
                <c:pt idx="70">
                  <c:v>-10356</c:v>
                </c:pt>
                <c:pt idx="71">
                  <c:v>-10095</c:v>
                </c:pt>
                <c:pt idx="72">
                  <c:v>-9654</c:v>
                </c:pt>
                <c:pt idx="73">
                  <c:v>-8748</c:v>
                </c:pt>
                <c:pt idx="74">
                  <c:v>-8196</c:v>
                </c:pt>
                <c:pt idx="75">
                  <c:v>-7582</c:v>
                </c:pt>
                <c:pt idx="76">
                  <c:v>-7183</c:v>
                </c:pt>
                <c:pt idx="77">
                  <c:v>-6605</c:v>
                </c:pt>
                <c:pt idx="78">
                  <c:v>-6072</c:v>
                </c:pt>
                <c:pt idx="79">
                  <c:v>-6097</c:v>
                </c:pt>
                <c:pt idx="80">
                  <c:v>-5466</c:v>
                </c:pt>
                <c:pt idx="81">
                  <c:v>-5230</c:v>
                </c:pt>
                <c:pt idx="82">
                  <c:v>-4929</c:v>
                </c:pt>
                <c:pt idx="83">
                  <c:v>-4407</c:v>
                </c:pt>
                <c:pt idx="84">
                  <c:v>-4187</c:v>
                </c:pt>
                <c:pt idx="85">
                  <c:v>-3764</c:v>
                </c:pt>
                <c:pt idx="86">
                  <c:v>-3433</c:v>
                </c:pt>
                <c:pt idx="87">
                  <c:v>-3027</c:v>
                </c:pt>
                <c:pt idx="88">
                  <c:v>-2521</c:v>
                </c:pt>
                <c:pt idx="89">
                  <c:v>-2233</c:v>
                </c:pt>
                <c:pt idx="90">
                  <c:v>-1778</c:v>
                </c:pt>
                <c:pt idx="91">
                  <c:v>-1325</c:v>
                </c:pt>
                <c:pt idx="92">
                  <c:v>-1169</c:v>
                </c:pt>
                <c:pt idx="93">
                  <c:v>-894</c:v>
                </c:pt>
                <c:pt idx="94">
                  <c:v>-770</c:v>
                </c:pt>
                <c:pt idx="95">
                  <c:v>-510</c:v>
                </c:pt>
                <c:pt idx="96">
                  <c:v>-338</c:v>
                </c:pt>
                <c:pt idx="97">
                  <c:v>-234</c:v>
                </c:pt>
                <c:pt idx="98">
                  <c:v>-151</c:v>
                </c:pt>
                <c:pt idx="99">
                  <c:v>-84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4-4197-A2E3-31B734015CF9}"/>
            </c:ext>
          </c:extLst>
        </c:ser>
        <c:ser>
          <c:idx val="1"/>
          <c:order val="1"/>
          <c:tx>
            <c:v>Femmes</c:v>
          </c:tx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  <c:invertIfNegative val="0"/>
          <c:cat>
            <c:strRef>
              <c:f>'rp2020_td_pop1B (9)'!$A$2:$A$101</c:f>
              <c:strCache>
                <c:ptCount val="100"/>
                <c:pt idx="0">
                  <c:v>0 ans</c:v>
                </c:pt>
                <c:pt idx="1">
                  <c:v>1 an</c:v>
                </c:pt>
                <c:pt idx="2">
                  <c:v>2 ans</c:v>
                </c:pt>
                <c:pt idx="3">
                  <c:v>3 ans</c:v>
                </c:pt>
                <c:pt idx="4">
                  <c:v>4 ans</c:v>
                </c:pt>
                <c:pt idx="5">
                  <c:v>5 ans</c:v>
                </c:pt>
                <c:pt idx="6">
                  <c:v>6 ans</c:v>
                </c:pt>
                <c:pt idx="7">
                  <c:v>7 ans</c:v>
                </c:pt>
                <c:pt idx="8">
                  <c:v>8 ans</c:v>
                </c:pt>
                <c:pt idx="9">
                  <c:v>9 ans</c:v>
                </c:pt>
                <c:pt idx="10">
                  <c:v>10 ans</c:v>
                </c:pt>
                <c:pt idx="11">
                  <c:v>11 ans</c:v>
                </c:pt>
                <c:pt idx="12">
                  <c:v>12 ans</c:v>
                </c:pt>
                <c:pt idx="13">
                  <c:v>13 ans</c:v>
                </c:pt>
                <c:pt idx="14">
                  <c:v>14 ans</c:v>
                </c:pt>
                <c:pt idx="15">
                  <c:v>15 ans</c:v>
                </c:pt>
                <c:pt idx="16">
                  <c:v>16 ans</c:v>
                </c:pt>
                <c:pt idx="17">
                  <c:v>17 ans</c:v>
                </c:pt>
                <c:pt idx="18">
                  <c:v>18 ans</c:v>
                </c:pt>
                <c:pt idx="19">
                  <c:v>19 ans</c:v>
                </c:pt>
                <c:pt idx="20">
                  <c:v>20 ans</c:v>
                </c:pt>
                <c:pt idx="21">
                  <c:v>21 ans</c:v>
                </c:pt>
                <c:pt idx="22">
                  <c:v>22 ans</c:v>
                </c:pt>
                <c:pt idx="23">
                  <c:v>23 ans</c:v>
                </c:pt>
                <c:pt idx="24">
                  <c:v>24 ans</c:v>
                </c:pt>
                <c:pt idx="25">
                  <c:v>25 ans</c:v>
                </c:pt>
                <c:pt idx="26">
                  <c:v>26 ans</c:v>
                </c:pt>
                <c:pt idx="27">
                  <c:v>27 ans</c:v>
                </c:pt>
                <c:pt idx="28">
                  <c:v>28 ans</c:v>
                </c:pt>
                <c:pt idx="29">
                  <c:v>29 ans</c:v>
                </c:pt>
                <c:pt idx="30">
                  <c:v>30 ans</c:v>
                </c:pt>
                <c:pt idx="31">
                  <c:v>31 ans</c:v>
                </c:pt>
                <c:pt idx="32">
                  <c:v>32 ans</c:v>
                </c:pt>
                <c:pt idx="33">
                  <c:v>33 ans</c:v>
                </c:pt>
                <c:pt idx="34">
                  <c:v>34 ans</c:v>
                </c:pt>
                <c:pt idx="35">
                  <c:v>35 ans</c:v>
                </c:pt>
                <c:pt idx="36">
                  <c:v>36 ans</c:v>
                </c:pt>
                <c:pt idx="37">
                  <c:v>37 ans</c:v>
                </c:pt>
                <c:pt idx="38">
                  <c:v>38 ans</c:v>
                </c:pt>
                <c:pt idx="39">
                  <c:v>39 ans</c:v>
                </c:pt>
                <c:pt idx="40">
                  <c:v>40 ans</c:v>
                </c:pt>
                <c:pt idx="41">
                  <c:v>41 ans</c:v>
                </c:pt>
                <c:pt idx="42">
                  <c:v>42 ans</c:v>
                </c:pt>
                <c:pt idx="43">
                  <c:v>43 ans</c:v>
                </c:pt>
                <c:pt idx="44">
                  <c:v>44 ans</c:v>
                </c:pt>
                <c:pt idx="45">
                  <c:v>45 ans</c:v>
                </c:pt>
                <c:pt idx="46">
                  <c:v>46 ans</c:v>
                </c:pt>
                <c:pt idx="47">
                  <c:v>47 ans</c:v>
                </c:pt>
                <c:pt idx="48">
                  <c:v>48 ans</c:v>
                </c:pt>
                <c:pt idx="49">
                  <c:v>49 ans</c:v>
                </c:pt>
                <c:pt idx="50">
                  <c:v>50 ans</c:v>
                </c:pt>
                <c:pt idx="51">
                  <c:v>51 ans</c:v>
                </c:pt>
                <c:pt idx="52">
                  <c:v>52 ans</c:v>
                </c:pt>
                <c:pt idx="53">
                  <c:v>53 ans</c:v>
                </c:pt>
                <c:pt idx="54">
                  <c:v>54 ans</c:v>
                </c:pt>
                <c:pt idx="55">
                  <c:v>55 ans</c:v>
                </c:pt>
                <c:pt idx="56">
                  <c:v>56 ans</c:v>
                </c:pt>
                <c:pt idx="57">
                  <c:v>57 ans</c:v>
                </c:pt>
                <c:pt idx="58">
                  <c:v>58 ans</c:v>
                </c:pt>
                <c:pt idx="59">
                  <c:v>59 ans</c:v>
                </c:pt>
                <c:pt idx="60">
                  <c:v>60 ans</c:v>
                </c:pt>
                <c:pt idx="61">
                  <c:v>61 ans</c:v>
                </c:pt>
                <c:pt idx="62">
                  <c:v>62 ans</c:v>
                </c:pt>
                <c:pt idx="63">
                  <c:v>63 ans</c:v>
                </c:pt>
                <c:pt idx="64">
                  <c:v>64 ans</c:v>
                </c:pt>
                <c:pt idx="65">
                  <c:v>65 ans</c:v>
                </c:pt>
                <c:pt idx="66">
                  <c:v>66 ans</c:v>
                </c:pt>
                <c:pt idx="67">
                  <c:v>67 ans</c:v>
                </c:pt>
                <c:pt idx="68">
                  <c:v>68 ans</c:v>
                </c:pt>
                <c:pt idx="69">
                  <c:v>69 ans</c:v>
                </c:pt>
                <c:pt idx="70">
                  <c:v>70 ans</c:v>
                </c:pt>
                <c:pt idx="71">
                  <c:v>71 ans</c:v>
                </c:pt>
                <c:pt idx="72">
                  <c:v>72 ans</c:v>
                </c:pt>
                <c:pt idx="73">
                  <c:v>73 ans</c:v>
                </c:pt>
                <c:pt idx="74">
                  <c:v>74 ans</c:v>
                </c:pt>
                <c:pt idx="75">
                  <c:v>75 ans</c:v>
                </c:pt>
                <c:pt idx="76">
                  <c:v>76 ans</c:v>
                </c:pt>
                <c:pt idx="77">
                  <c:v>77 ans</c:v>
                </c:pt>
                <c:pt idx="78">
                  <c:v>78 ans</c:v>
                </c:pt>
                <c:pt idx="79">
                  <c:v>79 ans</c:v>
                </c:pt>
                <c:pt idx="80">
                  <c:v>80 ans</c:v>
                </c:pt>
                <c:pt idx="81">
                  <c:v>81 ans</c:v>
                </c:pt>
                <c:pt idx="82">
                  <c:v>82 ans</c:v>
                </c:pt>
                <c:pt idx="83">
                  <c:v>83 ans</c:v>
                </c:pt>
                <c:pt idx="84">
                  <c:v>84 ans</c:v>
                </c:pt>
                <c:pt idx="85">
                  <c:v>85 ans</c:v>
                </c:pt>
                <c:pt idx="86">
                  <c:v>86 ans</c:v>
                </c:pt>
                <c:pt idx="87">
                  <c:v>87 ans</c:v>
                </c:pt>
                <c:pt idx="88">
                  <c:v>88 ans</c:v>
                </c:pt>
                <c:pt idx="89">
                  <c:v>89 ans</c:v>
                </c:pt>
                <c:pt idx="90">
                  <c:v>90 ans</c:v>
                </c:pt>
                <c:pt idx="91">
                  <c:v>91 ans</c:v>
                </c:pt>
                <c:pt idx="92">
                  <c:v>92 ans</c:v>
                </c:pt>
                <c:pt idx="93">
                  <c:v>93 ans</c:v>
                </c:pt>
                <c:pt idx="94">
                  <c:v>94 ans</c:v>
                </c:pt>
                <c:pt idx="95">
                  <c:v>95 ans</c:v>
                </c:pt>
                <c:pt idx="96">
                  <c:v>96 ans</c:v>
                </c:pt>
                <c:pt idx="97">
                  <c:v>97 ans</c:v>
                </c:pt>
                <c:pt idx="98">
                  <c:v>98 ans</c:v>
                </c:pt>
                <c:pt idx="99">
                  <c:v>99 ans</c:v>
                </c:pt>
              </c:strCache>
            </c:strRef>
          </c:cat>
          <c:val>
            <c:numRef>
              <c:f>'rp2020_td_pop1B (9)'!$C$2:$C$101</c:f>
              <c:numCache>
                <c:formatCode>General</c:formatCode>
                <c:ptCount val="100"/>
                <c:pt idx="0">
                  <c:v>10445</c:v>
                </c:pt>
                <c:pt idx="1">
                  <c:v>11013</c:v>
                </c:pt>
                <c:pt idx="2">
                  <c:v>11341</c:v>
                </c:pt>
                <c:pt idx="3">
                  <c:v>11480</c:v>
                </c:pt>
                <c:pt idx="4">
                  <c:v>11831</c:v>
                </c:pt>
                <c:pt idx="5">
                  <c:v>11803</c:v>
                </c:pt>
                <c:pt idx="6">
                  <c:v>11776</c:v>
                </c:pt>
                <c:pt idx="7">
                  <c:v>12149</c:v>
                </c:pt>
                <c:pt idx="8">
                  <c:v>11655</c:v>
                </c:pt>
                <c:pt idx="9">
                  <c:v>11964</c:v>
                </c:pt>
                <c:pt idx="10">
                  <c:v>11668</c:v>
                </c:pt>
                <c:pt idx="11">
                  <c:v>11706</c:v>
                </c:pt>
                <c:pt idx="12">
                  <c:v>11988</c:v>
                </c:pt>
                <c:pt idx="13">
                  <c:v>11771</c:v>
                </c:pt>
                <c:pt idx="14">
                  <c:v>11761</c:v>
                </c:pt>
                <c:pt idx="15">
                  <c:v>11481</c:v>
                </c:pt>
                <c:pt idx="16">
                  <c:v>11793</c:v>
                </c:pt>
                <c:pt idx="17">
                  <c:v>11711</c:v>
                </c:pt>
                <c:pt idx="18">
                  <c:v>12976</c:v>
                </c:pt>
                <c:pt idx="19">
                  <c:v>12810</c:v>
                </c:pt>
                <c:pt idx="20">
                  <c:v>12456</c:v>
                </c:pt>
                <c:pt idx="21">
                  <c:v>12495</c:v>
                </c:pt>
                <c:pt idx="22">
                  <c:v>12173</c:v>
                </c:pt>
                <c:pt idx="23">
                  <c:v>11667</c:v>
                </c:pt>
                <c:pt idx="24">
                  <c:v>11782</c:v>
                </c:pt>
                <c:pt idx="25">
                  <c:v>11639</c:v>
                </c:pt>
                <c:pt idx="26">
                  <c:v>11768</c:v>
                </c:pt>
                <c:pt idx="27">
                  <c:v>11714</c:v>
                </c:pt>
                <c:pt idx="28">
                  <c:v>12248</c:v>
                </c:pt>
                <c:pt idx="29">
                  <c:v>12598</c:v>
                </c:pt>
                <c:pt idx="30">
                  <c:v>13058</c:v>
                </c:pt>
                <c:pt idx="31">
                  <c:v>12998</c:v>
                </c:pt>
                <c:pt idx="32">
                  <c:v>13312</c:v>
                </c:pt>
                <c:pt idx="33">
                  <c:v>13089</c:v>
                </c:pt>
                <c:pt idx="34">
                  <c:v>13415</c:v>
                </c:pt>
                <c:pt idx="35">
                  <c:v>13733</c:v>
                </c:pt>
                <c:pt idx="36">
                  <c:v>13167</c:v>
                </c:pt>
                <c:pt idx="37">
                  <c:v>13440</c:v>
                </c:pt>
                <c:pt idx="38">
                  <c:v>13447</c:v>
                </c:pt>
                <c:pt idx="39">
                  <c:v>13781</c:v>
                </c:pt>
                <c:pt idx="40">
                  <c:v>13053</c:v>
                </c:pt>
                <c:pt idx="41">
                  <c:v>12764</c:v>
                </c:pt>
                <c:pt idx="42">
                  <c:v>13025</c:v>
                </c:pt>
                <c:pt idx="43">
                  <c:v>13293</c:v>
                </c:pt>
                <c:pt idx="44">
                  <c:v>13547</c:v>
                </c:pt>
                <c:pt idx="45">
                  <c:v>13640</c:v>
                </c:pt>
                <c:pt idx="46">
                  <c:v>13598</c:v>
                </c:pt>
                <c:pt idx="47">
                  <c:v>13731</c:v>
                </c:pt>
                <c:pt idx="48">
                  <c:v>13886</c:v>
                </c:pt>
                <c:pt idx="49">
                  <c:v>14114</c:v>
                </c:pt>
                <c:pt idx="50">
                  <c:v>14109</c:v>
                </c:pt>
                <c:pt idx="51">
                  <c:v>14273</c:v>
                </c:pt>
                <c:pt idx="52">
                  <c:v>14422</c:v>
                </c:pt>
                <c:pt idx="53">
                  <c:v>14396</c:v>
                </c:pt>
                <c:pt idx="54">
                  <c:v>14203</c:v>
                </c:pt>
                <c:pt idx="55">
                  <c:v>14231</c:v>
                </c:pt>
                <c:pt idx="56">
                  <c:v>13684</c:v>
                </c:pt>
                <c:pt idx="57">
                  <c:v>13973</c:v>
                </c:pt>
                <c:pt idx="58">
                  <c:v>13705</c:v>
                </c:pt>
                <c:pt idx="59">
                  <c:v>13252</c:v>
                </c:pt>
                <c:pt idx="60">
                  <c:v>13008</c:v>
                </c:pt>
                <c:pt idx="61">
                  <c:v>13184</c:v>
                </c:pt>
                <c:pt idx="62">
                  <c:v>12786</c:v>
                </c:pt>
                <c:pt idx="63">
                  <c:v>12699</c:v>
                </c:pt>
                <c:pt idx="64">
                  <c:v>12943</c:v>
                </c:pt>
                <c:pt idx="65">
                  <c:v>12752</c:v>
                </c:pt>
                <c:pt idx="66">
                  <c:v>12311</c:v>
                </c:pt>
                <c:pt idx="67">
                  <c:v>12606</c:v>
                </c:pt>
                <c:pt idx="68">
                  <c:v>12322</c:v>
                </c:pt>
                <c:pt idx="69">
                  <c:v>12552</c:v>
                </c:pt>
                <c:pt idx="70">
                  <c:v>12071</c:v>
                </c:pt>
                <c:pt idx="71">
                  <c:v>11657</c:v>
                </c:pt>
                <c:pt idx="72">
                  <c:v>11111</c:v>
                </c:pt>
                <c:pt idx="73">
                  <c:v>10846</c:v>
                </c:pt>
                <c:pt idx="74">
                  <c:v>9801</c:v>
                </c:pt>
                <c:pt idx="75">
                  <c:v>9281</c:v>
                </c:pt>
                <c:pt idx="76">
                  <c:v>8545</c:v>
                </c:pt>
                <c:pt idx="77">
                  <c:v>8523</c:v>
                </c:pt>
                <c:pt idx="78">
                  <c:v>7896</c:v>
                </c:pt>
                <c:pt idx="79">
                  <c:v>8018</c:v>
                </c:pt>
                <c:pt idx="80">
                  <c:v>7295</c:v>
                </c:pt>
                <c:pt idx="81">
                  <c:v>7066</c:v>
                </c:pt>
                <c:pt idx="82">
                  <c:v>6933</c:v>
                </c:pt>
                <c:pt idx="83">
                  <c:v>6631</c:v>
                </c:pt>
                <c:pt idx="84">
                  <c:v>6331</c:v>
                </c:pt>
                <c:pt idx="85">
                  <c:v>6250</c:v>
                </c:pt>
                <c:pt idx="86">
                  <c:v>5993</c:v>
                </c:pt>
                <c:pt idx="87">
                  <c:v>5237</c:v>
                </c:pt>
                <c:pt idx="88">
                  <c:v>5064</c:v>
                </c:pt>
                <c:pt idx="89">
                  <c:v>4442</c:v>
                </c:pt>
                <c:pt idx="90">
                  <c:v>4055</c:v>
                </c:pt>
                <c:pt idx="91">
                  <c:v>3484</c:v>
                </c:pt>
                <c:pt idx="92">
                  <c:v>2946</c:v>
                </c:pt>
                <c:pt idx="93">
                  <c:v>2341</c:v>
                </c:pt>
                <c:pt idx="94">
                  <c:v>1948</c:v>
                </c:pt>
                <c:pt idx="95">
                  <c:v>1638</c:v>
                </c:pt>
                <c:pt idx="96">
                  <c:v>1182</c:v>
                </c:pt>
                <c:pt idx="97">
                  <c:v>909</c:v>
                </c:pt>
                <c:pt idx="98">
                  <c:v>532</c:v>
                </c:pt>
                <c:pt idx="99">
                  <c:v>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04-4197-A2E3-31B734015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64762128"/>
        <c:axId val="469152416"/>
      </c:barChart>
      <c:catAx>
        <c:axId val="464762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</a:t>
                </a:r>
              </a:p>
            </c:rich>
          </c:tx>
          <c:layout>
            <c:manualLayout>
              <c:xMode val="edge"/>
              <c:yMode val="edge"/>
              <c:x val="2.7322404371584699E-2"/>
              <c:y val="0.3465723196182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9152416"/>
        <c:crosses val="autoZero"/>
        <c:auto val="1"/>
        <c:lblAlgn val="ctr"/>
        <c:lblOffset val="100"/>
        <c:noMultiLvlLbl val="0"/>
      </c:catAx>
      <c:valAx>
        <c:axId val="469152416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Effectifs</a:t>
                </a:r>
                <a:r>
                  <a:rPr lang="fr-FR" baseline="0"/>
                  <a:t> de la population 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;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476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26159230096238E-2"/>
          <c:y val="5.0925925925925923E-2"/>
          <c:w val="0.88396062992125979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Méthode DEF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9"/>
              <c:layout>
                <c:manualLayout>
                  <c:x val="-0.15413210848643918"/>
                  <c:y val="7.179389034703986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Méthode DEF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3A17-4E13-A7F3-21905B8AD2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Sheet1!$H$3:$H$37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Sheet1!$E$3:$E$37</c:f>
              <c:numCache>
                <c:formatCode>General</c:formatCode>
                <c:ptCount val="35"/>
                <c:pt idx="0">
                  <c:v>6.1974522492317047E-4</c:v>
                </c:pt>
                <c:pt idx="1">
                  <c:v>9.9167750026560178E-4</c:v>
                </c:pt>
                <c:pt idx="2">
                  <c:v>2.3727067524549218E-3</c:v>
                </c:pt>
                <c:pt idx="3">
                  <c:v>6.5920310831015872E-3</c:v>
                </c:pt>
                <c:pt idx="4">
                  <c:v>1.2074810677673031E-2</c:v>
                </c:pt>
                <c:pt idx="5">
                  <c:v>1.8347713340252772E-2</c:v>
                </c:pt>
                <c:pt idx="6">
                  <c:v>2.2275894917845689E-2</c:v>
                </c:pt>
                <c:pt idx="7">
                  <c:v>3.0882229555343164E-2</c:v>
                </c:pt>
                <c:pt idx="8">
                  <c:v>4.6369099016222659E-2</c:v>
                </c:pt>
                <c:pt idx="9">
                  <c:v>6.2570516832716569E-2</c:v>
                </c:pt>
                <c:pt idx="10">
                  <c:v>7.492711389067358E-2</c:v>
                </c:pt>
                <c:pt idx="11">
                  <c:v>8.626202628405398E-2</c:v>
                </c:pt>
                <c:pt idx="12">
                  <c:v>0.10064884133794293</c:v>
                </c:pt>
                <c:pt idx="13">
                  <c:v>0.1126086361635604</c:v>
                </c:pt>
                <c:pt idx="14">
                  <c:v>0.12371208891173874</c:v>
                </c:pt>
                <c:pt idx="15">
                  <c:v>0.12646888273301504</c:v>
                </c:pt>
                <c:pt idx="16">
                  <c:v>0.12545417704913486</c:v>
                </c:pt>
                <c:pt idx="17">
                  <c:v>0.12354959665161896</c:v>
                </c:pt>
                <c:pt idx="18">
                  <c:v>0.11260247951042331</c:v>
                </c:pt>
                <c:pt idx="19">
                  <c:v>9.8700335189405214E-2</c:v>
                </c:pt>
                <c:pt idx="20">
                  <c:v>8.7896763459596738E-2</c:v>
                </c:pt>
                <c:pt idx="21">
                  <c:v>7.5100267796987683E-2</c:v>
                </c:pt>
                <c:pt idx="22">
                  <c:v>6.2704011963699874E-2</c:v>
                </c:pt>
                <c:pt idx="23">
                  <c:v>5.1740358999665691E-2</c:v>
                </c:pt>
                <c:pt idx="24">
                  <c:v>3.8470278987116205E-2</c:v>
                </c:pt>
                <c:pt idx="25">
                  <c:v>2.8630203440222855E-2</c:v>
                </c:pt>
                <c:pt idx="26">
                  <c:v>2.2108911661544911E-2</c:v>
                </c:pt>
                <c:pt idx="27">
                  <c:v>1.4641392535060575E-2</c:v>
                </c:pt>
                <c:pt idx="28">
                  <c:v>9.7628431471411189E-3</c:v>
                </c:pt>
                <c:pt idx="29">
                  <c:v>6.7275129547040621E-3</c:v>
                </c:pt>
                <c:pt idx="30">
                  <c:v>2.792863143724855E-3</c:v>
                </c:pt>
                <c:pt idx="31">
                  <c:v>1.9758209153945749E-3</c:v>
                </c:pt>
                <c:pt idx="32">
                  <c:v>1.6681403338812512E-3</c:v>
                </c:pt>
                <c:pt idx="33">
                  <c:v>5.6463288399798714E-4</c:v>
                </c:pt>
                <c:pt idx="34">
                  <c:v>2.1946987988449691E-4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17-4E13-A7F3-21905B8AD2DB}"/>
            </c:ext>
          </c:extLst>
        </c:ser>
        <c:ser>
          <c:idx val="1"/>
          <c:order val="1"/>
          <c:tx>
            <c:v>Méthode classique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3.7673447069116357E-2"/>
                  <c:y val="-3.240740740740740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Méthode</a:t>
                    </a:r>
                    <a:r>
                      <a:rPr lang="en-US" baseline="0"/>
                      <a:t> classique 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A17-4E13-A7F3-21905B8AD2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Sheet1!$H$3:$H$37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Sheet1!$L$3:$L$37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3.8285649819016403E-3</c:v>
                </c:pt>
                <c:pt idx="3">
                  <c:v>1.0189270438959506E-2</c:v>
                </c:pt>
                <c:pt idx="4">
                  <c:v>1.7986924467210303E-2</c:v>
                </c:pt>
                <c:pt idx="5">
                  <c:v>2.5714117458320335E-2</c:v>
                </c:pt>
                <c:pt idx="6">
                  <c:v>3.4852707856234698E-2</c:v>
                </c:pt>
                <c:pt idx="7">
                  <c:v>4.8092737387569556E-2</c:v>
                </c:pt>
                <c:pt idx="8">
                  <c:v>6.2785400289577881E-2</c:v>
                </c:pt>
                <c:pt idx="9">
                  <c:v>7.7216977099339806E-2</c:v>
                </c:pt>
                <c:pt idx="10">
                  <c:v>9.1868849012851028E-2</c:v>
                </c:pt>
                <c:pt idx="11">
                  <c:v>0.10827961437457378</c:v>
                </c:pt>
                <c:pt idx="12">
                  <c:v>0.12143004417178554</c:v>
                </c:pt>
                <c:pt idx="13">
                  <c:v>0.13053047832085651</c:v>
                </c:pt>
                <c:pt idx="14">
                  <c:v>0.14290682359898843</c:v>
                </c:pt>
                <c:pt idx="15">
                  <c:v>0.14994657667084849</c:v>
                </c:pt>
                <c:pt idx="16">
                  <c:v>0.14410080157558286</c:v>
                </c:pt>
                <c:pt idx="17">
                  <c:v>0.13469019183269143</c:v>
                </c:pt>
                <c:pt idx="18">
                  <c:v>0.12711141567229522</c:v>
                </c:pt>
                <c:pt idx="19">
                  <c:v>0.11415354694816296</c:v>
                </c:pt>
                <c:pt idx="20">
                  <c:v>0.1025499074974757</c:v>
                </c:pt>
                <c:pt idx="21">
                  <c:v>8.9468305331622214E-2</c:v>
                </c:pt>
                <c:pt idx="22">
                  <c:v>7.4098956166755936E-2</c:v>
                </c:pt>
                <c:pt idx="23">
                  <c:v>6.1165680182590609E-2</c:v>
                </c:pt>
                <c:pt idx="24">
                  <c:v>4.8793869850228391E-2</c:v>
                </c:pt>
                <c:pt idx="25">
                  <c:v>3.9204358263523198E-2</c:v>
                </c:pt>
                <c:pt idx="26">
                  <c:v>2.7546306404210318E-2</c:v>
                </c:pt>
                <c:pt idx="27">
                  <c:v>1.6259558546407666E-2</c:v>
                </c:pt>
                <c:pt idx="28">
                  <c:v>9.6105043064097142E-3</c:v>
                </c:pt>
                <c:pt idx="29">
                  <c:v>5.7973274543557185E-3</c:v>
                </c:pt>
                <c:pt idx="30">
                  <c:v>2.8421656321521503E-3</c:v>
                </c:pt>
                <c:pt idx="31">
                  <c:v>4.2817503454010515E-3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17-4E13-A7F3-21905B8AD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203071"/>
        <c:axId val="2017254207"/>
      </c:lineChart>
      <c:catAx>
        <c:axId val="98320307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7254207"/>
        <c:crosses val="autoZero"/>
        <c:auto val="1"/>
        <c:lblAlgn val="ctr"/>
        <c:lblOffset val="100"/>
        <c:noMultiLvlLbl val="0"/>
      </c:catAx>
      <c:valAx>
        <c:axId val="201725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320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3/4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3.1298940329554242E-2"/>
                  <c:y val="-5.188872067683270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Cadres,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 Prof. int. sup. et Professions intermédiaires</a:t>
                    </a:r>
                    <a:endParaRPr lang="en-US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EBB-4DE6-94D2-202D60F993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Sheet1!$A$4:$A$38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Sheet1!$C$4:$C$38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6.6248381915289567</c:v>
                </c:pt>
                <c:pt idx="6">
                  <c:v>6.5594346604411768</c:v>
                </c:pt>
                <c:pt idx="7">
                  <c:v>10.32794808968683</c:v>
                </c:pt>
                <c:pt idx="8">
                  <c:v>17.807103569962656</c:v>
                </c:pt>
                <c:pt idx="9">
                  <c:v>31.236275976528614</c:v>
                </c:pt>
                <c:pt idx="10">
                  <c:v>47.210720831072067</c:v>
                </c:pt>
                <c:pt idx="11">
                  <c:v>60.447202534030204</c:v>
                </c:pt>
                <c:pt idx="12">
                  <c:v>71.727334580922403</c:v>
                </c:pt>
                <c:pt idx="13">
                  <c:v>92.626468689065533</c:v>
                </c:pt>
                <c:pt idx="14">
                  <c:v>117.4733188732981</c:v>
                </c:pt>
                <c:pt idx="15">
                  <c:v>129.40741096184664</c:v>
                </c:pt>
                <c:pt idx="16">
                  <c:v>136.65265265656936</c:v>
                </c:pt>
                <c:pt idx="17">
                  <c:v>134.71376743658146</c:v>
                </c:pt>
                <c:pt idx="18">
                  <c:v>124.05291847584505</c:v>
                </c:pt>
                <c:pt idx="19">
                  <c:v>105.39556929235617</c:v>
                </c:pt>
                <c:pt idx="20">
                  <c:v>90.877908348910552</c:v>
                </c:pt>
                <c:pt idx="21">
                  <c:v>75.288072431006142</c:v>
                </c:pt>
                <c:pt idx="22">
                  <c:v>58.336749733094493</c:v>
                </c:pt>
                <c:pt idx="23">
                  <c:v>48.193893252417276</c:v>
                </c:pt>
                <c:pt idx="24">
                  <c:v>34.376398959671732</c:v>
                </c:pt>
                <c:pt idx="25">
                  <c:v>22.941836369536603</c:v>
                </c:pt>
                <c:pt idx="26">
                  <c:v>15.617354455205914</c:v>
                </c:pt>
                <c:pt idx="27">
                  <c:v>9.762567582472073</c:v>
                </c:pt>
                <c:pt idx="28">
                  <c:v>6.6914237211444103</c:v>
                </c:pt>
                <c:pt idx="29">
                  <c:v>5.2258794840013181</c:v>
                </c:pt>
                <c:pt idx="30">
                  <c:v>2.1553775294650066</c:v>
                </c:pt>
                <c:pt idx="31">
                  <c:v>1.3056542883504427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BB-4DE6-94D2-202D60F99312}"/>
            </c:ext>
          </c:extLst>
        </c:ser>
        <c:ser>
          <c:idx val="1"/>
          <c:order val="1"/>
          <c:tx>
            <c:v>CSP 5/6</c:v>
          </c:tx>
          <c:spPr>
            <a:ln w="28575" cap="rnd" cmpd="sng">
              <a:solidFill>
                <a:srgbClr val="C00000"/>
              </a:solidFill>
              <a:prstDash val="solid"/>
              <a:round/>
            </a:ln>
            <a:effectLst/>
          </c:spPr>
          <c:marker>
            <c:symbol val="diamond"/>
            <c:size val="4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9"/>
              <c:layout>
                <c:manualLayout>
                  <c:x val="-0.16694910024213783"/>
                  <c:y val="-0.1020140339600407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Employées</a:t>
                    </a:r>
                    <a:r>
                      <a:rPr lang="en-US" baseline="0"/>
                      <a:t> et Ouvrières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EBB-4DE6-94D2-202D60F993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Sheet1!$A$4:$A$38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Sheet1!$F$4:$F$38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2.7322207680800483</c:v>
                </c:pt>
                <c:pt idx="4">
                  <c:v>7.9581721595986501</c:v>
                </c:pt>
                <c:pt idx="5">
                  <c:v>15.392302901225126</c:v>
                </c:pt>
                <c:pt idx="6">
                  <c:v>21.516724165964856</c:v>
                </c:pt>
                <c:pt idx="7">
                  <c:v>36.88376296188089</c:v>
                </c:pt>
                <c:pt idx="8">
                  <c:v>51.755261625333873</c:v>
                </c:pt>
                <c:pt idx="9">
                  <c:v>62.327966410569687</c:v>
                </c:pt>
                <c:pt idx="10">
                  <c:v>72.528549874998816</c:v>
                </c:pt>
                <c:pt idx="11">
                  <c:v>82.665476561925587</c:v>
                </c:pt>
                <c:pt idx="12">
                  <c:v>97.21717714523281</c:v>
                </c:pt>
                <c:pt idx="13">
                  <c:v>96.348411983224338</c:v>
                </c:pt>
                <c:pt idx="14">
                  <c:v>99.331278252782184</c:v>
                </c:pt>
                <c:pt idx="15">
                  <c:v>98.360554620436915</c:v>
                </c:pt>
                <c:pt idx="16">
                  <c:v>83.337171070365542</c:v>
                </c:pt>
                <c:pt idx="17">
                  <c:v>82.677623887783113</c:v>
                </c:pt>
                <c:pt idx="18">
                  <c:v>79.693927622140507</c:v>
                </c:pt>
                <c:pt idx="19">
                  <c:v>72.961630479889862</c:v>
                </c:pt>
                <c:pt idx="20">
                  <c:v>69.282037564435996</c:v>
                </c:pt>
                <c:pt idx="21">
                  <c:v>59.206884753134432</c:v>
                </c:pt>
                <c:pt idx="22">
                  <c:v>47.628470225168805</c:v>
                </c:pt>
                <c:pt idx="23">
                  <c:v>37.880161527219791</c:v>
                </c:pt>
                <c:pt idx="24">
                  <c:v>26.605488938869737</c:v>
                </c:pt>
                <c:pt idx="25">
                  <c:v>23.007718285169368</c:v>
                </c:pt>
                <c:pt idx="26">
                  <c:v>15.441262969109887</c:v>
                </c:pt>
                <c:pt idx="27">
                  <c:v>7.021437081716523</c:v>
                </c:pt>
                <c:pt idx="28">
                  <c:v>7.071131925967344</c:v>
                </c:pt>
                <c:pt idx="29">
                  <c:v>4.1457657364263447</c:v>
                </c:pt>
                <c:pt idx="30">
                  <c:v>0.97456204425656723</c:v>
                </c:pt>
                <c:pt idx="31">
                  <c:v>0.69190728990718542</c:v>
                </c:pt>
                <c:pt idx="32">
                  <c:v>0.94877985660632269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BB-4DE6-94D2-202D60F99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1724959"/>
        <c:axId val="1110357023"/>
      </c:lineChart>
      <c:catAx>
        <c:axId val="115172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des</a:t>
                </a:r>
                <a:r>
                  <a:rPr lang="fr-FR" baseline="0"/>
                  <a:t> femmes (en années révolues)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0357023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111035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Taux de fécondité (pour 1000 femmes de 15 à 49 ans)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51724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1410-8AFB-438B-893C-95CAE6F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10</cp:revision>
  <dcterms:created xsi:type="dcterms:W3CDTF">2023-09-28T15:11:00Z</dcterms:created>
  <dcterms:modified xsi:type="dcterms:W3CDTF">2023-10-16T12:42:00Z</dcterms:modified>
</cp:coreProperties>
</file>