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BE5" w14:textId="3703A22C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 xml:space="preserve">Les Bouches-du-Rhône </w:t>
      </w:r>
    </w:p>
    <w:p w14:paraId="14C8C852" w14:textId="7F522F3A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>Contexte</w:t>
      </w:r>
    </w:p>
    <w:p w14:paraId="3447BDA3" w14:textId="77777777" w:rsidR="003302B0" w:rsidRDefault="005B71B0" w:rsidP="009448A7">
      <w:pPr>
        <w:jc w:val="both"/>
      </w:pPr>
      <w:r w:rsidRPr="005B71B0">
        <w:t>Les Bouches-du-Rhône font partie des rares départements</w:t>
      </w:r>
      <w:r w:rsidR="00C42B99">
        <w:t xml:space="preserve"> français</w:t>
      </w:r>
      <w:r w:rsidRPr="005B71B0">
        <w:t xml:space="preserve"> qui connaissent une hausse continu</w:t>
      </w:r>
      <w:r w:rsidR="00F15F7E">
        <w:t xml:space="preserve">e de leur </w:t>
      </w:r>
      <w:r w:rsidRPr="005B71B0">
        <w:t xml:space="preserve">population. </w:t>
      </w:r>
      <w:r w:rsidR="00F15F7E">
        <w:t>En effet, e</w:t>
      </w:r>
      <w:r w:rsidRPr="005B71B0">
        <w:t>ntre 2009 et 2020, le département a vu sa population augmenter de + 4 % passant de 1,9 millions à 2</w:t>
      </w:r>
      <w:r w:rsidR="00C42B99">
        <w:t>,04</w:t>
      </w:r>
      <w:r w:rsidRPr="005B71B0">
        <w:t xml:space="preserve"> millions </w:t>
      </w:r>
      <w:r w:rsidRPr="00B42250">
        <w:t>d’habitants</w:t>
      </w:r>
      <w:r w:rsidR="00B42250">
        <w:t xml:space="preserve">. </w:t>
      </w:r>
      <w:r w:rsidRPr="00B42250">
        <w:t>Cette</w:t>
      </w:r>
      <w:r w:rsidRPr="005B71B0">
        <w:t xml:space="preserve"> dynamique est possiblement due à la position géographique du département avec une façade littorale induisant une attractivité de celui-ci d’un point de vue migratoire</w:t>
      </w:r>
      <w:r w:rsidR="00C42B99">
        <w:t> : l</w:t>
      </w:r>
      <w:r w:rsidR="00C42B99" w:rsidRPr="005B71B0">
        <w:t xml:space="preserve">e département constitue un point d'arrivée </w:t>
      </w:r>
      <w:r w:rsidR="00C42B99">
        <w:t>ou</w:t>
      </w:r>
      <w:r w:rsidR="00C42B99" w:rsidRPr="005B71B0">
        <w:t xml:space="preserve"> de passage pour les populations en provenance d</w:t>
      </w:r>
      <w:r w:rsidR="00C42B99">
        <w:t>u</w:t>
      </w:r>
      <w:r w:rsidR="00C42B99" w:rsidRPr="005B71B0">
        <w:t xml:space="preserve"> pourtour méditerranéen et d’Afrique du Nord notamment</w:t>
      </w:r>
      <w:r w:rsidRPr="005B71B0">
        <w:t xml:space="preserve">. </w:t>
      </w:r>
    </w:p>
    <w:p w14:paraId="366163ED" w14:textId="09B85951" w:rsidR="005B71B0" w:rsidRDefault="005B71B0" w:rsidP="009448A7">
      <w:pPr>
        <w:jc w:val="both"/>
      </w:pPr>
      <w:r w:rsidRPr="005B71B0">
        <w:t>Il semble intéressant, par exemple, de noter que</w:t>
      </w:r>
      <w:r w:rsidR="003302B0">
        <w:t xml:space="preserve"> les communes voisines, Aix-en-Provence et Marseille, concentrent à elles-deux près de la moitié de la population du département (49,7 % soit 1 017 443 habitants) ; </w:t>
      </w:r>
      <w:r w:rsidR="003302B0" w:rsidRPr="005B71B0">
        <w:t>cette</w:t>
      </w:r>
      <w:r w:rsidR="003302B0">
        <w:t xml:space="preserve"> dernière étant classée </w:t>
      </w:r>
      <w:r w:rsidRPr="005B71B0">
        <w:t xml:space="preserve">premier port de croisière de France avec une fréquentation touristique d’environ 5 à 7 millions d’individus en moyenne, et un </w:t>
      </w:r>
      <w:r w:rsidR="00C42B99" w:rsidRPr="005B71B0">
        <w:t>des principaux ports</w:t>
      </w:r>
      <w:r w:rsidRPr="005B71B0">
        <w:t xml:space="preserve"> de marchandises du pays </w:t>
      </w:r>
      <w:r w:rsidR="003302B0">
        <w:t>ainsi que d</w:t>
      </w:r>
      <w:r w:rsidRPr="005B71B0">
        <w:t xml:space="preserve">e la </w:t>
      </w:r>
      <w:r w:rsidR="003302B0">
        <w:t>zone m</w:t>
      </w:r>
      <w:r w:rsidRPr="005B71B0">
        <w:t>éditerranée</w:t>
      </w:r>
      <w:r w:rsidR="003302B0">
        <w:t>nne</w:t>
      </w:r>
      <w:r w:rsidRPr="005B71B0">
        <w:t xml:space="preserve">. </w:t>
      </w:r>
    </w:p>
    <w:p w14:paraId="35D77CB5" w14:textId="329DAF46" w:rsidR="00847063" w:rsidRDefault="006C5CFC" w:rsidP="009448A7">
      <w:pPr>
        <w:jc w:val="both"/>
      </w:pPr>
      <w:r>
        <w:t>Lorsque l’on s’intéresse à la structure de la population, il peut être constaté d’une surreprésentation des effectifs féminins (53 %)</w:t>
      </w:r>
      <w:r w:rsidR="003302B0">
        <w:t>.</w:t>
      </w:r>
      <w:r w:rsidR="00133719">
        <w:t xml:space="preserve"> </w:t>
      </w:r>
      <w:r w:rsidR="003302B0">
        <w:t>L</w:t>
      </w:r>
      <w:r w:rsidR="00133719">
        <w:t>es</w:t>
      </w:r>
      <w:r w:rsidR="003302B0">
        <w:t xml:space="preserve"> 18-25 ans</w:t>
      </w:r>
      <w:r w:rsidR="00133719">
        <w:t xml:space="preserve"> représentent un peu moins de 10 % de l’ensemble de la population du département (9,53 %) ce qui peut être expliqué par la présence du réseau académique Aix-Marseille dans les communes </w:t>
      </w:r>
      <w:r w:rsidR="00DA51AA">
        <w:t>telles que Aix-en-Provence, Marseille, Arles et Avignon</w:t>
      </w:r>
      <w:r w:rsidR="00C725B2">
        <w:t xml:space="preserve"> et qui est un</w:t>
      </w:r>
      <w:r w:rsidR="003302B0">
        <w:t xml:space="preserve"> facteur d’attraction des populations étudiantes. De manière plus générale, la population âgée de moins de 26 ans représente 30 % de l’ensemble des habitants des Bouches-du-Rhône.</w:t>
      </w:r>
    </w:p>
    <w:p w14:paraId="1D634123" w14:textId="1BE7E7C7" w:rsidR="00C138CB" w:rsidRDefault="00C138CB" w:rsidP="00C138CB">
      <w:pPr>
        <w:pStyle w:val="Paragraphedeliste"/>
        <w:numPr>
          <w:ilvl w:val="0"/>
          <w:numId w:val="4"/>
        </w:numPr>
        <w:jc w:val="both"/>
      </w:pPr>
      <w:r>
        <w:t>Emploi/chômage , Retraite</w:t>
      </w:r>
    </w:p>
    <w:p w14:paraId="248DA84F" w14:textId="3C7020D7" w:rsidR="005B71B0" w:rsidRDefault="005B71B0" w:rsidP="009448A7">
      <w:pPr>
        <w:jc w:val="both"/>
      </w:pPr>
      <w:r w:rsidRPr="005B71B0">
        <w:t>A revers de ce constat, il peut être remarqué que la dynamique de la population subi</w:t>
      </w:r>
      <w:r>
        <w:t>t</w:t>
      </w:r>
      <w:r w:rsidRPr="005B71B0">
        <w:t xml:space="preserve"> le phénomène du vieillissement démographique. La pyramide des âges (figure </w:t>
      </w:r>
      <w:r w:rsidR="009466BA">
        <w:t>1</w:t>
      </w:r>
      <w:r w:rsidRPr="005B71B0">
        <w:t>) rend visible la diminution progressive des naissances, donnant l’effet d’un rétrécissement à la base de cette dernière et d'un agrandissement de la part des effectifs à des âges plus élevés</w:t>
      </w:r>
      <w:r w:rsidR="009466BA">
        <w:t xml:space="preserve"> en comparaison de la structure de 2009</w:t>
      </w:r>
      <w:r w:rsidRPr="005B71B0">
        <w:t>. La population âgée de 65 ans et plus représente 28 % de la population bucco-rhodanienne, avec un ratio de dépendance de 0,64 signifiant qu’il y’a un peu moins de deux actifs pour un inactif dans la région.</w:t>
      </w:r>
      <w:r w:rsidR="009466BA">
        <w:t xml:space="preserve"> De la même manière, il peut être remarqué d’une diminution de la</w:t>
      </w:r>
      <w:r w:rsidR="003148DA">
        <w:t xml:space="preserve"> part de la</w:t>
      </w:r>
      <w:r w:rsidR="009466BA">
        <w:t xml:space="preserve"> population</w:t>
      </w:r>
      <w:r w:rsidR="003148DA">
        <w:t xml:space="preserve"> âgée de 10 à 50 ans</w:t>
      </w:r>
    </w:p>
    <w:p w14:paraId="7B72EC3E" w14:textId="47464EE1" w:rsidR="00B42250" w:rsidRDefault="00B42250" w:rsidP="009448A7">
      <w:pPr>
        <w:jc w:val="both"/>
      </w:pPr>
    </w:p>
    <w:p w14:paraId="7434AC3F" w14:textId="342462CC" w:rsidR="00B42250" w:rsidRDefault="00B42250" w:rsidP="00B42250">
      <w:pPr>
        <w:pStyle w:val="Paragraphedeliste"/>
        <w:numPr>
          <w:ilvl w:val="0"/>
          <w:numId w:val="3"/>
        </w:numPr>
        <w:jc w:val="both"/>
      </w:pPr>
      <w:r>
        <w:t>La fécondité bucco-rhodanienne</w:t>
      </w:r>
    </w:p>
    <w:p w14:paraId="53BA1F42" w14:textId="12A63E24" w:rsidR="00D77C16" w:rsidRDefault="00D77C16" w:rsidP="009448A7">
      <w:pPr>
        <w:jc w:val="both"/>
      </w:pPr>
      <w:r>
        <w:t>La hausse de la population bucco-rhodanienne peut s’expliquer par un maintien de la fécondité à un niveau supérieur à la moyenne nationale (</w:t>
      </w:r>
      <w:r w:rsidR="00691843">
        <w:t>2,00</w:t>
      </w:r>
      <w:r>
        <w:t xml:space="preserve"> contre 1,</w:t>
      </w:r>
      <w:r w:rsidR="00691843">
        <w:t>86</w:t>
      </w:r>
      <w:r>
        <w:t xml:space="preserve"> enfants en moyenne par femme</w:t>
      </w:r>
      <w:r w:rsidR="00691843">
        <w:t xml:space="preserve"> en 2019</w:t>
      </w:r>
      <w:r>
        <w:t>) et se caractérise par des premières naissances en moyenne plus tardives (31 contre 30,</w:t>
      </w:r>
      <w:r w:rsidR="00691843">
        <w:t>7</w:t>
      </w:r>
      <w:r>
        <w:t xml:space="preserve"> ans) (</w:t>
      </w:r>
      <w:r w:rsidR="00691843" w:rsidRPr="00356A25">
        <w:rPr>
          <w:b/>
          <w:bCs/>
        </w:rPr>
        <w:t xml:space="preserve">refaire </w:t>
      </w:r>
      <w:r w:rsidRPr="00356A25">
        <w:rPr>
          <w:b/>
          <w:bCs/>
        </w:rPr>
        <w:t xml:space="preserve">figure </w:t>
      </w:r>
      <w:r w:rsidR="00691843" w:rsidRPr="00356A25">
        <w:rPr>
          <w:b/>
          <w:bCs/>
        </w:rPr>
        <w:t>avec données de 2019</w:t>
      </w:r>
      <w:r>
        <w:t>).</w:t>
      </w:r>
      <w:r w:rsidR="00356A25">
        <w:t xml:space="preserve"> La figure 1 permet de constater que le nombre moyen d’enfants par femmes suit une tendance </w:t>
      </w:r>
      <w:r w:rsidR="00266982">
        <w:t>relativement stable</w:t>
      </w:r>
      <w:r w:rsidR="00356A25">
        <w:t xml:space="preserve"> entre 1990 et 2020</w:t>
      </w:r>
      <w:r w:rsidR="00C725B2">
        <w:t>. Cette évolution est ponctuée de périodes de diminution suivies de hausses</w:t>
      </w:r>
      <w:r w:rsidR="00266982">
        <w:t>,</w:t>
      </w:r>
      <w:r w:rsidR="00356A25">
        <w:t xml:space="preserve"> passant de 1,73 à </w:t>
      </w:r>
      <w:r w:rsidR="00C725B2">
        <w:t>1,95</w:t>
      </w:r>
      <w:r w:rsidR="005D09A7">
        <w:t xml:space="preserve"> entre 1990 et 2020</w:t>
      </w:r>
      <w:r w:rsidR="00266982">
        <w:t>,</w:t>
      </w:r>
      <w:r w:rsidR="00C725B2">
        <w:t xml:space="preserve"> avec un </w:t>
      </w:r>
      <w:r w:rsidR="00A6357A">
        <w:t>niveau supérieur à 2,00 entre 2009 et 2019</w:t>
      </w:r>
      <w:r w:rsidR="00266982">
        <w:t xml:space="preserve"> ; </w:t>
      </w:r>
      <w:r w:rsidR="00A6357A">
        <w:t xml:space="preserve">le pic </w:t>
      </w:r>
      <w:r w:rsidR="00266982">
        <w:t>étant atteint en 2013 avec une fécondité légèrement supérieure au seuil de renouvellement de la population (2,13).</w:t>
      </w:r>
      <w:r w:rsidR="005D09A7">
        <w:t xml:space="preserve"> </w:t>
      </w:r>
    </w:p>
    <w:p w14:paraId="24C1A1A3" w14:textId="41FA49F0" w:rsidR="00D77C16" w:rsidRDefault="00D77C16" w:rsidP="00356A25">
      <w:pPr>
        <w:shd w:val="clear" w:color="auto" w:fill="FFFFFF" w:themeFill="background1"/>
        <w:jc w:val="both"/>
      </w:pPr>
      <w:r>
        <w:t xml:space="preserve">Le calcul des taux de fécondité par âge avec la méthode du Décompte des Enfants par Foyer </w:t>
      </w:r>
      <w:r w:rsidR="00691843">
        <w:t>rend compte d’</w:t>
      </w:r>
      <w:r>
        <w:t xml:space="preserve">un Indice Conjoncturel de Fécondité de 1,69 contre 2,02 en utilisant la méthode classique. </w:t>
      </w:r>
      <w:r w:rsidR="009C060A">
        <w:t>La méthode DEF sous-estime de 16 % le calcul de la fécondité dans le département</w:t>
      </w:r>
      <w:r w:rsidR="009C060A" w:rsidRPr="00691843">
        <w:rPr>
          <w:shd w:val="clear" w:color="auto" w:fill="FFFFFF" w:themeFill="background1"/>
        </w:rPr>
        <w:t>.</w:t>
      </w:r>
      <w:r w:rsidR="00691843" w:rsidRPr="00691843">
        <w:rPr>
          <w:shd w:val="clear" w:color="auto" w:fill="FFFFFF" w:themeFill="background1"/>
        </w:rPr>
        <w:t xml:space="preserve"> 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t xml:space="preserve">Une possible 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lastRenderedPageBreak/>
        <w:t xml:space="preserve">explication de cette différence pourrait résider dans le pourcentage élevé d'enfants </w:t>
      </w:r>
      <w:r w:rsidR="005D09A7">
        <w:rPr>
          <w:rFonts w:cstheme="minorHAnsi"/>
          <w:color w:val="050505"/>
          <w:shd w:val="clear" w:color="auto" w:fill="FFFFFF" w:themeFill="background1"/>
        </w:rPr>
        <w:t xml:space="preserve">âgés d’un 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t>an vivant</w:t>
      </w:r>
      <w:r w:rsidR="00C725B2">
        <w:rPr>
          <w:rFonts w:cstheme="minorHAnsi"/>
          <w:color w:val="050505"/>
          <w:shd w:val="clear" w:color="auto" w:fill="FFFFFF" w:themeFill="background1"/>
        </w:rPr>
        <w:t>s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t xml:space="preserve"> en dehors du logement ordinaire</w:t>
      </w:r>
      <w:r w:rsidR="00C725B2">
        <w:rPr>
          <w:rFonts w:cstheme="minorHAnsi"/>
          <w:color w:val="050505"/>
          <w:shd w:val="clear" w:color="auto" w:fill="FFFFFF" w:themeFill="background1"/>
        </w:rPr>
        <w:t xml:space="preserve"> où dont on ne peut faire le lien avec la mère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t xml:space="preserve">. Néanmoins, la part d'enfants </w:t>
      </w:r>
      <w:r w:rsidR="005D09A7">
        <w:rPr>
          <w:rFonts w:cstheme="minorHAnsi"/>
          <w:color w:val="050505"/>
          <w:shd w:val="clear" w:color="auto" w:fill="FFFFFF" w:themeFill="background1"/>
        </w:rPr>
        <w:t>vivants en de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t xml:space="preserve">hors foyer </w:t>
      </w:r>
      <w:r w:rsidR="005D09A7">
        <w:rPr>
          <w:rFonts w:cstheme="minorHAnsi"/>
          <w:color w:val="050505"/>
          <w:shd w:val="clear" w:color="auto" w:fill="FFFFFF" w:themeFill="background1"/>
        </w:rPr>
        <w:t xml:space="preserve">ou non-liés à la mère </w:t>
      </w:r>
      <w:r w:rsidR="00691843" w:rsidRPr="00691843">
        <w:rPr>
          <w:rFonts w:cstheme="minorHAnsi"/>
          <w:color w:val="050505"/>
          <w:shd w:val="clear" w:color="auto" w:fill="FFFFFF" w:themeFill="background1"/>
        </w:rPr>
        <w:t>est négligeable, représentant seulement 1,4% (61 enfants vivant en dehors du logement ordinaire et 57 enfants ne faisant pas partie de la famille). Cette hypothèse n’explique que très peu cette sous-estimation</w:t>
      </w:r>
      <w:r w:rsidR="00C725B2">
        <w:rPr>
          <w:rFonts w:cstheme="minorHAnsi"/>
          <w:color w:val="050505"/>
          <w:shd w:val="clear" w:color="auto" w:fill="FFFFFF" w:themeFill="background1"/>
        </w:rPr>
        <w:t>.</w:t>
      </w:r>
    </w:p>
    <w:p w14:paraId="428D5E24" w14:textId="3A21EE16" w:rsidR="009C060A" w:rsidRDefault="009C060A" w:rsidP="009448A7">
      <w:pPr>
        <w:jc w:val="both"/>
      </w:pPr>
      <w:r>
        <w:t>Le calcul du lien enfant-mère</w:t>
      </w:r>
    </w:p>
    <w:p w14:paraId="1988C48D" w14:textId="227F6F25" w:rsidR="009C060A" w:rsidRDefault="009C060A" w:rsidP="009448A7">
      <w:pPr>
        <w:jc w:val="both"/>
      </w:pPr>
      <w:r>
        <w:t xml:space="preserve">Le mode de recensement </w:t>
      </w:r>
    </w:p>
    <w:p w14:paraId="295B1C5E" w14:textId="6532EC25" w:rsidR="009C060A" w:rsidRDefault="00A55A65" w:rsidP="009448A7">
      <w:pPr>
        <w:pStyle w:val="Paragraphedeliste"/>
        <w:numPr>
          <w:ilvl w:val="0"/>
          <w:numId w:val="4"/>
        </w:numPr>
        <w:jc w:val="both"/>
      </w:pPr>
      <w:r>
        <w:t xml:space="preserve">La migration de mères dont l’enfant est né en dehors du département : </w:t>
      </w:r>
      <w:r w:rsidR="00EF2150">
        <w:t xml:space="preserve">823 enfants sur les 8236 nés en 2019 et recensé en 2020 sont nés en dehors du département, ce chiffre représente 10 % des naissances totales et pourrait expliquer une partie de cette sous-estimation. </w:t>
      </w:r>
    </w:p>
    <w:p w14:paraId="3BACCE53" w14:textId="77777777" w:rsidR="00356A25" w:rsidRDefault="009C060A" w:rsidP="009448A7">
      <w:pPr>
        <w:jc w:val="both"/>
      </w:pPr>
      <w:r>
        <w:t xml:space="preserve">Lorsque l’on s’intéresse à la fécondité en fonction de la catégorie socio-professionnelle de la mère, il peut être remarqué que </w:t>
      </w:r>
      <w:r w:rsidR="00A64FDB">
        <w:t>les individus sans activités professionnelle, au moment du recensement, présentent un indice conjoncturel plus intense que les autres catégories</w:t>
      </w:r>
    </w:p>
    <w:p w14:paraId="317E6264" w14:textId="77777777" w:rsidR="009466BA" w:rsidRDefault="009466BA" w:rsidP="009448A7">
      <w:pPr>
        <w:jc w:val="both"/>
      </w:pPr>
    </w:p>
    <w:p w14:paraId="3F1AF55C" w14:textId="0014B885" w:rsidR="009466BA" w:rsidRDefault="009466BA" w:rsidP="009466BA">
      <w:pPr>
        <w:pStyle w:val="Lgende"/>
        <w:keepNext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r w:rsidRPr="00210992">
        <w:t>Pyramides des âges de la population des Bouches-du-Rhône en 2009 (noir) et 2020 (bleu)</w:t>
      </w:r>
      <w:r>
        <w:t xml:space="preserve"> (en %)</w:t>
      </w:r>
    </w:p>
    <w:p w14:paraId="4236EAF7" w14:textId="77777777" w:rsidR="009466BA" w:rsidRDefault="009466BA" w:rsidP="009466BA">
      <w:pPr>
        <w:keepNext/>
        <w:jc w:val="both"/>
      </w:pPr>
      <w:r>
        <w:rPr>
          <w:noProof/>
        </w:rPr>
        <w:drawing>
          <wp:inline distT="0" distB="0" distL="0" distR="0" wp14:anchorId="6F1FB53F" wp14:editId="2554DC6D">
            <wp:extent cx="5006774" cy="3749365"/>
            <wp:effectExtent l="0" t="0" r="3810" b="3810"/>
            <wp:docPr id="1067854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4762" name="Image 1067854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A455" w14:textId="77777777" w:rsidR="009466BA" w:rsidRDefault="009466BA" w:rsidP="009448A7">
      <w:pPr>
        <w:jc w:val="both"/>
      </w:pPr>
    </w:p>
    <w:p w14:paraId="5792FDE7" w14:textId="0DF4EBA8" w:rsidR="00356A25" w:rsidRDefault="00356A25" w:rsidP="00356A25">
      <w:pPr>
        <w:pStyle w:val="Lgende"/>
        <w:keepNext/>
        <w:jc w:val="both"/>
      </w:pPr>
      <w:r>
        <w:lastRenderedPageBreak/>
        <w:t xml:space="preserve">Figure </w:t>
      </w:r>
      <w:fldSimple w:instr=" SEQ Figure \* ARABIC ">
        <w:r w:rsidR="009466BA">
          <w:rPr>
            <w:noProof/>
          </w:rPr>
          <w:t>2</w:t>
        </w:r>
      </w:fldSimple>
      <w:r>
        <w:t xml:space="preserve"> :</w:t>
      </w:r>
      <w:r w:rsidRPr="00596A8A">
        <w:t xml:space="preserve"> Évolution de l'Indicateur Conjoncturel de Fécondité entre 1990 et 2020</w:t>
      </w:r>
    </w:p>
    <w:p w14:paraId="1AE560FF" w14:textId="264AA472" w:rsidR="00356A25" w:rsidRDefault="00356A25" w:rsidP="00356A25">
      <w:pPr>
        <w:keepNext/>
        <w:jc w:val="both"/>
      </w:pPr>
      <w:r>
        <w:rPr>
          <w:noProof/>
        </w:rPr>
        <w:drawing>
          <wp:inline distT="0" distB="0" distL="0" distR="0" wp14:anchorId="471F652A" wp14:editId="4EB8E589">
            <wp:extent cx="5760720" cy="4892040"/>
            <wp:effectExtent l="0" t="0" r="0" b="3810"/>
            <wp:docPr id="20910162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A17F" w14:textId="11E5D21D" w:rsidR="009448A7" w:rsidRDefault="00836102" w:rsidP="009448A7">
      <w:pPr>
        <w:jc w:val="both"/>
      </w:pPr>
      <w:r>
        <w:rPr>
          <w:noProof/>
        </w:rPr>
        <w:lastRenderedPageBreak/>
        <w:drawing>
          <wp:inline distT="0" distB="0" distL="0" distR="0" wp14:anchorId="44C6EA89" wp14:editId="38BA5556">
            <wp:extent cx="5760720" cy="4073525"/>
            <wp:effectExtent l="0" t="0" r="0" b="3175"/>
            <wp:docPr id="1953829008" name="Image 1" descr="Une image contenant texte, car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29008" name="Image 1" descr="Une image contenant texte, cart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03A" w14:textId="38DDA5C0" w:rsidR="009448A7" w:rsidRDefault="006C5CFC" w:rsidP="009448A7">
      <w:pPr>
        <w:jc w:val="both"/>
      </w:pPr>
      <w:r w:rsidRPr="006C5CFC">
        <w:rPr>
          <w:noProof/>
        </w:rPr>
        <w:t xml:space="preserve"> </w:t>
      </w:r>
      <w:r>
        <w:rPr>
          <w:noProof/>
        </w:rPr>
        <w:t xml:space="preserve"> </w:t>
      </w:r>
    </w:p>
    <w:p w14:paraId="42AFDDC1" w14:textId="091CAE16" w:rsidR="00A606AE" w:rsidRDefault="00A606AE" w:rsidP="009448A7">
      <w:pPr>
        <w:jc w:val="both"/>
      </w:pPr>
    </w:p>
    <w:p w14:paraId="3FB19125" w14:textId="77777777" w:rsidR="00A606AE" w:rsidRDefault="00A606AE" w:rsidP="009448A7">
      <w:pPr>
        <w:jc w:val="both"/>
      </w:pPr>
    </w:p>
    <w:p w14:paraId="7308BF2C" w14:textId="77777777" w:rsidR="00A606AE" w:rsidRDefault="00A606AE" w:rsidP="009448A7">
      <w:pPr>
        <w:jc w:val="both"/>
      </w:pPr>
    </w:p>
    <w:p w14:paraId="21E26F57" w14:textId="77777777" w:rsidR="00A606AE" w:rsidRDefault="00A606AE" w:rsidP="009448A7">
      <w:pPr>
        <w:jc w:val="both"/>
      </w:pPr>
    </w:p>
    <w:p w14:paraId="61D6F1E3" w14:textId="5DFF9B41" w:rsidR="00A606AE" w:rsidRDefault="00A606AE" w:rsidP="00A606AE">
      <w:pPr>
        <w:pStyle w:val="Paragraphedeliste"/>
        <w:numPr>
          <w:ilvl w:val="0"/>
          <w:numId w:val="1"/>
        </w:numPr>
        <w:jc w:val="both"/>
      </w:pPr>
      <w:r>
        <w:t xml:space="preserve">Fécondité </w:t>
      </w:r>
    </w:p>
    <w:p w14:paraId="24E8C882" w14:textId="3DFE3DC2" w:rsidR="00DD7A9D" w:rsidRDefault="00836102" w:rsidP="00DD7A9D">
      <w:pPr>
        <w:jc w:val="both"/>
      </w:pPr>
      <w:r>
        <w:rPr>
          <w:noProof/>
        </w:rPr>
        <w:lastRenderedPageBreak/>
        <w:drawing>
          <wp:inline distT="0" distB="0" distL="0" distR="0" wp14:anchorId="5D9410D2" wp14:editId="58D470FA">
            <wp:extent cx="5850466" cy="3623733"/>
            <wp:effectExtent l="0" t="0" r="17145" b="15240"/>
            <wp:docPr id="437412183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7531DEA-FB1B-4229-0CF4-27C40AE31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BDBC6E" w14:textId="1F107B69" w:rsidR="00DD7A9D" w:rsidRDefault="00DD7A9D" w:rsidP="00DD7A9D">
      <w:pPr>
        <w:jc w:val="both"/>
      </w:pPr>
    </w:p>
    <w:p w14:paraId="6785D58E" w14:textId="433D3FF8" w:rsidR="00DD7A9D" w:rsidRDefault="002C4D18" w:rsidP="002C4D18">
      <w:pPr>
        <w:pStyle w:val="Paragraphedeliste"/>
        <w:numPr>
          <w:ilvl w:val="0"/>
          <w:numId w:val="5"/>
        </w:numPr>
        <w:jc w:val="both"/>
      </w:pPr>
      <w:r>
        <w:t xml:space="preserve">-16 % de décalage par rapport au taux classique : </w:t>
      </w:r>
      <w:proofErr w:type="spellStart"/>
      <w:r>
        <w:t>Pq</w:t>
      </w:r>
      <w:proofErr w:type="spellEnd"/>
      <w:r>
        <w:t xml:space="preserve"> ? </w:t>
      </w:r>
    </w:p>
    <w:p w14:paraId="6DA36245" w14:textId="683F239D" w:rsidR="002C4D18" w:rsidRDefault="002C4D18" w:rsidP="002C4D18">
      <w:pPr>
        <w:jc w:val="both"/>
      </w:pPr>
      <w:r>
        <w:t>% enfants 1 enfants dans un ménage Z </w:t>
      </w:r>
      <w:r>
        <w:sym w:font="Wingdings" w:char="F0E8"/>
      </w:r>
      <w:r>
        <w:t xml:space="preserve"> potentielle explication </w:t>
      </w:r>
      <w:r>
        <w:sym w:font="Wingdings" w:char="F0E8"/>
      </w:r>
      <w:r>
        <w:t xml:space="preserve"> pas du tout </w:t>
      </w:r>
    </w:p>
    <w:p w14:paraId="71B8566A" w14:textId="33565A57" w:rsidR="002C4D18" w:rsidRDefault="002C4D18" w:rsidP="002C4D18">
      <w:pPr>
        <w:pStyle w:val="Paragraphedeliste"/>
        <w:numPr>
          <w:ilvl w:val="0"/>
          <w:numId w:val="4"/>
        </w:numPr>
        <w:jc w:val="both"/>
      </w:pPr>
      <w:r>
        <w:t xml:space="preserve">Quand on fait l’algo, quand on merge enfants/potentiel et mères potentielles (on a des enfants qui n’ont pas de liens = 3) des enfants qui vivent dans le ménage et qui ont un LPRF = 1 ; 2 ; 4  </w:t>
      </w:r>
      <w:proofErr w:type="spellStart"/>
      <w:r>
        <w:t>etc</w:t>
      </w:r>
      <w:proofErr w:type="spellEnd"/>
      <w:r>
        <w:t xml:space="preserve"> … LPRF = 3 mais sans mère. </w:t>
      </w:r>
    </w:p>
    <w:p w14:paraId="6EAB6877" w14:textId="7ACCEABC" w:rsidR="002C4D18" w:rsidRDefault="002C4D18" w:rsidP="002C4D18">
      <w:pPr>
        <w:jc w:val="both"/>
      </w:pPr>
      <w:r>
        <w:t xml:space="preserve">Refaire le graph avec point 18 </w:t>
      </w:r>
      <w:r w:rsidR="00546DF0">
        <w:t>moyenne mobile en 3</w:t>
      </w:r>
    </w:p>
    <w:p w14:paraId="7844FBCC" w14:textId="02A9EC9B" w:rsidR="00FC3EE2" w:rsidRDefault="00FC3EE2" w:rsidP="00FC3EE2">
      <w:pPr>
        <w:pStyle w:val="Paragraphedeliste"/>
        <w:numPr>
          <w:ilvl w:val="0"/>
          <w:numId w:val="4"/>
        </w:numPr>
        <w:jc w:val="both"/>
      </w:pPr>
      <w:r>
        <w:t>Rôle de la migration : ceux qui ont eu un enfant l’année d’avant mais n’habitent plus dans le 13.</w:t>
      </w:r>
    </w:p>
    <w:p w14:paraId="78FE9238" w14:textId="254512CF" w:rsidR="00A606AE" w:rsidRDefault="00A606AE" w:rsidP="00A606AE">
      <w:pPr>
        <w:jc w:val="both"/>
      </w:pPr>
      <w:r>
        <w:rPr>
          <w:noProof/>
        </w:rPr>
        <w:lastRenderedPageBreak/>
        <w:drawing>
          <wp:inline distT="0" distB="0" distL="0" distR="0" wp14:anchorId="65EF4957" wp14:editId="6BA8F0EC">
            <wp:extent cx="5509260" cy="3547110"/>
            <wp:effectExtent l="0" t="0" r="15240" b="15240"/>
            <wp:docPr id="201969922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72C437C-2ACD-31B6-2CD3-DB8DA2B91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95724A" w14:textId="734DD43C" w:rsidR="00E4165E" w:rsidRDefault="00E4165E" w:rsidP="00A606AE">
      <w:pPr>
        <w:jc w:val="both"/>
      </w:pPr>
      <w:r>
        <w:rPr>
          <w:noProof/>
        </w:rPr>
        <w:drawing>
          <wp:inline distT="0" distB="0" distL="0" distR="0" wp14:anchorId="0BD3E81D" wp14:editId="4CFCA980">
            <wp:extent cx="5760720" cy="3463925"/>
            <wp:effectExtent l="0" t="0" r="11430" b="3175"/>
            <wp:docPr id="1786674776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AC33701-5569-1620-DD98-972F5F9CD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56E1CD" w14:textId="77777777" w:rsidR="00E4165E" w:rsidRDefault="00E4165E" w:rsidP="00A606AE">
      <w:pPr>
        <w:jc w:val="both"/>
      </w:pPr>
    </w:p>
    <w:p w14:paraId="49CA5BAA" w14:textId="4AD3CD44" w:rsidR="00546DF0" w:rsidRDefault="00546DF0" w:rsidP="00A606AE">
      <w:pPr>
        <w:jc w:val="both"/>
      </w:pPr>
      <w:r>
        <w:t xml:space="preserve">Rappel des calendrier de fécondité, mettre </w:t>
      </w:r>
      <w:proofErr w:type="spellStart"/>
      <w:r>
        <w:t>csp</w:t>
      </w:r>
      <w:proofErr w:type="spellEnd"/>
      <w:r>
        <w:t xml:space="preserve"> 8 (sans activité). Croiser statut d’activité avec CS (TACT avec CS) </w:t>
      </w:r>
    </w:p>
    <w:p w14:paraId="6F25A2BA" w14:textId="4BB5DBA7" w:rsidR="00546DF0" w:rsidRDefault="00546DF0" w:rsidP="00A606AE">
      <w:pPr>
        <w:jc w:val="both"/>
      </w:pPr>
      <w:r>
        <w:t xml:space="preserve">Si on prend diplôme, si on le croise avec une </w:t>
      </w:r>
      <w:proofErr w:type="spellStart"/>
      <w:r>
        <w:t>csp</w:t>
      </w:r>
      <w:proofErr w:type="spellEnd"/>
      <w:r>
        <w:t xml:space="preserve"> </w:t>
      </w:r>
      <w:r>
        <w:sym w:font="Wingdings" w:char="F0E8"/>
      </w:r>
      <w:r>
        <w:t xml:space="preserve"> voir les effets du déclassement </w:t>
      </w:r>
    </w:p>
    <w:p w14:paraId="5E821ED6" w14:textId="77777777" w:rsidR="00546DF0" w:rsidRDefault="00546DF0" w:rsidP="00A606AE">
      <w:pPr>
        <w:jc w:val="both"/>
      </w:pPr>
    </w:p>
    <w:p w14:paraId="4CB72684" w14:textId="79A62B3B" w:rsidR="00546DF0" w:rsidRPr="00B26295" w:rsidRDefault="00546DF0" w:rsidP="00A606AE">
      <w:pPr>
        <w:jc w:val="both"/>
        <w:rPr>
          <w:color w:val="FF0000"/>
        </w:rPr>
      </w:pPr>
      <w:r w:rsidRPr="00B26295">
        <w:rPr>
          <w:color w:val="FF0000"/>
        </w:rPr>
        <w:t xml:space="preserve">Faire un nuage mettant </w:t>
      </w:r>
      <w:r w:rsidR="00B26295" w:rsidRPr="00B26295">
        <w:rPr>
          <w:color w:val="FF0000"/>
        </w:rPr>
        <w:t xml:space="preserve">ICF et AGEMOY avec chômage ou non comme moyen de distinction   </w:t>
      </w:r>
    </w:p>
    <w:sectPr w:rsidR="00546DF0" w:rsidRPr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3B"/>
    <w:multiLevelType w:val="hybridMultilevel"/>
    <w:tmpl w:val="F13C4BA0"/>
    <w:lvl w:ilvl="0" w:tplc="82AEEA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05B"/>
    <w:multiLevelType w:val="hybridMultilevel"/>
    <w:tmpl w:val="A2345514"/>
    <w:lvl w:ilvl="0" w:tplc="7A84B7D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5B7C"/>
    <w:multiLevelType w:val="hybridMultilevel"/>
    <w:tmpl w:val="EB98AE78"/>
    <w:lvl w:ilvl="0" w:tplc="8B06C8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B96"/>
    <w:multiLevelType w:val="hybridMultilevel"/>
    <w:tmpl w:val="2646A846"/>
    <w:lvl w:ilvl="0" w:tplc="12B058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E5E0D"/>
    <w:multiLevelType w:val="hybridMultilevel"/>
    <w:tmpl w:val="2354BA6A"/>
    <w:lvl w:ilvl="0" w:tplc="D534E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2134">
    <w:abstractNumId w:val="2"/>
  </w:num>
  <w:num w:numId="2" w16cid:durableId="841893712">
    <w:abstractNumId w:val="3"/>
  </w:num>
  <w:num w:numId="3" w16cid:durableId="1754425640">
    <w:abstractNumId w:val="4"/>
  </w:num>
  <w:num w:numId="4" w16cid:durableId="1124153806">
    <w:abstractNumId w:val="0"/>
  </w:num>
  <w:num w:numId="5" w16cid:durableId="119618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133719"/>
    <w:rsid w:val="00266982"/>
    <w:rsid w:val="002921B9"/>
    <w:rsid w:val="002C4D18"/>
    <w:rsid w:val="003148DA"/>
    <w:rsid w:val="003302B0"/>
    <w:rsid w:val="00356A25"/>
    <w:rsid w:val="003E18B4"/>
    <w:rsid w:val="00546DF0"/>
    <w:rsid w:val="00577AE8"/>
    <w:rsid w:val="005B71B0"/>
    <w:rsid w:val="005D09A7"/>
    <w:rsid w:val="00691843"/>
    <w:rsid w:val="006C5CFC"/>
    <w:rsid w:val="00773843"/>
    <w:rsid w:val="0078453A"/>
    <w:rsid w:val="007C4324"/>
    <w:rsid w:val="00836102"/>
    <w:rsid w:val="00847063"/>
    <w:rsid w:val="008F0B97"/>
    <w:rsid w:val="009448A7"/>
    <w:rsid w:val="009466BA"/>
    <w:rsid w:val="009942F0"/>
    <w:rsid w:val="009C060A"/>
    <w:rsid w:val="009F6BE2"/>
    <w:rsid w:val="00A55A65"/>
    <w:rsid w:val="00A606AE"/>
    <w:rsid w:val="00A6357A"/>
    <w:rsid w:val="00A64FDB"/>
    <w:rsid w:val="00AA719F"/>
    <w:rsid w:val="00B26295"/>
    <w:rsid w:val="00B42250"/>
    <w:rsid w:val="00C138CB"/>
    <w:rsid w:val="00C42B99"/>
    <w:rsid w:val="00C725B2"/>
    <w:rsid w:val="00D77C16"/>
    <w:rsid w:val="00DA51AA"/>
    <w:rsid w:val="00DD7A9D"/>
    <w:rsid w:val="00E4165E"/>
    <w:rsid w:val="00EF2150"/>
    <w:rsid w:val="00F15F7E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06A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56A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el\Desktop\Cours%20Master\Git_dossier\ADA-Rapport-Dept-13\data\taux3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594925634295711E-2"/>
          <c:y val="4.1666666666666664E-2"/>
          <c:w val="0.88396062992125979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Méthode DEF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9"/>
              <c:layout>
                <c:manualLayout>
                  <c:x val="-0.15413210848643918"/>
                  <c:y val="7.1793890347039868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Méthode DEF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4D3-46CE-AFA6-FF8F975F0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Sheet1!$H$6:$H$34</c:f>
              <c:numCache>
                <c:formatCode>General</c:formatCode>
                <c:ptCount val="29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</c:numCache>
            </c:numRef>
          </c:cat>
          <c:val>
            <c:numRef>
              <c:f>Sheet1!$E$6:$E$34</c:f>
              <c:numCache>
                <c:formatCode>General</c:formatCode>
                <c:ptCount val="29"/>
                <c:pt idx="0">
                  <c:v>4.7870889498382455E-3</c:v>
                </c:pt>
                <c:pt idx="1">
                  <c:v>9.2392767256481156E-3</c:v>
                </c:pt>
                <c:pt idx="2">
                  <c:v>1.5437093341703477E-2</c:v>
                </c:pt>
                <c:pt idx="3">
                  <c:v>1.969518594881085E-2</c:v>
                </c:pt>
                <c:pt idx="4">
                  <c:v>2.7975372593483566E-2</c:v>
                </c:pt>
                <c:pt idx="5">
                  <c:v>3.8376109732790771E-2</c:v>
                </c:pt>
                <c:pt idx="6">
                  <c:v>5.4838453870064148E-2</c:v>
                </c:pt>
                <c:pt idx="7">
                  <c:v>6.7739365956344388E-2</c:v>
                </c:pt>
                <c:pt idx="8">
                  <c:v>8.1433738715285031E-2</c:v>
                </c:pt>
                <c:pt idx="9">
                  <c:v>9.3124915626495289E-2</c:v>
                </c:pt>
                <c:pt idx="10">
                  <c:v>0.10655475356387624</c:v>
                </c:pt>
                <c:pt idx="11">
                  <c:v>0.11809162404495181</c:v>
                </c:pt>
                <c:pt idx="12">
                  <c:v>0.12376811449392433</c:v>
                </c:pt>
                <c:pt idx="13">
                  <c:v>0.12665531796866811</c:v>
                </c:pt>
                <c:pt idx="14">
                  <c:v>0.12365978632051115</c:v>
                </c:pt>
                <c:pt idx="15">
                  <c:v>0.11741104915360695</c:v>
                </c:pt>
                <c:pt idx="16">
                  <c:v>0.10582389174735805</c:v>
                </c:pt>
                <c:pt idx="17">
                  <c:v>9.3642493692258785E-2</c:v>
                </c:pt>
                <c:pt idx="18">
                  <c:v>8.0822417271734295E-2</c:v>
                </c:pt>
                <c:pt idx="19">
                  <c:v>6.9644944875121892E-2</c:v>
                </c:pt>
                <c:pt idx="20">
                  <c:v>5.671814763178027E-2</c:v>
                </c:pt>
                <c:pt idx="21">
                  <c:v>4.5224952335207569E-2</c:v>
                </c:pt>
                <c:pt idx="22">
                  <c:v>3.4002275282795591E-2</c:v>
                </c:pt>
                <c:pt idx="23">
                  <c:v>2.5470654109793722E-2</c:v>
                </c:pt>
                <c:pt idx="24">
                  <c:v>1.8116350981425174E-2</c:v>
                </c:pt>
                <c:pt idx="25">
                  <c:v>1.2892413914405897E-2</c:v>
                </c:pt>
                <c:pt idx="26">
                  <c:v>7.8620851768646076E-3</c:v>
                </c:pt>
                <c:pt idx="27">
                  <c:v>4.9933943201820831E-3</c:v>
                </c:pt>
                <c:pt idx="28">
                  <c:v>2.6707370223669116E-3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3-46CE-AFA6-FF8F975F026F}"/>
            </c:ext>
          </c:extLst>
        </c:ser>
        <c:ser>
          <c:idx val="1"/>
          <c:order val="1"/>
          <c:tx>
            <c:v>Méthode classique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3.7673447069116357E-2"/>
                  <c:y val="-3.240740740740740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Méthode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 classique </a:t>
                    </a:r>
                    <a:endParaRPr lang="en-US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4D3-46CE-AFA6-FF8F975F0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Sheet1!$H$6:$H$34</c:f>
              <c:numCache>
                <c:formatCode>General</c:formatCode>
                <c:ptCount val="29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</c:numCache>
            </c:numRef>
          </c:cat>
          <c:val>
            <c:numRef>
              <c:f>Sheet1!$L$6:$L$33</c:f>
              <c:numCache>
                <c:formatCode>General</c:formatCode>
                <c:ptCount val="28"/>
                <c:pt idx="0">
                  <c:v>7.4456490327011226E-3</c:v>
                </c:pt>
                <c:pt idx="1">
                  <c:v>1.3890857559346511E-2</c:v>
                </c:pt>
                <c:pt idx="2">
                  <c:v>2.2036017350313585E-2</c:v>
                </c:pt>
                <c:pt idx="3">
                  <c:v>3.033314917086331E-2</c:v>
                </c:pt>
                <c:pt idx="4">
                  <c:v>4.2106559297219757E-2</c:v>
                </c:pt>
                <c:pt idx="5">
                  <c:v>5.5047337725035006E-2</c:v>
                </c:pt>
                <c:pt idx="6">
                  <c:v>7.0349405459289818E-2</c:v>
                </c:pt>
                <c:pt idx="7">
                  <c:v>8.4231412141889325E-2</c:v>
                </c:pt>
                <c:pt idx="8">
                  <c:v>0.10067888151595376</c:v>
                </c:pt>
                <c:pt idx="9">
                  <c:v>0.11370679019018648</c:v>
                </c:pt>
                <c:pt idx="10">
                  <c:v>0.12645330105462407</c:v>
                </c:pt>
                <c:pt idx="11">
                  <c:v>0.13679159633979623</c:v>
                </c:pt>
                <c:pt idx="12">
                  <c:v>0.14546432272066603</c:v>
                </c:pt>
                <c:pt idx="13">
                  <c:v>0.14583847850961382</c:v>
                </c:pt>
                <c:pt idx="14">
                  <c:v>0.13998656820980138</c:v>
                </c:pt>
                <c:pt idx="15">
                  <c:v>0.13061503784391162</c:v>
                </c:pt>
                <c:pt idx="16">
                  <c:v>0.12002173179152144</c:v>
                </c:pt>
                <c:pt idx="17">
                  <c:v>0.10918818162043448</c:v>
                </c:pt>
                <c:pt idx="18">
                  <c:v>9.4926324897739445E-2</c:v>
                </c:pt>
                <c:pt idx="19">
                  <c:v>8.2485121099496461E-2</c:v>
                </c:pt>
                <c:pt idx="20">
                  <c:v>6.7336840021149383E-2</c:v>
                </c:pt>
                <c:pt idx="21">
                  <c:v>5.5368830778567246E-2</c:v>
                </c:pt>
                <c:pt idx="22">
                  <c:v>4.4073774752327551E-2</c:v>
                </c:pt>
                <c:pt idx="23">
                  <c:v>3.2955914926313716E-2</c:v>
                </c:pt>
                <c:pt idx="24">
                  <c:v>2.2384233883113738E-2</c:v>
                </c:pt>
                <c:pt idx="25">
                  <c:v>1.3226678954904729E-2</c:v>
                </c:pt>
                <c:pt idx="26">
                  <c:v>7.8849145832106723E-3</c:v>
                </c:pt>
                <c:pt idx="27">
                  <c:v>4.2817503454010515E-3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D3-46CE-AFA6-FF8F975F0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203071"/>
        <c:axId val="2017254207"/>
      </c:lineChart>
      <c:catAx>
        <c:axId val="98320307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7254207"/>
        <c:crosses val="autoZero"/>
        <c:auto val="1"/>
        <c:lblAlgn val="ctr"/>
        <c:lblOffset val="100"/>
        <c:noMultiLvlLbl val="0"/>
      </c:catAx>
      <c:valAx>
        <c:axId val="201725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320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3/4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3.1298940329554242E-2"/>
                  <c:y val="-5.188872067683270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Cadres,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 Prof. int. sup. et Professions intermédiaires</a:t>
                    </a:r>
                    <a:endParaRPr lang="en-US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EBB-4DE6-94D2-202D60F993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Sheet1!$A$4:$A$38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Sheet1!$C$4:$C$38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6.6248381915289567</c:v>
                </c:pt>
                <c:pt idx="6">
                  <c:v>6.5594346604411768</c:v>
                </c:pt>
                <c:pt idx="7">
                  <c:v>10.32794808968683</c:v>
                </c:pt>
                <c:pt idx="8">
                  <c:v>17.807103569962656</c:v>
                </c:pt>
                <c:pt idx="9">
                  <c:v>31.236275976528614</c:v>
                </c:pt>
                <c:pt idx="10">
                  <c:v>47.210720831072067</c:v>
                </c:pt>
                <c:pt idx="11">
                  <c:v>60.447202534030204</c:v>
                </c:pt>
                <c:pt idx="12">
                  <c:v>71.727334580922403</c:v>
                </c:pt>
                <c:pt idx="13">
                  <c:v>92.626468689065533</c:v>
                </c:pt>
                <c:pt idx="14">
                  <c:v>117.4733188732981</c:v>
                </c:pt>
                <c:pt idx="15">
                  <c:v>129.40741096184664</c:v>
                </c:pt>
                <c:pt idx="16">
                  <c:v>136.65265265656936</c:v>
                </c:pt>
                <c:pt idx="17">
                  <c:v>134.71376743658146</c:v>
                </c:pt>
                <c:pt idx="18">
                  <c:v>124.05291847584505</c:v>
                </c:pt>
                <c:pt idx="19">
                  <c:v>105.39556929235617</c:v>
                </c:pt>
                <c:pt idx="20">
                  <c:v>90.877908348910552</c:v>
                </c:pt>
                <c:pt idx="21">
                  <c:v>75.288072431006142</c:v>
                </c:pt>
                <c:pt idx="22">
                  <c:v>58.336749733094493</c:v>
                </c:pt>
                <c:pt idx="23">
                  <c:v>48.193893252417276</c:v>
                </c:pt>
                <c:pt idx="24">
                  <c:v>34.376398959671732</c:v>
                </c:pt>
                <c:pt idx="25">
                  <c:v>22.941836369536603</c:v>
                </c:pt>
                <c:pt idx="26">
                  <c:v>15.617354455205914</c:v>
                </c:pt>
                <c:pt idx="27">
                  <c:v>9.762567582472073</c:v>
                </c:pt>
                <c:pt idx="28">
                  <c:v>6.6914237211444103</c:v>
                </c:pt>
                <c:pt idx="29">
                  <c:v>5.2258794840013181</c:v>
                </c:pt>
                <c:pt idx="30">
                  <c:v>2.1553775294650066</c:v>
                </c:pt>
                <c:pt idx="31">
                  <c:v>1.3056542883504427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BB-4DE6-94D2-202D60F99312}"/>
            </c:ext>
          </c:extLst>
        </c:ser>
        <c:ser>
          <c:idx val="1"/>
          <c:order val="1"/>
          <c:tx>
            <c:v>CSP 5/6</c:v>
          </c:tx>
          <c:spPr>
            <a:ln w="28575" cap="rnd" cmpd="sng">
              <a:solidFill>
                <a:srgbClr val="C00000"/>
              </a:solidFill>
              <a:prstDash val="solid"/>
              <a:round/>
            </a:ln>
            <a:effectLst/>
          </c:spPr>
          <c:marker>
            <c:symbol val="diamond"/>
            <c:size val="4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9"/>
              <c:layout>
                <c:manualLayout>
                  <c:x val="-0.16694910024213783"/>
                  <c:y val="-0.1020140339600407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Employées</a:t>
                    </a:r>
                    <a:r>
                      <a:rPr lang="en-US" baseline="0"/>
                      <a:t> et Ouvrières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EBB-4DE6-94D2-202D60F993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Sheet1!$A$4:$A$38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Sheet1!$F$4:$F$38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2.7322207680800483</c:v>
                </c:pt>
                <c:pt idx="4">
                  <c:v>7.9581721595986501</c:v>
                </c:pt>
                <c:pt idx="5">
                  <c:v>15.392302901225126</c:v>
                </c:pt>
                <c:pt idx="6">
                  <c:v>21.516724165964856</c:v>
                </c:pt>
                <c:pt idx="7">
                  <c:v>36.88376296188089</c:v>
                </c:pt>
                <c:pt idx="8">
                  <c:v>51.755261625333873</c:v>
                </c:pt>
                <c:pt idx="9">
                  <c:v>62.327966410569687</c:v>
                </c:pt>
                <c:pt idx="10">
                  <c:v>72.528549874998816</c:v>
                </c:pt>
                <c:pt idx="11">
                  <c:v>82.665476561925587</c:v>
                </c:pt>
                <c:pt idx="12">
                  <c:v>97.21717714523281</c:v>
                </c:pt>
                <c:pt idx="13">
                  <c:v>96.348411983224338</c:v>
                </c:pt>
                <c:pt idx="14">
                  <c:v>99.331278252782184</c:v>
                </c:pt>
                <c:pt idx="15">
                  <c:v>98.360554620436915</c:v>
                </c:pt>
                <c:pt idx="16">
                  <c:v>83.337171070365542</c:v>
                </c:pt>
                <c:pt idx="17">
                  <c:v>82.677623887783113</c:v>
                </c:pt>
                <c:pt idx="18">
                  <c:v>79.693927622140507</c:v>
                </c:pt>
                <c:pt idx="19">
                  <c:v>72.961630479889862</c:v>
                </c:pt>
                <c:pt idx="20">
                  <c:v>69.282037564435996</c:v>
                </c:pt>
                <c:pt idx="21">
                  <c:v>59.206884753134432</c:v>
                </c:pt>
                <c:pt idx="22">
                  <c:v>47.628470225168805</c:v>
                </c:pt>
                <c:pt idx="23">
                  <c:v>37.880161527219791</c:v>
                </c:pt>
                <c:pt idx="24">
                  <c:v>26.605488938869737</c:v>
                </c:pt>
                <c:pt idx="25">
                  <c:v>23.007718285169368</c:v>
                </c:pt>
                <c:pt idx="26">
                  <c:v>15.441262969109887</c:v>
                </c:pt>
                <c:pt idx="27">
                  <c:v>7.021437081716523</c:v>
                </c:pt>
                <c:pt idx="28">
                  <c:v>7.071131925967344</c:v>
                </c:pt>
                <c:pt idx="29">
                  <c:v>4.1457657364263447</c:v>
                </c:pt>
                <c:pt idx="30">
                  <c:v>0.97456204425656723</c:v>
                </c:pt>
                <c:pt idx="31">
                  <c:v>0.69190728990718542</c:v>
                </c:pt>
                <c:pt idx="32">
                  <c:v>0.94877985660632269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BB-4DE6-94D2-202D60F99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1724959"/>
        <c:axId val="1110357023"/>
      </c:lineChart>
      <c:catAx>
        <c:axId val="115172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des</a:t>
                </a:r>
                <a:r>
                  <a:rPr lang="fr-FR" baseline="0"/>
                  <a:t> femmes (en années révolues)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0357023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111035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Taux de fécondité (pour 1000 femmes de 15 à 49 ans)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51724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1/2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dLbls>
            <c:dLbl>
              <c:idx val="22"/>
              <c:layout>
                <c:manualLayout>
                  <c:x val="-0.20891739239308868"/>
                  <c:y val="8.654090863519631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Agriculteurs,</a:t>
                    </a:r>
                    <a:r>
                      <a:rPr lang="en-US" baseline="0"/>
                      <a:t> exploit°, artisans, gérants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Sheet1!$S$3:$S$37</c:f>
              <c:numCache>
                <c:formatCode>General</c:formatCode>
                <c:ptCount val="35"/>
                <c:pt idx="8">
                  <c:v>3.3157243647939441E-2</c:v>
                </c:pt>
                <c:pt idx="9">
                  <c:v>2.6966583983899978E-2</c:v>
                </c:pt>
                <c:pt idx="10">
                  <c:v>4.3252087154012415E-2</c:v>
                </c:pt>
                <c:pt idx="11">
                  <c:v>5.2097932893590715E-2</c:v>
                </c:pt>
                <c:pt idx="12">
                  <c:v>8.3229650482595632E-2</c:v>
                </c:pt>
                <c:pt idx="13">
                  <c:v>8.8111822061552436E-2</c:v>
                </c:pt>
                <c:pt idx="14">
                  <c:v>0.11224337889215624</c:v>
                </c:pt>
                <c:pt idx="15">
                  <c:v>9.5840591764837099E-2</c:v>
                </c:pt>
                <c:pt idx="16">
                  <c:v>0.111660468370354</c:v>
                </c:pt>
                <c:pt idx="17">
                  <c:v>0.1126529241334767</c:v>
                </c:pt>
                <c:pt idx="18">
                  <c:v>0.12030808919984844</c:v>
                </c:pt>
                <c:pt idx="19">
                  <c:v>0.1082108803094672</c:v>
                </c:pt>
                <c:pt idx="20">
                  <c:v>8.7862878125354163E-2</c:v>
                </c:pt>
                <c:pt idx="21">
                  <c:v>7.6422366248490456E-2</c:v>
                </c:pt>
                <c:pt idx="22">
                  <c:v>4.6006057752154272E-2</c:v>
                </c:pt>
                <c:pt idx="23">
                  <c:v>3.7197935978090492E-2</c:v>
                </c:pt>
                <c:pt idx="24">
                  <c:v>3.2677034927350988E-2</c:v>
                </c:pt>
                <c:pt idx="25">
                  <c:v>2.8154975340351111E-2</c:v>
                </c:pt>
                <c:pt idx="26">
                  <c:v>3.3396703292491538E-2</c:v>
                </c:pt>
                <c:pt idx="27">
                  <c:v>2.515477835260559E-2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79-4623-9804-78F366209D7A}"/>
            </c:ext>
          </c:extLst>
        </c:ser>
        <c:ser>
          <c:idx val="1"/>
          <c:order val="1"/>
          <c:tx>
            <c:v>CSP 3/4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3175">
                <a:solidFill>
                  <a:schemeClr val="accent2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-0.37329713202810777"/>
                  <c:y val="-9.307045483173567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Cadres,</a:t>
                    </a:r>
                    <a:r>
                      <a:rPr lang="en-US" baseline="0"/>
                      <a:t> professions int. sup.  et professions intermédiaires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Sheet1!$L$3:$L$37</c:f>
              <c:numCache>
                <c:formatCode>General</c:formatCode>
                <c:ptCount val="35"/>
                <c:pt idx="6">
                  <c:v>6.5594346604411768E-3</c:v>
                </c:pt>
                <c:pt idx="7">
                  <c:v>9.6064549956695038E-3</c:v>
                </c:pt>
                <c:pt idx="8">
                  <c:v>1.4014278246063641E-2</c:v>
                </c:pt>
                <c:pt idx="9">
                  <c:v>2.5566606844721756E-2</c:v>
                </c:pt>
                <c:pt idx="10">
                  <c:v>3.8602793406987135E-2</c:v>
                </c:pt>
                <c:pt idx="11">
                  <c:v>5.3993339487433456E-2</c:v>
                </c:pt>
                <c:pt idx="12">
                  <c:v>6.5596832476582989E-2</c:v>
                </c:pt>
                <c:pt idx="13">
                  <c:v>8.4270504726095763E-2</c:v>
                </c:pt>
                <c:pt idx="14">
                  <c:v>0.10361424336942826</c:v>
                </c:pt>
                <c:pt idx="15">
                  <c:v>0.12272388898004527</c:v>
                </c:pt>
                <c:pt idx="16">
                  <c:v>0.13296503268109747</c:v>
                </c:pt>
                <c:pt idx="17">
                  <c:v>0.1342175213555675</c:v>
                </c:pt>
                <c:pt idx="18">
                  <c:v>0.12939537102376306</c:v>
                </c:pt>
                <c:pt idx="19">
                  <c:v>0.11337946577942537</c:v>
                </c:pt>
                <c:pt idx="20">
                  <c:v>0.1001714649653158</c:v>
                </c:pt>
                <c:pt idx="21">
                  <c:v>8.0869568416199439E-2</c:v>
                </c:pt>
                <c:pt idx="22">
                  <c:v>6.8798918592474695E-2</c:v>
                </c:pt>
                <c:pt idx="23">
                  <c:v>5.241355835187058E-2</c:v>
                </c:pt>
                <c:pt idx="24">
                  <c:v>4.1524469611585083E-2</c:v>
                </c:pt>
                <c:pt idx="25">
                  <c:v>2.8816949442831988E-2</c:v>
                </c:pt>
                <c:pt idx="26">
                  <c:v>1.9806777080110846E-2</c:v>
                </c:pt>
                <c:pt idx="27">
                  <c:v>1.2407728524698881E-2</c:v>
                </c:pt>
                <c:pt idx="28">
                  <c:v>8.9731686478493836E-3</c:v>
                </c:pt>
                <c:pt idx="29">
                  <c:v>5.4800785438958175E-3</c:v>
                </c:pt>
                <c:pt idx="30">
                  <c:v>3.9017086125113392E-3</c:v>
                </c:pt>
                <c:pt idx="31">
                  <c:v>1.889565588699839E-3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79-4623-9804-78F366209D7A}"/>
            </c:ext>
          </c:extLst>
        </c:ser>
        <c:ser>
          <c:idx val="2"/>
          <c:order val="2"/>
          <c:tx>
            <c:v>CSP 5/6</c:v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-0.11272579443470626"/>
                  <c:y val="0.1191886396178930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Ouvrières</a:t>
                    </a:r>
                    <a:r>
                      <a:rPr lang="en-US" baseline="0"/>
                      <a:t> et Employées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Sheet1!$E$3:$E$37</c:f>
              <c:numCache>
                <c:formatCode>General</c:formatCode>
                <c:ptCount val="35"/>
                <c:pt idx="5">
                  <c:v>6.3262953266648193E-3</c:v>
                </c:pt>
                <c:pt idx="6">
                  <c:v>1.1062168559271062E-2</c:v>
                </c:pt>
                <c:pt idx="7">
                  <c:v>1.8849297591921357E-2</c:v>
                </c:pt>
                <c:pt idx="8">
                  <c:v>3.0345895760792555E-2</c:v>
                </c:pt>
                <c:pt idx="9">
                  <c:v>4.3091270074660522E-2</c:v>
                </c:pt>
                <c:pt idx="10">
                  <c:v>5.7553390590529108E-2</c:v>
                </c:pt>
                <c:pt idx="11">
                  <c:v>6.6854461350072475E-2</c:v>
                </c:pt>
                <c:pt idx="12">
                  <c:v>7.8160200548256911E-2</c:v>
                </c:pt>
                <c:pt idx="13">
                  <c:v>9.0113935173181225E-2</c:v>
                </c:pt>
                <c:pt idx="14">
                  <c:v>9.4040108620407278E-2</c:v>
                </c:pt>
                <c:pt idx="15">
                  <c:v>0.1012244696337523</c:v>
                </c:pt>
                <c:pt idx="16">
                  <c:v>9.480236027054334E-2</c:v>
                </c:pt>
                <c:pt idx="17">
                  <c:v>9.2550309025179758E-2</c:v>
                </c:pt>
                <c:pt idx="18">
                  <c:v>8.3699924027210618E-2</c:v>
                </c:pt>
                <c:pt idx="19">
                  <c:v>8.0105891026315476E-2</c:v>
                </c:pt>
                <c:pt idx="20">
                  <c:v>7.6782896966893499E-2</c:v>
                </c:pt>
                <c:pt idx="21">
                  <c:v>7.1175500144084081E-2</c:v>
                </c:pt>
                <c:pt idx="22">
                  <c:v>6.3124868387556113E-2</c:v>
                </c:pt>
                <c:pt idx="23">
                  <c:v>5.4286726640936721E-2</c:v>
                </c:pt>
                <c:pt idx="24">
                  <c:v>4.2190284362745301E-2</c:v>
                </c:pt>
                <c:pt idx="25">
                  <c:v>3.2552462764760252E-2</c:v>
                </c:pt>
                <c:pt idx="26">
                  <c:v>2.577644973607901E-2</c:v>
                </c:pt>
                <c:pt idx="27">
                  <c:v>1.7593197059353648E-2</c:v>
                </c:pt>
                <c:pt idx="28">
                  <c:v>1.2720415164643534E-2</c:v>
                </c:pt>
                <c:pt idx="29">
                  <c:v>6.9688061532189672E-3</c:v>
                </c:pt>
                <c:pt idx="30">
                  <c:v>5.1900836761878408E-3</c:v>
                </c:pt>
                <c:pt idx="31">
                  <c:v>2.9375561282456637E-3</c:v>
                </c:pt>
                <c:pt idx="32">
                  <c:v>9.3726725214773453E-4</c:v>
                </c:pt>
                <c:pt idx="33">
                  <c:v>8.06232208365649E-4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79-4623-9804-78F366209D7A}"/>
            </c:ext>
          </c:extLst>
        </c:ser>
        <c:ser>
          <c:idx val="3"/>
          <c:order val="3"/>
          <c:tx>
            <c:v>CSP 8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layout>
                <c:manualLayout>
                  <c:x val="-0.22462214308017156"/>
                  <c:y val="-4.87273811635445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Sans</a:t>
                    </a:r>
                    <a:r>
                      <a:rPr lang="en-US" baseline="0"/>
                      <a:t> activités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Sheet1!$Z$3:$Z$37</c:f>
              <c:numCache>
                <c:formatCode>General</c:formatCode>
                <c:ptCount val="35"/>
                <c:pt idx="1">
                  <c:v>8.3394907999291589E-4</c:v>
                </c:pt>
                <c:pt idx="2">
                  <c:v>1.9318704118089424E-3</c:v>
                </c:pt>
                <c:pt idx="3">
                  <c:v>5.6677040419069553E-3</c:v>
                </c:pt>
                <c:pt idx="4">
                  <c:v>1.0724819152065031E-2</c:v>
                </c:pt>
                <c:pt idx="5">
                  <c:v>1.8852979777076728E-2</c:v>
                </c:pt>
                <c:pt idx="6">
                  <c:v>2.3476508763635478E-2</c:v>
                </c:pt>
                <c:pt idx="7">
                  <c:v>3.3887293699722647E-2</c:v>
                </c:pt>
                <c:pt idx="8">
                  <c:v>5.2903568082151319E-2</c:v>
                </c:pt>
                <c:pt idx="9">
                  <c:v>8.6628005196300428E-2</c:v>
                </c:pt>
                <c:pt idx="10">
                  <c:v>0.11341553445607321</c:v>
                </c:pt>
                <c:pt idx="11">
                  <c:v>0.13966667103813091</c:v>
                </c:pt>
                <c:pt idx="12">
                  <c:v>0.15708318009080643</c:v>
                </c:pt>
                <c:pt idx="13">
                  <c:v>0.18168729416791771</c:v>
                </c:pt>
                <c:pt idx="14">
                  <c:v>0.18450500231431419</c:v>
                </c:pt>
                <c:pt idx="15">
                  <c:v>0.18925645652549747</c:v>
                </c:pt>
                <c:pt idx="16">
                  <c:v>0.1824909352037917</c:v>
                </c:pt>
                <c:pt idx="17">
                  <c:v>0.18262560765475203</c:v>
                </c:pt>
                <c:pt idx="18">
                  <c:v>0.16427621101296075</c:v>
                </c:pt>
                <c:pt idx="19">
                  <c:v>0.14690548187820349</c:v>
                </c:pt>
                <c:pt idx="20">
                  <c:v>0.12431329255114033</c:v>
                </c:pt>
                <c:pt idx="21">
                  <c:v>0.11674488636433038</c:v>
                </c:pt>
                <c:pt idx="22">
                  <c:v>0.10713743646153311</c:v>
                </c:pt>
                <c:pt idx="23">
                  <c:v>9.9666721879750744E-2</c:v>
                </c:pt>
                <c:pt idx="24">
                  <c:v>8.440639466072386E-2</c:v>
                </c:pt>
                <c:pt idx="25">
                  <c:v>6.6607434444274818E-2</c:v>
                </c:pt>
                <c:pt idx="26">
                  <c:v>5.7159878461568087E-2</c:v>
                </c:pt>
                <c:pt idx="27">
                  <c:v>4.3187609106301213E-2</c:v>
                </c:pt>
                <c:pt idx="28">
                  <c:v>3.5016492539510564E-2</c:v>
                </c:pt>
                <c:pt idx="29">
                  <c:v>2.1836107745040963E-2</c:v>
                </c:pt>
                <c:pt idx="30">
                  <c:v>1.4065804592665347E-2</c:v>
                </c:pt>
                <c:pt idx="31">
                  <c:v>9.8543109770101861E-3</c:v>
                </c:pt>
                <c:pt idx="32">
                  <c:v>5.8957723020891667E-3</c:v>
                </c:pt>
                <c:pt idx="33">
                  <c:v>4.7104552583189484E-3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79-4623-9804-78F366209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4796688"/>
        <c:axId val="808580704"/>
      </c:lineChart>
      <c:catAx>
        <c:axId val="78479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08580704"/>
        <c:crosses val="autoZero"/>
        <c:auto val="1"/>
        <c:lblAlgn val="ctr"/>
        <c:lblOffset val="100"/>
        <c:noMultiLvlLbl val="0"/>
      </c:catAx>
      <c:valAx>
        <c:axId val="80858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479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1410-8AFB-438B-893C-95CAE6F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16</cp:revision>
  <dcterms:created xsi:type="dcterms:W3CDTF">2023-09-28T15:11:00Z</dcterms:created>
  <dcterms:modified xsi:type="dcterms:W3CDTF">2023-10-18T20:17:00Z</dcterms:modified>
</cp:coreProperties>
</file>